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jc w:val="center"/>
      </w:pPr>
      <w:r>
        <w:rPr>
          <w:rFonts w:ascii="Calibri" w:cs="Calibri" w:eastAsia="Calibri" w:hAnsi="Calibri"/>
          <w:b/>
          <w:bCs/>
          <w:color w:val="16B8B0"/>
          <w:sz w:val="32"/>
          <w:szCs w:val="32"/>
        </w:rPr>
        <w:t xml:space="preserve">WyreStorm</w:t>
      </w:r>
    </w:p>
    <w:p>
      <w:pPr>
        <w:spacing w:after="520" w:line="320"/>
        <w:jc w:val="center"/>
      </w:pPr>
      <w:r>
        <w:rPr>
          <w:rFonts w:ascii="Calibri" w:cs="Calibri" w:eastAsia="Calibri" w:hAnsi="Calibri"/>
          <w:b/>
          <w:bCs/>
          <w:color w:val="5E7280"/>
          <w:sz w:val="20"/>
          <w:szCs w:val="20"/>
        </w:rPr>
        <w:t xml:space="preserve">BLENDED COMMERCIAL AND TECHNICAL PROPOSAL</w:t>
      </w:r>
    </w:p>
    <w:p>
      <w:pPr>
        <w:spacing w:after="200" w:line="320"/>
        <w:jc w:val="center"/>
      </w:pPr>
      <w:r>
        <w:rPr>
          <w:rFonts w:ascii="Calibri" w:cs="Calibri" w:eastAsia="Calibri" w:hAnsi="Calibri"/>
          <w:b/>
          <w:bCs/>
          <w:color w:val="08223A"/>
          <w:sz w:val="48"/>
          <w:szCs w:val="48"/>
        </w:rPr>
        <w:t xml:space="preserve">Northstar Operations Room</w:t>
      </w:r>
    </w:p>
    <w:p>
      <w:pPr>
        <w:spacing w:after="160" w:line="320"/>
        <w:jc w:val="center"/>
      </w:pPr>
      <w:r>
        <w:rPr>
          <w:rFonts w:ascii="Calibri" w:cs="Calibri" w:eastAsia="Calibri" w:hAnsi="Calibri"/>
          <w:color w:val="2E74B5"/>
          <w:sz w:val="26"/>
          <w:szCs w:val="26"/>
        </w:rPr>
        <w:t xml:space="preserve">Prepared for Northstar Council</w:t>
      </w:r>
    </w:p>
    <w:p>
      <w:pPr>
        <w:spacing w:after="160" w:line="320"/>
        <w:jc w:val="center"/>
      </w:pPr>
      <w:r>
        <w:rPr>
          <w:rFonts w:ascii="Calibri" w:cs="Calibri" w:eastAsia="Calibri" w:hAnsi="Calibri"/>
          <w:color w:val="5E7280"/>
          <w:sz w:val="18"/>
          <w:szCs w:val="18"/>
        </w:rPr>
        <w:t xml:space="preserve">Reference: WM-PARITY-001  |  Date: 2026-09-11  |  Prepared by: Solutions Team</w:t>
      </w:r>
    </w:p>
    <w:p>
      <w:pPr>
        <w:pStyle w:val="Heading2"/>
        <w:keepNext/>
        <w:spacing w:after="120" w:before="240"/>
      </w:pPr>
      <w:r>
        <w:rPr>
          <w:rFonts w:ascii="Calibri" w:cs="Calibri" w:eastAsia="Calibri" w:hAnsi="Calibri"/>
          <w:b/>
          <w:bCs/>
          <w:color w:val="08223A"/>
          <w:sz w:val="26"/>
          <w:szCs w:val="26"/>
        </w:rPr>
        <w:t xml:space="preserve">Document control</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3000"/>
        <w:gridCol w:w="6360"/>
      </w:tblGrid>
      <w:tr>
        <w:trPr>
          <w:cantSplit/>
        </w:trPr>
        <w:tc>
          <w:tcPr>
            <w:tcW w:type="dxa" w:w="3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Reference</w:t>
            </w:r>
          </w:p>
        </w:tc>
        <w:tc>
          <w:tcPr>
            <w:tcW w:type="dxa" w:w="63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WM-PARITY-001</w:t>
            </w:r>
          </w:p>
        </w:tc>
      </w:tr>
      <w:tr>
        <w:trPr>
          <w:cantSplit/>
        </w:trPr>
        <w:tc>
          <w:tcPr>
            <w:tcW w:type="dxa" w:w="3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Status</w:t>
            </w:r>
          </w:p>
        </w:tc>
        <w:tc>
          <w:tcPr>
            <w:tcW w:type="dxa" w:w="63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Draft proposal — subject to design and commercial approval</w:t>
            </w:r>
          </w:p>
        </w:tc>
      </w:tr>
      <w:tr>
        <w:trPr>
          <w:cantSplit/>
        </w:trPr>
        <w:tc>
          <w:tcPr>
            <w:tcW w:type="dxa" w:w="3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Prepared by</w:t>
            </w:r>
          </w:p>
        </w:tc>
        <w:tc>
          <w:tcPr>
            <w:tcW w:type="dxa" w:w="63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Solutions Team</w:t>
            </w:r>
          </w:p>
        </w:tc>
      </w:tr>
      <w:tr>
        <w:trPr>
          <w:cantSplit/>
        </w:trPr>
        <w:tc>
          <w:tcPr>
            <w:tcW w:type="dxa" w:w="3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Issue date</w:t>
            </w:r>
          </w:p>
        </w:tc>
        <w:tc>
          <w:tcPr>
            <w:tcW w:type="dxa" w:w="63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2026-09-11</w:t>
            </w:r>
          </w:p>
        </w:tc>
      </w:tr>
      <w:tr>
        <w:trPr>
          <w:cantSplit/>
        </w:trPr>
        <w:tc>
          <w:tcPr>
            <w:tcW w:type="dxa" w:w="3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Revision</w:t>
            </w:r>
          </w:p>
        </w:tc>
        <w:tc>
          <w:tcPr>
            <w:tcW w:type="dxa" w:w="63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2026-10-24T15:04:49.284Z</w:t>
            </w:r>
          </w:p>
        </w:tc>
      </w:tr>
    </w:tbl>
    <w:p>
      <w:r>
        <w:br w:type="page"/>
      </w:r>
    </w:p>
    <w:p>
      <w:pPr>
        <w:pStyle w:val="Heading1"/>
        <w:keepNext/>
        <w:spacing w:after="200" w:before="360"/>
      </w:pPr>
      <w:r>
        <w:rPr>
          <w:rFonts w:ascii="Calibri" w:cs="Calibri" w:eastAsia="Calibri" w:hAnsi="Calibri"/>
          <w:b/>
          <w:bCs/>
          <w:color w:val="2E74B5"/>
          <w:sz w:val="32"/>
          <w:szCs w:val="32"/>
        </w:rPr>
        <w:t xml:space="preserve">Executive Summary</w:t>
      </w:r>
    </w:p>
    <w:p>
      <w:pPr>
        <w:spacing w:after="160" w:line="320"/>
        <w:jc w:val="both"/>
      </w:pPr>
      <w:r>
        <w:rPr>
          <w:rFonts w:ascii="Calibri" w:cs="Calibri" w:eastAsia="Calibri" w:hAnsi="Calibri"/>
          <w:color w:val="172B3A"/>
          <w:sz w:val="22"/>
          <w:szCs w:val="22"/>
        </w:rPr>
        <w:t xml:space="preserve">Route two operator sources to four displays with resilient 4K distribution.</w:t>
      </w:r>
    </w:p>
    <w:p>
      <w:pPr>
        <w:pStyle w:val="Heading1"/>
        <w:keepNext/>
        <w:spacing w:after="200" w:before="360"/>
      </w:pPr>
      <w:r>
        <w:rPr>
          <w:rFonts w:ascii="Calibri" w:cs="Calibri" w:eastAsia="Calibri" w:hAnsi="Calibri"/>
          <w:b/>
          <w:bCs/>
          <w:color w:val="2E74B5"/>
          <w:sz w:val="32"/>
          <w:szCs w:val="32"/>
        </w:rPr>
        <w:t xml:space="preserve">Room at a glance</w:t>
      </w:r>
    </w:p>
    <w:p>
      <w:pPr>
        <w:spacing w:after="160" w:line="320"/>
      </w:pPr>
      <w:r>
        <w:rPr>
          <w:rFonts w:ascii="Calibri" w:cs="Calibri" w:eastAsia="Calibri" w:hAnsi="Calibri"/>
          <w:b/>
          <w:bCs/>
          <w:color w:val="172B3A"/>
          <w:sz w:val="22"/>
          <w:szCs w:val="22"/>
        </w:rPr>
        <w:t xml:space="preserve">Operations room</w:t>
      </w:r>
    </w:p>
    <w:p>
      <w:pPr>
        <w:spacing w:after="160" w:line="320"/>
      </w:pPr>
      <w:r>
        <w:rPr>
          <w:rFonts w:ascii="Calibri" w:cs="Calibri" w:eastAsia="Calibri" w:hAnsi="Calibri"/>
          <w:color w:val="172B3A"/>
          <w:sz w:val="22"/>
          <w:szCs w:val="22"/>
        </w:rPr>
        <w:t xml:space="preserve">Route two operator sources to four displays with resilient 4K distribution.</w:t>
      </w:r>
    </w:p>
    <w:p>
      <w:pPr>
        <w:pStyle w:val="Heading2"/>
        <w:keepNext/>
        <w:spacing w:after="120" w:before="240"/>
      </w:pPr>
      <w:r>
        <w:rPr>
          <w:rFonts w:ascii="Calibri" w:cs="Calibri" w:eastAsia="Calibri" w:hAnsi="Calibri"/>
          <w:b/>
          <w:bCs/>
          <w:color w:val="08223A"/>
          <w:sz w:val="26"/>
          <w:szCs w:val="26"/>
        </w:rPr>
        <w:t xml:space="preserve">Room and design details</w:t>
      </w:r>
    </w:p>
    <w:p>
      <w:pPr>
        <w:spacing w:after="160" w:line="320"/>
      </w:pPr>
      <w:r>
        <w:rPr>
          <w:rFonts w:ascii="Calibri" w:cs="Calibri" w:eastAsia="Calibri" w:hAnsi="Calibri"/>
          <w:color w:val="172B3A"/>
          <w:sz w:val="22"/>
          <w:szCs w:val="22"/>
        </w:rPr>
        <w:t xml:space="preserve">Room dimensions, capacity and site conditions require confirmation.</w:t>
      </w:r>
    </w:p>
    <w:p>
      <w:pPr>
        <w:pStyle w:val="Heading2"/>
        <w:keepNext/>
        <w:spacing w:after="120" w:before="240"/>
      </w:pPr>
      <w:r>
        <w:rPr>
          <w:rFonts w:ascii="Calibri" w:cs="Calibri" w:eastAsia="Calibri" w:hAnsi="Calibri"/>
          <w:b/>
          <w:bCs/>
          <w:color w:val="08223A"/>
          <w:sz w:val="26"/>
          <w:szCs w:val="26"/>
        </w:rPr>
        <w:t xml:space="preserve">What this space delivers</w:t>
      </w:r>
    </w:p>
    <w:p>
      <w:pPr>
        <w:pStyle w:val="ListParagraph"/>
        <w:numPr>
          <w:ilvl w:val="0"/>
          <w:numId w:val="2"/>
        </w:numPr>
        <w:spacing w:after="80" w:line="290"/>
      </w:pPr>
      <w:r>
        <w:rPr>
          <w:rFonts w:ascii="Calibri" w:cs="Calibri" w:eastAsia="Calibri" w:hAnsi="Calibri"/>
          <w:color w:val="172B3A"/>
          <w:sz w:val="22"/>
          <w:szCs w:val="22"/>
        </w:rPr>
        <w:t xml:space="preserve">Operational continuity: Operators retain controlled access to approved sources.</w:t>
      </w:r>
    </w:p>
    <w:p>
      <w:pPr>
        <w:pStyle w:val="Heading2"/>
        <w:keepNext/>
        <w:spacing w:after="120" w:before="240"/>
      </w:pPr>
      <w:r>
        <w:rPr>
          <w:rFonts w:ascii="Calibri" w:cs="Calibri" w:eastAsia="Calibri" w:hAnsi="Calibri"/>
          <w:b/>
          <w:bCs/>
          <w:color w:val="08223A"/>
          <w:sz w:val="26"/>
          <w:szCs w:val="26"/>
        </w:rPr>
        <w:t xml:space="preserve">In this room</w:t>
      </w:r>
    </w:p>
    <w:p>
      <w:pPr>
        <w:spacing w:after="160" w:line="320"/>
      </w:pPr>
      <w:r>
        <w:rPr>
          <w:rFonts w:ascii="Calibri" w:cs="Calibri" w:eastAsia="Calibri" w:hAnsi="Calibri"/>
          <w:color w:val="172B3A"/>
          <w:sz w:val="22"/>
          <w:szCs w:val="22"/>
        </w:rPr>
        <w:t xml:space="preserve">Items are grouped by the job each one does in the room, and the number matches the equipment schedule further on. Anything marked optional is still your decision, and work by others is listed under Complete System Design and Responsibilities.</w:t>
      </w:r>
    </w:p>
    <w:p>
      <w:pPr>
        <w:pStyle w:val="Heading2"/>
        <w:keepNext/>
        <w:spacing w:after="120" w:before="240"/>
      </w:pPr>
      <w:r>
        <w:rPr>
          <w:rFonts w:ascii="Calibri" w:cs="Calibri" w:eastAsia="Calibri" w:hAnsi="Calibri"/>
          <w:b/>
          <w:bCs/>
          <w:color w:val="08223A"/>
          <w:sz w:val="26"/>
          <w:szCs w:val="26"/>
        </w:rPr>
        <w:t xml:space="preserve">Encode operator sources</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600"/>
        <w:gridCol w:w="1800"/>
        <w:gridCol w:w="4260"/>
        <w:gridCol w:w="600"/>
        <w:gridCol w:w="2100"/>
      </w:tblGrid>
      <w:tr>
        <w:trPr>
          <w:cantSplit/>
          <w:tblHeader/>
        </w:trPr>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Item</w:t>
            </w:r>
          </w:p>
        </w:tc>
        <w:tc>
          <w:tcPr>
            <w:tcW w:type="dxa" w:w="18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Model</w:t>
            </w:r>
          </w:p>
        </w:tc>
        <w:tc>
          <w:tcPr>
            <w:tcW w:type="dxa" w:w="42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Description</w:t>
            </w:r>
          </w:p>
        </w:tc>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21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r>
      <w:tr>
        <w:trPr>
          <w:cantSplit/>
        </w:trPr>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18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NHD-600-E-TX</w:t>
            </w:r>
          </w:p>
        </w:tc>
        <w:tc>
          <w:tcPr>
            <w:tcW w:type="dxa" w:w="42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600 encoder</w:t>
            </w:r>
          </w:p>
        </w:tc>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2</w:t>
            </w:r>
          </w:p>
        </w:tc>
        <w:tc>
          <w:tcPr>
            <w:tcW w:type="dxa" w:w="21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bl>
    <w:p>
      <w:pPr>
        <w:pStyle w:val="Heading2"/>
        <w:keepNext/>
        <w:spacing w:after="120" w:before="240"/>
      </w:pPr>
      <w:r>
        <w:rPr>
          <w:rFonts w:ascii="Calibri" w:cs="Calibri" w:eastAsia="Calibri" w:hAnsi="Calibri"/>
          <w:b/>
          <w:bCs/>
          <w:color w:val="08223A"/>
          <w:sz w:val="26"/>
          <w:szCs w:val="26"/>
        </w:rPr>
        <w:t xml:space="preserve">Decode display feeds</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600"/>
        <w:gridCol w:w="1800"/>
        <w:gridCol w:w="4260"/>
        <w:gridCol w:w="600"/>
        <w:gridCol w:w="2100"/>
      </w:tblGrid>
      <w:tr>
        <w:trPr>
          <w:cantSplit/>
          <w:tblHeader/>
        </w:trPr>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Item</w:t>
            </w:r>
          </w:p>
        </w:tc>
        <w:tc>
          <w:tcPr>
            <w:tcW w:type="dxa" w:w="18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Model</w:t>
            </w:r>
          </w:p>
        </w:tc>
        <w:tc>
          <w:tcPr>
            <w:tcW w:type="dxa" w:w="42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Description</w:t>
            </w:r>
          </w:p>
        </w:tc>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21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r>
      <w:tr>
        <w:trPr>
          <w:cantSplit/>
        </w:trPr>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2</w:t>
            </w:r>
          </w:p>
        </w:tc>
        <w:tc>
          <w:tcPr>
            <w:tcW w:type="dxa" w:w="18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NHD-600-E-RX</w:t>
            </w:r>
          </w:p>
        </w:tc>
        <w:tc>
          <w:tcPr>
            <w:tcW w:type="dxa" w:w="42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600 decoder</w:t>
            </w:r>
          </w:p>
        </w:tc>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4</w:t>
            </w:r>
          </w:p>
        </w:tc>
        <w:tc>
          <w:tcPr>
            <w:tcW w:type="dxa" w:w="21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bl>
    <w:p>
      <w:pPr>
        <w:pStyle w:val="Heading2"/>
        <w:keepNext/>
        <w:spacing w:after="120" w:before="240"/>
      </w:pPr>
      <w:r>
        <w:rPr>
          <w:rFonts w:ascii="Calibri" w:cs="Calibri" w:eastAsia="Calibri" w:hAnsi="Calibri"/>
          <w:b/>
          <w:bCs/>
          <w:color w:val="08223A"/>
          <w:sz w:val="26"/>
          <w:szCs w:val="26"/>
        </w:rPr>
        <w:t xml:space="preserve">Routing control</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600"/>
        <w:gridCol w:w="1800"/>
        <w:gridCol w:w="4260"/>
        <w:gridCol w:w="600"/>
        <w:gridCol w:w="2100"/>
      </w:tblGrid>
      <w:tr>
        <w:trPr>
          <w:cantSplit/>
          <w:tblHeader/>
        </w:trPr>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Item</w:t>
            </w:r>
          </w:p>
        </w:tc>
        <w:tc>
          <w:tcPr>
            <w:tcW w:type="dxa" w:w="18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Model</w:t>
            </w:r>
          </w:p>
        </w:tc>
        <w:tc>
          <w:tcPr>
            <w:tcW w:type="dxa" w:w="42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Description</w:t>
            </w:r>
          </w:p>
        </w:tc>
        <w:tc>
          <w:tcPr>
            <w:tcW w:type="dxa" w:w="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21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r>
      <w:tr>
        <w:trPr>
          <w:cantSplit/>
        </w:trPr>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3</w:t>
            </w:r>
          </w:p>
        </w:tc>
        <w:tc>
          <w:tcPr>
            <w:tcW w:type="dxa" w:w="18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NHD-CTL-PRO-V2</w:t>
            </w:r>
          </w:p>
        </w:tc>
        <w:tc>
          <w:tcPr>
            <w:tcW w:type="dxa" w:w="42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controller</w:t>
            </w:r>
          </w:p>
        </w:tc>
        <w:tc>
          <w:tcPr>
            <w:tcW w:type="dxa" w:w="6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21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bl>
    <w:p>
      <w:pPr>
        <w:pStyle w:val="Heading1"/>
        <w:keepNext/>
        <w:spacing w:after="200" w:before="360"/>
      </w:pPr>
      <w:r>
        <w:rPr>
          <w:rFonts w:ascii="Calibri" w:cs="Calibri" w:eastAsia="Calibri" w:hAnsi="Calibri"/>
          <w:b/>
          <w:bCs/>
          <w:color w:val="2E74B5"/>
          <w:sz w:val="32"/>
          <w:szCs w:val="32"/>
        </w:rPr>
        <w:t xml:space="preserve">Solution Overview</w:t>
      </w:r>
    </w:p>
    <w:p>
      <w:pPr>
        <w:spacing w:after="160" w:line="320"/>
        <w:jc w:val="both"/>
      </w:pPr>
      <w:r>
        <w:rPr>
          <w:rFonts w:ascii="Calibri" w:cs="Calibri" w:eastAsia="Calibri" w:hAnsi="Calibri"/>
          <w:color w:val="172B3A"/>
          <w:sz w:val="22"/>
          <w:szCs w:val="22"/>
        </w:rPr>
        <w:t xml:space="preserve">NetworkHD 600 resilient AV-over-IP fabric</w:t>
      </w:r>
    </w:p>
    <w:p>
      <w:pPr>
        <w:pStyle w:val="Heading2"/>
        <w:keepNext/>
        <w:spacing w:after="120" w:before="240"/>
      </w:pPr>
      <w:r>
        <w:rPr>
          <w:rFonts w:ascii="Calibri" w:cs="Calibri" w:eastAsia="Calibri" w:hAnsi="Calibri"/>
          <w:b/>
          <w:bCs/>
          <w:color w:val="08223A"/>
          <w:sz w:val="26"/>
          <w:szCs w:val="26"/>
        </w:rPr>
        <w:t xml:space="preserve">How the solution will work</w:t>
      </w:r>
    </w:p>
    <w:p>
      <w:pPr>
        <w:spacing w:after="160" w:line="320"/>
      </w:pPr>
      <w:r>
        <w:rPr>
          <w:rFonts w:ascii="Calibri" w:cs="Calibri" w:eastAsia="Calibri" w:hAnsi="Calibri"/>
          <w:color w:val="172B3A"/>
          <w:sz w:val="22"/>
          <w:szCs w:val="22"/>
        </w:rPr>
        <w:t xml:space="preserve">1. Operators select an approved source and route it to any display.</w:t>
      </w:r>
    </w:p>
    <w:p>
      <w:pPr>
        <w:pStyle w:val="Heading2"/>
        <w:keepNext/>
        <w:spacing w:after="120" w:before="240"/>
      </w:pPr>
      <w:r>
        <w:rPr>
          <w:rFonts w:ascii="Calibri" w:cs="Calibri" w:eastAsia="Calibri" w:hAnsi="Calibri"/>
          <w:b/>
          <w:bCs/>
          <w:color w:val="08223A"/>
          <w:sz w:val="26"/>
          <w:szCs w:val="26"/>
        </w:rPr>
        <w:t xml:space="preserve">What successful delivery looks like</w:t>
      </w:r>
    </w:p>
    <w:p>
      <w:pPr>
        <w:pStyle w:val="ListParagraph"/>
        <w:numPr>
          <w:ilvl w:val="0"/>
          <w:numId w:val="2"/>
        </w:numPr>
        <w:spacing w:after="80" w:line="290"/>
      </w:pPr>
      <w:r>
        <w:rPr>
          <w:rFonts w:ascii="Calibri" w:cs="Calibri" w:eastAsia="Calibri" w:hAnsi="Calibri"/>
          <w:color w:val="172B3A"/>
          <w:sz w:val="22"/>
          <w:szCs w:val="22"/>
        </w:rPr>
        <w:t xml:space="preserve">Every approved source-to-display route passes functional testing.</w:t>
      </w:r>
    </w:p>
    <w:p>
      <w:pPr>
        <w:pStyle w:val="Heading1"/>
        <w:keepNext/>
        <w:spacing w:after="200" w:before="360"/>
      </w:pPr>
      <w:r>
        <w:rPr>
          <w:rFonts w:ascii="Calibri" w:cs="Calibri" w:eastAsia="Calibri" w:hAnsi="Calibri"/>
          <w:b/>
          <w:bCs/>
          <w:color w:val="2E74B5"/>
          <w:sz w:val="32"/>
          <w:szCs w:val="32"/>
        </w:rPr>
        <w:t xml:space="preserve">Market and Application Story</w:t>
      </w:r>
    </w:p>
    <w:p>
      <w:pPr>
        <w:spacing w:after="160" w:line="320"/>
        <w:jc w:val="both"/>
      </w:pPr>
      <w:r>
        <w:rPr>
          <w:rFonts w:ascii="Calibri" w:cs="Calibri" w:eastAsia="Calibri" w:hAnsi="Calibri"/>
          <w:color w:val="172B3A"/>
          <w:sz w:val="22"/>
          <w:szCs w:val="22"/>
        </w:rPr>
        <w:t xml:space="preserve">The room supports controlled, resilient operational decision-making.</w:t>
      </w:r>
    </w:p>
    <w:p>
      <w:pPr>
        <w:pStyle w:val="Heading2"/>
        <w:keepNext/>
        <w:spacing w:after="120" w:before="240"/>
      </w:pPr>
      <w:r>
        <w:rPr>
          <w:rFonts w:ascii="Calibri" w:cs="Calibri" w:eastAsia="Calibri" w:hAnsi="Calibri"/>
          <w:b/>
          <w:bCs/>
          <w:color w:val="08223A"/>
          <w:sz w:val="26"/>
          <w:szCs w:val="26"/>
        </w:rPr>
        <w:t xml:space="preserve">Intended room experience</w:t>
      </w:r>
    </w:p>
    <w:p>
      <w:pPr>
        <w:pStyle w:val="ListParagraph"/>
        <w:numPr>
          <w:ilvl w:val="0"/>
          <w:numId w:val="2"/>
        </w:numPr>
        <w:spacing w:after="80" w:line="290"/>
      </w:pPr>
      <w:r>
        <w:rPr>
          <w:rFonts w:ascii="Calibri" w:cs="Calibri" w:eastAsia="Calibri" w:hAnsi="Calibri"/>
          <w:color w:val="172B3A"/>
          <w:sz w:val="22"/>
          <w:szCs w:val="22"/>
        </w:rPr>
        <w:t xml:space="preserve">Operators select an approved source and route it to any display.</w:t>
      </w:r>
    </w:p>
    <w:p>
      <w:pPr>
        <w:pStyle w:val="Heading2"/>
        <w:keepNext/>
        <w:spacing w:after="120" w:before="240"/>
      </w:pPr>
      <w:r>
        <w:rPr>
          <w:rFonts w:ascii="Calibri" w:cs="Calibri" w:eastAsia="Calibri" w:hAnsi="Calibri"/>
          <w:b/>
          <w:bCs/>
          <w:color w:val="08223A"/>
          <w:sz w:val="26"/>
          <w:szCs w:val="26"/>
        </w:rPr>
        <w:t xml:space="preserve">Business outcomes</w:t>
      </w:r>
    </w:p>
    <w:p>
      <w:pPr>
        <w:pStyle w:val="ListParagraph"/>
        <w:numPr>
          <w:ilvl w:val="0"/>
          <w:numId w:val="2"/>
        </w:numPr>
        <w:spacing w:after="80" w:line="290"/>
      </w:pPr>
      <w:r>
        <w:rPr>
          <w:rFonts w:ascii="Calibri" w:cs="Calibri" w:eastAsia="Calibri" w:hAnsi="Calibri"/>
          <w:color w:val="172B3A"/>
          <w:sz w:val="22"/>
          <w:szCs w:val="22"/>
        </w:rPr>
        <w:t xml:space="preserve">Operational continuity: Operators retain controlled access to approved sources.</w:t>
      </w:r>
    </w:p>
    <w:p>
      <w:pPr>
        <w:pStyle w:val="Heading1"/>
        <w:keepNext/>
        <w:spacing w:after="200" w:before="360"/>
      </w:pPr>
      <w:r>
        <w:rPr>
          <w:rFonts w:ascii="Calibri" w:cs="Calibri" w:eastAsia="Calibri" w:hAnsi="Calibri"/>
          <w:b/>
          <w:bCs/>
          <w:color w:val="2E74B5"/>
          <w:sz w:val="32"/>
          <w:szCs w:val="32"/>
        </w:rPr>
        <w:t xml:space="preserve">Client Objectives and Current Challenge</w:t>
      </w:r>
    </w:p>
    <w:p>
      <w:pPr>
        <w:spacing w:after="160" w:line="320"/>
        <w:jc w:val="both"/>
      </w:pPr>
      <w:r>
        <w:rPr>
          <w:rFonts w:ascii="Calibri" w:cs="Calibri" w:eastAsia="Calibri" w:hAnsi="Calibri"/>
          <w:color w:val="172B3A"/>
          <w:sz w:val="22"/>
          <w:szCs w:val="22"/>
        </w:rPr>
        <w:t xml:space="preserve">Route two operator sources to four displays with resilient 4K distribution.</w:t>
      </w:r>
    </w:p>
    <w:p>
      <w:pPr>
        <w:pStyle w:val="Heading1"/>
        <w:keepNext/>
        <w:spacing w:after="200" w:before="360"/>
      </w:pPr>
      <w:r>
        <w:rPr>
          <w:rFonts w:ascii="Calibri" w:cs="Calibri" w:eastAsia="Calibri" w:hAnsi="Calibri"/>
          <w:b/>
          <w:bCs/>
          <w:color w:val="2E74B5"/>
          <w:sz w:val="32"/>
          <w:szCs w:val="32"/>
        </w:rPr>
        <w:t xml:space="preserve">Discovery Conversation</w:t>
      </w:r>
    </w:p>
    <w:p>
      <w:pPr>
        <w:spacing w:after="160" w:line="320"/>
        <w:jc w:val="both"/>
      </w:pPr>
      <w:r>
        <w:rPr>
          <w:rFonts w:ascii="Calibri" w:cs="Calibri" w:eastAsia="Calibri" w:hAnsi="Calibri"/>
          <w:color w:val="172B3A"/>
          <w:sz w:val="22"/>
          <w:szCs w:val="22"/>
        </w:rPr>
        <w:t xml:space="preserve">Below is the conversation this proposal is based on: the question we asked, the answer we recorded, and your own words where we captured them. "Confirmed with customer" means we checked that point with you; "To be confirmed" means it is still open and will be settled before the design is signed off.</w:t>
      </w:r>
    </w:p>
    <w:p>
      <w:pPr>
        <w:spacing w:after="160" w:line="320"/>
        <w:jc w:val="both"/>
      </w:pPr>
      <w:r>
        <w:rPr>
          <w:rFonts w:ascii="Calibri" w:cs="Calibri" w:eastAsia="Calibri" w:hAnsi="Calibri"/>
          <w:color w:val="5E7280"/>
          <w:sz w:val="18"/>
          <w:szCs w:val="18"/>
        </w:rPr>
        <w:t xml:space="preserve">"Capture confidence" shows how closely your own words matched the answer we recorded. High confidence is a close match. Matched is a close match to a standard phrase. Low confidence — verify before quote is a partial match we will check with you before quoting. The number in brackets is the match score.</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2300"/>
        <w:gridCol w:w="2300"/>
        <w:gridCol w:w="2700"/>
        <w:gridCol w:w="1400"/>
        <w:gridCol w:w="1260"/>
      </w:tblGrid>
      <w:tr>
        <w:trPr>
          <w:cantSplit/>
          <w:tblHeader/>
        </w:trPr>
        <w:tc>
          <w:tcPr>
            <w:tcW w:type="dxa" w:w="23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Question asked</w:t>
            </w:r>
          </w:p>
        </w:tc>
        <w:tc>
          <w:tcPr>
            <w:tcW w:type="dxa" w:w="23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Answer we recorded</w:t>
            </w:r>
          </w:p>
        </w:tc>
        <w:tc>
          <w:tcPr>
            <w:tcW w:type="dxa" w:w="27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Customer wording</w:t>
            </w:r>
          </w:p>
        </w:tc>
        <w:tc>
          <w:tcPr>
            <w:tcW w:type="dxa" w:w="14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c>
          <w:tcPr>
            <w:tcW w:type="dxa" w:w="12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Capture confidence</w:t>
            </w:r>
          </w:p>
        </w:tc>
      </w:tr>
      <w:tr>
        <w:trPr>
          <w:cantSplit/>
        </w:trPr>
        <w:tc>
          <w:tcPr>
            <w:tcW w:type="dxa" w:w="23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How many displays must receive independently routed content?</w:t>
            </w:r>
          </w:p>
        </w:tc>
        <w:tc>
          <w:tcPr>
            <w:tcW w:type="dxa" w:w="23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Four displays</w:t>
            </w:r>
          </w:p>
        </w:tc>
        <w:tc>
          <w:tcPr>
            <w:tcW w:type="dxa" w:w="27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Each operator needs independent routing.</w:t>
            </w:r>
          </w:p>
        </w:tc>
        <w:tc>
          <w:tcPr>
            <w:tcW w:type="dxa" w:w="14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Confirmed with customer</w:t>
            </w:r>
          </w:p>
        </w:tc>
        <w:tc>
          <w:tcPr>
            <w:tcW w:type="dxa" w:w="12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High confidence (12)</w:t>
            </w:r>
          </w:p>
        </w:tc>
      </w:tr>
    </w:tbl>
    <w:p>
      <w:pPr>
        <w:spacing w:after="160" w:line="320"/>
      </w:pPr>
      <w:r>
        <w:rPr>
          <w:rFonts w:ascii="Calibri" w:cs="Calibri" w:eastAsia="Calibri" w:hAnsi="Calibri"/>
          <w:color w:val="5E7280"/>
          <w:sz w:val="18"/>
          <w:szCs w:val="18"/>
        </w:rPr>
        <w:t xml:space="preserve">If a row has a note but no clear answer, that point was still open when this was written and will be confirmed before the design is signed off.</w:t>
      </w:r>
    </w:p>
    <w:p>
      <w:pPr>
        <w:pStyle w:val="Heading1"/>
        <w:keepNext/>
        <w:spacing w:after="200" w:before="360"/>
      </w:pPr>
      <w:r>
        <w:rPr>
          <w:rFonts w:ascii="Calibri" w:cs="Calibri" w:eastAsia="Calibri" w:hAnsi="Calibri"/>
          <w:b/>
          <w:bCs/>
          <w:color w:val="2E74B5"/>
          <w:sz w:val="32"/>
          <w:szCs w:val="32"/>
        </w:rPr>
        <w:t xml:space="preserve">Unresolved Discovery Items</w:t>
      </w:r>
    </w:p>
    <w:p>
      <w:pPr>
        <w:spacing w:after="160" w:line="320"/>
      </w:pPr>
      <w:r>
        <w:rPr>
          <w:rFonts w:ascii="Calibri" w:cs="Calibri" w:eastAsia="Calibri" w:hAnsi="Calibri"/>
          <w:color w:val="5E7280"/>
          <w:sz w:val="22"/>
          <w:szCs w:val="22"/>
        </w:rPr>
        <w:t xml:space="preserve">All discovery items have been confirmed with the customer. No outstanding items require verification before final design sign-off.</w:t>
      </w:r>
    </w:p>
    <w:p>
      <w:pPr>
        <w:pStyle w:val="Heading1"/>
        <w:keepNext/>
        <w:spacing w:after="200" w:before="360"/>
      </w:pPr>
      <w:r>
        <w:rPr>
          <w:rFonts w:ascii="Calibri" w:cs="Calibri" w:eastAsia="Calibri" w:hAnsi="Calibri"/>
          <w:b/>
          <w:bCs/>
          <w:color w:val="2E74B5"/>
          <w:sz w:val="32"/>
          <w:szCs w:val="32"/>
        </w:rPr>
        <w:t xml:space="preserve">What You Asked For and How We Designed It</w:t>
      </w:r>
    </w:p>
    <w:p>
      <w:pPr>
        <w:spacing w:after="160" w:line="320"/>
      </w:pPr>
      <w:r>
        <w:rPr>
          <w:rFonts w:ascii="Calibri" w:cs="Calibri" w:eastAsia="Calibri" w:hAnsi="Calibri"/>
          <w:color w:val="5E7280"/>
          <w:sz w:val="22"/>
          <w:szCs w:val="22"/>
        </w:rPr>
        <w:t xml:space="preserve">This proposal does not include a design trace. It was prepared before Wingman recorded one, so the design described above remains the basis of this proposal.</w:t>
      </w:r>
    </w:p>
    <w:p>
      <w:pPr>
        <w:pStyle w:val="Heading1"/>
        <w:keepNext/>
        <w:spacing w:after="200" w:before="360"/>
      </w:pPr>
      <w:r>
        <w:rPr>
          <w:rFonts w:ascii="Calibri" w:cs="Calibri" w:eastAsia="Calibri" w:hAnsi="Calibri"/>
          <w:b/>
          <w:bCs/>
          <w:color w:val="2E74B5"/>
          <w:sz w:val="32"/>
          <w:szCs w:val="32"/>
        </w:rPr>
        <w:t xml:space="preserve">Proposed Solution and Business Value</w:t>
      </w:r>
    </w:p>
    <w:p>
      <w:pPr>
        <w:spacing w:after="160" w:line="320"/>
        <w:jc w:val="both"/>
      </w:pPr>
      <w:r>
        <w:rPr>
          <w:rFonts w:ascii="Calibri" w:cs="Calibri" w:eastAsia="Calibri" w:hAnsi="Calibri"/>
          <w:color w:val="172B3A"/>
          <w:sz w:val="22"/>
          <w:szCs w:val="22"/>
        </w:rPr>
        <w:t xml:space="preserve">NetworkHD 600 resilient AV-over-IP fabric</w:t>
      </w:r>
    </w:p>
    <w:p>
      <w:pPr>
        <w:pStyle w:val="ListParagraph"/>
        <w:numPr>
          <w:ilvl w:val="0"/>
          <w:numId w:val="2"/>
        </w:numPr>
        <w:spacing w:after="80" w:line="290"/>
      </w:pPr>
      <w:r>
        <w:rPr>
          <w:rFonts w:ascii="Calibri" w:cs="Calibri" w:eastAsia="Calibri" w:hAnsi="Calibri"/>
          <w:color w:val="172B3A"/>
          <w:sz w:val="22"/>
          <w:szCs w:val="22"/>
        </w:rPr>
        <w:t xml:space="preserve">A supportable architecture aligned to the stated operational requirement.</w:t>
      </w:r>
    </w:p>
    <w:p>
      <w:pPr>
        <w:pStyle w:val="ListParagraph"/>
        <w:numPr>
          <w:ilvl w:val="0"/>
          <w:numId w:val="2"/>
        </w:numPr>
        <w:spacing w:after="80" w:line="290"/>
      </w:pPr>
      <w:r>
        <w:rPr>
          <w:rFonts w:ascii="Calibri" w:cs="Calibri" w:eastAsia="Calibri" w:hAnsi="Calibri"/>
          <w:color w:val="172B3A"/>
          <w:sz w:val="22"/>
          <w:szCs w:val="22"/>
        </w:rPr>
        <w:t xml:space="preserve">A controlled route from design approval to quotation, delivery and acceptance.</w:t>
      </w:r>
    </w:p>
    <w:p>
      <w:pPr>
        <w:pStyle w:val="ListParagraph"/>
        <w:numPr>
          <w:ilvl w:val="0"/>
          <w:numId w:val="2"/>
        </w:numPr>
        <w:spacing w:after="80" w:line="290"/>
      </w:pPr>
      <w:r>
        <w:rPr>
          <w:rFonts w:ascii="Calibri" w:cs="Calibri" w:eastAsia="Calibri" w:hAnsi="Calibri"/>
          <w:color w:val="172B3A"/>
          <w:sz w:val="22"/>
          <w:szCs w:val="22"/>
        </w:rPr>
        <w:t xml:space="preserve">Clear ownership of equipment, services, dependencies and by-others scope.</w:t>
      </w:r>
    </w:p>
    <w:p>
      <w:pPr>
        <w:pStyle w:val="Heading1"/>
        <w:keepNext/>
        <w:spacing w:after="200" w:before="360"/>
      </w:pPr>
      <w:r>
        <w:rPr>
          <w:rFonts w:ascii="Calibri" w:cs="Calibri" w:eastAsia="Calibri" w:hAnsi="Calibri"/>
          <w:b/>
          <w:bCs/>
          <w:color w:val="2E74B5"/>
          <w:sz w:val="32"/>
          <w:szCs w:val="32"/>
        </w:rPr>
        <w:t xml:space="preserve">Scope of Work</w:t>
      </w:r>
    </w:p>
    <w:p>
      <w:pPr>
        <w:pStyle w:val="Heading2"/>
        <w:keepNext/>
        <w:spacing w:after="120" w:before="240"/>
      </w:pPr>
      <w:r>
        <w:rPr>
          <w:rFonts w:ascii="Calibri" w:cs="Calibri" w:eastAsia="Calibri" w:hAnsi="Calibri"/>
          <w:b/>
          <w:bCs/>
          <w:color w:val="08223A"/>
          <w:sz w:val="26"/>
          <w:szCs w:val="26"/>
        </w:rPr>
        <w:t xml:space="preserve">Included scope</w:t>
      </w:r>
    </w:p>
    <w:p>
      <w:pPr>
        <w:pStyle w:val="ListParagraph"/>
        <w:numPr>
          <w:ilvl w:val="0"/>
          <w:numId w:val="2"/>
        </w:numPr>
        <w:spacing w:after="80" w:line="290"/>
      </w:pPr>
      <w:r>
        <w:rPr>
          <w:rFonts w:ascii="Calibri" w:cs="Calibri" w:eastAsia="Calibri" w:hAnsi="Calibri"/>
          <w:color w:val="172B3A"/>
          <w:sz w:val="22"/>
          <w:szCs w:val="22"/>
        </w:rPr>
        <w:t xml:space="preserve">WyreStorm equipment listed in the equipment schedule.</w:t>
      </w:r>
    </w:p>
    <w:p>
      <w:pPr>
        <w:pStyle w:val="ListParagraph"/>
        <w:numPr>
          <w:ilvl w:val="0"/>
          <w:numId w:val="2"/>
        </w:numPr>
        <w:spacing w:after="80" w:line="290"/>
      </w:pPr>
      <w:r>
        <w:rPr>
          <w:rFonts w:ascii="Calibri" w:cs="Calibri" w:eastAsia="Calibri" w:hAnsi="Calibri"/>
          <w:color w:val="172B3A"/>
          <w:sz w:val="22"/>
          <w:szCs w:val="22"/>
        </w:rPr>
        <w:t xml:space="preserve">Product selection and proposal support based on what we discussed.</w:t>
      </w:r>
    </w:p>
    <w:p>
      <w:pPr>
        <w:pStyle w:val="ListParagraph"/>
        <w:numPr>
          <w:ilvl w:val="0"/>
          <w:numId w:val="2"/>
        </w:numPr>
        <w:spacing w:after="80" w:line="290"/>
      </w:pPr>
      <w:r>
        <w:rPr>
          <w:rFonts w:ascii="Calibri" w:cs="Calibri" w:eastAsia="Calibri" w:hAnsi="Calibri"/>
          <w:color w:val="172B3A"/>
          <w:sz w:val="22"/>
          <w:szCs w:val="22"/>
        </w:rPr>
        <w:t xml:space="preserve">A plain explanation of how the recommended system works.</w:t>
      </w:r>
    </w:p>
    <w:p>
      <w:pPr>
        <w:pStyle w:val="Heading2"/>
        <w:keepNext/>
        <w:spacing w:after="120" w:before="240"/>
      </w:pPr>
      <w:r>
        <w:rPr>
          <w:rFonts w:ascii="Calibri" w:cs="Calibri" w:eastAsia="Calibri" w:hAnsi="Calibri"/>
          <w:b/>
          <w:bCs/>
          <w:color w:val="08223A"/>
          <w:sz w:val="26"/>
          <w:szCs w:val="26"/>
        </w:rPr>
        <w:t xml:space="preserve">Delivery activities</w:t>
      </w:r>
    </w:p>
    <w:p>
      <w:pPr>
        <w:pStyle w:val="ListParagraph"/>
        <w:numPr>
          <w:ilvl w:val="0"/>
          <w:numId w:val="2"/>
        </w:numPr>
        <w:spacing w:after="80" w:line="290"/>
      </w:pPr>
      <w:r>
        <w:rPr>
          <w:rFonts w:ascii="Calibri" w:cs="Calibri" w:eastAsia="Calibri" w:hAnsi="Calibri"/>
          <w:color w:val="172B3A"/>
          <w:sz w:val="22"/>
          <w:szCs w:val="22"/>
        </w:rPr>
        <w:t xml:space="preserve">Validate the final design and interfaces against site conditions.</w:t>
      </w:r>
    </w:p>
    <w:p>
      <w:pPr>
        <w:pStyle w:val="ListParagraph"/>
        <w:numPr>
          <w:ilvl w:val="0"/>
          <w:numId w:val="2"/>
        </w:numPr>
        <w:spacing w:after="80" w:line="290"/>
      </w:pPr>
      <w:r>
        <w:rPr>
          <w:rFonts w:ascii="Calibri" w:cs="Calibri" w:eastAsia="Calibri" w:hAnsi="Calibri"/>
          <w:color w:val="172B3A"/>
          <w:sz w:val="22"/>
          <w:szCs w:val="22"/>
        </w:rPr>
        <w:t xml:space="preserve">Supply and configure the listed WyreStorm hardware where expressly included.</w:t>
      </w:r>
    </w:p>
    <w:p>
      <w:pPr>
        <w:pStyle w:val="ListParagraph"/>
        <w:numPr>
          <w:ilvl w:val="0"/>
          <w:numId w:val="2"/>
        </w:numPr>
        <w:spacing w:after="80" w:line="290"/>
      </w:pPr>
      <w:r>
        <w:rPr>
          <w:rFonts w:ascii="Calibri" w:cs="Calibri" w:eastAsia="Calibri" w:hAnsi="Calibri"/>
          <w:color w:val="172B3A"/>
          <w:sz w:val="22"/>
          <w:szCs w:val="22"/>
        </w:rPr>
        <w:t xml:space="preserve">Complete functional testing and record acceptance results where commissioning is quoted.</w:t>
      </w:r>
    </w:p>
    <w:p>
      <w:pPr>
        <w:pStyle w:val="Heading2"/>
        <w:keepNext/>
        <w:spacing w:after="120" w:before="240"/>
      </w:pPr>
      <w:r>
        <w:rPr>
          <w:rFonts w:ascii="Calibri" w:cs="Calibri" w:eastAsia="Calibri" w:hAnsi="Calibri"/>
          <w:b/>
          <w:bCs/>
          <w:color w:val="08223A"/>
          <w:sz w:val="26"/>
          <w:szCs w:val="26"/>
        </w:rPr>
        <w:t xml:space="preserve">Not included / by others</w:t>
      </w:r>
    </w:p>
    <w:p>
      <w:pPr>
        <w:pStyle w:val="ListParagraph"/>
        <w:numPr>
          <w:ilvl w:val="0"/>
          <w:numId w:val="2"/>
        </w:numPr>
        <w:spacing w:after="80" w:line="290"/>
      </w:pPr>
      <w:r>
        <w:rPr>
          <w:rFonts w:ascii="Calibri" w:cs="Calibri" w:eastAsia="Calibri" w:hAnsi="Calibri"/>
          <w:color w:val="172B3A"/>
          <w:sz w:val="22"/>
          <w:szCs w:val="22"/>
        </w:rPr>
        <w:t xml:space="preserve">Cabling, connectors, patch leads and installation consumables unless expressly listed.</w:t>
      </w:r>
    </w:p>
    <w:p>
      <w:pPr>
        <w:pStyle w:val="ListParagraph"/>
        <w:numPr>
          <w:ilvl w:val="0"/>
          <w:numId w:val="2"/>
        </w:numPr>
        <w:spacing w:after="80" w:line="290"/>
      </w:pPr>
      <w:r>
        <w:rPr>
          <w:rFonts w:ascii="Calibri" w:cs="Calibri" w:eastAsia="Calibri" w:hAnsi="Calibri"/>
          <w:color w:val="172B3A"/>
          <w:sz w:val="22"/>
          <w:szCs w:val="22"/>
        </w:rPr>
        <w:t xml:space="preserve">Installation labour, project management, commissioning and programming unless expressly listed.</w:t>
      </w:r>
    </w:p>
    <w:p>
      <w:pPr>
        <w:pStyle w:val="ListParagraph"/>
        <w:numPr>
          <w:ilvl w:val="0"/>
          <w:numId w:val="2"/>
        </w:numPr>
        <w:spacing w:after="80" w:line="290"/>
      </w:pPr>
      <w:r>
        <w:rPr>
          <w:rFonts w:ascii="Calibri" w:cs="Calibri" w:eastAsia="Calibri" w:hAnsi="Calibri"/>
          <w:color w:val="172B3A"/>
          <w:sz w:val="22"/>
          <w:szCs w:val="22"/>
        </w:rPr>
        <w:t xml:space="preserve">Visio, CAD, schematic and as-built drawing production unless expressly listed.</w:t>
      </w:r>
    </w:p>
    <w:p>
      <w:pPr>
        <w:pStyle w:val="ListParagraph"/>
        <w:numPr>
          <w:ilvl w:val="0"/>
          <w:numId w:val="2"/>
        </w:numPr>
        <w:spacing w:after="80" w:line="290"/>
      </w:pPr>
      <w:r>
        <w:rPr>
          <w:rFonts w:ascii="Calibri" w:cs="Calibri" w:eastAsia="Calibri" w:hAnsi="Calibri"/>
          <w:color w:val="172B3A"/>
          <w:sz w:val="22"/>
          <w:szCs w:val="22"/>
        </w:rPr>
        <w:t xml:space="preserve">Displays, projectors, loudspeakers, microphones, network switches and third-party equipment unless listed.</w:t>
      </w:r>
    </w:p>
    <w:p>
      <w:pPr>
        <w:pStyle w:val="ListParagraph"/>
        <w:numPr>
          <w:ilvl w:val="0"/>
          <w:numId w:val="2"/>
        </w:numPr>
        <w:spacing w:after="80" w:line="290"/>
      </w:pPr>
      <w:r>
        <w:rPr>
          <w:rFonts w:ascii="Calibri" w:cs="Calibri" w:eastAsia="Calibri" w:hAnsi="Calibri"/>
          <w:color w:val="172B3A"/>
          <w:sz w:val="22"/>
          <w:szCs w:val="22"/>
        </w:rPr>
        <w:t xml:space="preserve">Electrical, structural, containment and builder's work.</w:t>
      </w:r>
    </w:p>
    <w:p>
      <w:pPr>
        <w:pStyle w:val="Heading1"/>
        <w:keepNext/>
        <w:spacing w:after="200" w:before="360"/>
      </w:pPr>
      <w:r>
        <w:rPr>
          <w:rFonts w:ascii="Calibri" w:cs="Calibri" w:eastAsia="Calibri" w:hAnsi="Calibri"/>
          <w:b/>
          <w:bCs/>
          <w:color w:val="2E74B5"/>
          <w:sz w:val="32"/>
          <w:szCs w:val="32"/>
        </w:rPr>
        <w:t xml:space="preserve">Display Schedule</w:t>
      </w:r>
    </w:p>
    <w:p>
      <w:pPr>
        <w:spacing w:after="160" w:line="320"/>
        <w:jc w:val="both"/>
      </w:pPr>
      <w:r>
        <w:rPr>
          <w:rFonts w:ascii="Calibri" w:cs="Calibri" w:eastAsia="Calibri" w:hAnsi="Calibri"/>
          <w:color w:val="172B3A"/>
          <w:sz w:val="22"/>
          <w:szCs w:val="22"/>
        </w:rPr>
        <w:t xml:space="preserve">4 displays in scope, each driven by one feed.</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2020"/>
        <w:gridCol w:w="1683"/>
        <w:gridCol w:w="1414"/>
        <w:gridCol w:w="2087"/>
        <w:gridCol w:w="2156"/>
      </w:tblGrid>
      <w:tr>
        <w:trPr>
          <w:cantSplit/>
          <w:tblHeader/>
        </w:trPr>
        <w:tc>
          <w:tcPr>
            <w:tcW w:type="dxa" w:w="202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Screen</w:t>
            </w:r>
          </w:p>
        </w:tc>
        <w:tc>
          <w:tcPr>
            <w:tcW w:type="dxa" w:w="1683"/>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Resolution</w:t>
            </w:r>
          </w:p>
        </w:tc>
        <w:tc>
          <w:tcPr>
            <w:tcW w:type="dxa" w:w="1414"/>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Feeds</w:t>
            </w:r>
          </w:p>
        </w:tc>
        <w:tc>
          <w:tcPr>
            <w:tcW w:type="dxa" w:w="2087"/>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Scaling</w:t>
            </w:r>
          </w:p>
        </w:tc>
        <w:tc>
          <w:tcPr>
            <w:tcW w:type="dxa" w:w="2156"/>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Notes</w:t>
            </w:r>
          </w:p>
        </w:tc>
      </w:tr>
      <w:tr>
        <w:trPr>
          <w:cantSplit/>
        </w:trPr>
        <w:tc>
          <w:tcPr>
            <w:tcW w:type="dxa" w:w="202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Display 1</w:t>
            </w:r>
          </w:p>
        </w:tc>
        <w:tc>
          <w:tcPr>
            <w:tcW w:type="dxa" w:w="1683"/>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To confirm</w:t>
            </w:r>
          </w:p>
        </w:tc>
        <w:tc>
          <w:tcPr>
            <w:tcW w:type="dxa" w:w="1414"/>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2087"/>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Native 1:1, confirm at survey</w:t>
            </w:r>
          </w:p>
        </w:tc>
        <w:tc>
          <w:tcPr>
            <w:tcW w:type="dxa" w:w="2156"/>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Operator displays</w:t>
            </w:r>
          </w:p>
        </w:tc>
      </w:tr>
      <w:tr>
        <w:trPr>
          <w:cantSplit/>
        </w:trPr>
        <w:tc>
          <w:tcPr>
            <w:tcW w:type="dxa" w:w="202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Display 2</w:t>
            </w:r>
          </w:p>
        </w:tc>
        <w:tc>
          <w:tcPr>
            <w:tcW w:type="dxa" w:w="1683"/>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To confirm</w:t>
            </w:r>
          </w:p>
        </w:tc>
        <w:tc>
          <w:tcPr>
            <w:tcW w:type="dxa" w:w="1414"/>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2087"/>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Native 1:1, confirm at survey</w:t>
            </w:r>
          </w:p>
        </w:tc>
        <w:tc>
          <w:tcPr>
            <w:tcW w:type="dxa" w:w="2156"/>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
            </w:r>
          </w:p>
        </w:tc>
      </w:tr>
      <w:tr>
        <w:trPr>
          <w:cantSplit/>
        </w:trPr>
        <w:tc>
          <w:tcPr>
            <w:tcW w:type="dxa" w:w="202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Display 3</w:t>
            </w:r>
          </w:p>
        </w:tc>
        <w:tc>
          <w:tcPr>
            <w:tcW w:type="dxa" w:w="1683"/>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To confirm</w:t>
            </w:r>
          </w:p>
        </w:tc>
        <w:tc>
          <w:tcPr>
            <w:tcW w:type="dxa" w:w="1414"/>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2087"/>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Native 1:1, confirm at survey</w:t>
            </w:r>
          </w:p>
        </w:tc>
        <w:tc>
          <w:tcPr>
            <w:tcW w:type="dxa" w:w="2156"/>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
            </w:r>
          </w:p>
        </w:tc>
      </w:tr>
      <w:tr>
        <w:trPr>
          <w:cantSplit/>
        </w:trPr>
        <w:tc>
          <w:tcPr>
            <w:tcW w:type="dxa" w:w="202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Display 4</w:t>
            </w:r>
          </w:p>
        </w:tc>
        <w:tc>
          <w:tcPr>
            <w:tcW w:type="dxa" w:w="1683"/>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To confirm</w:t>
            </w:r>
          </w:p>
        </w:tc>
        <w:tc>
          <w:tcPr>
            <w:tcW w:type="dxa" w:w="1414"/>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w:t>
            </w:r>
          </w:p>
        </w:tc>
        <w:tc>
          <w:tcPr>
            <w:tcW w:type="dxa" w:w="2087"/>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Native 1:1, confirm at survey</w:t>
            </w:r>
          </w:p>
        </w:tc>
        <w:tc>
          <w:tcPr>
            <w:tcW w:type="dxa" w:w="2156"/>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
            </w:r>
          </w:p>
        </w:tc>
      </w:tr>
    </w:tbl>
    <w:p>
      <w:pPr>
        <w:spacing w:after="160" w:line="320"/>
      </w:pPr>
      <w:r>
        <w:rPr>
          <w:rFonts w:ascii="Calibri" w:cs="Calibri" w:eastAsia="Calibri" w:hAnsi="Calibri"/>
          <w:color w:val="5E7280"/>
          <w:sz w:val="18"/>
          <w:szCs w:val="18"/>
        </w:rPr>
        <w:t xml:space="preserve">Basis: Native resolution, feed count and scaling are confirmed when the display models are recorded.</w:t>
      </w:r>
    </w:p>
    <w:p>
      <w:pPr>
        <w:pStyle w:val="Heading1"/>
        <w:keepNext/>
        <w:spacing w:after="200" w:before="360"/>
      </w:pPr>
      <w:r>
        <w:rPr>
          <w:rFonts w:ascii="Calibri" w:cs="Calibri" w:eastAsia="Calibri" w:hAnsi="Calibri"/>
          <w:b/>
          <w:bCs/>
          <w:color w:val="2E74B5"/>
          <w:sz w:val="32"/>
          <w:szCs w:val="32"/>
        </w:rPr>
        <w:t xml:space="preserve">Equipment and Pricing</w:t>
      </w:r>
    </w:p>
    <w:p>
      <w:pPr>
        <w:spacing w:after="160" w:line="320"/>
      </w:pPr>
      <w:r>
        <w:rPr>
          <w:rFonts w:ascii="Calibri" w:cs="Calibri" w:eastAsia="Calibri" w:hAnsi="Calibri"/>
          <w:b/>
          <w:bCs/>
          <w:color w:val="08223A"/>
          <w:sz w:val="22"/>
          <w:szCs w:val="22"/>
        </w:rPr>
        <w:t xml:space="preserve">The equipment total is £7,650.00 excluding VAT / sales tax.</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1500"/>
        <w:gridCol w:w="2700"/>
        <w:gridCol w:w="650"/>
        <w:gridCol w:w="1350"/>
        <w:gridCol w:w="1450"/>
        <w:gridCol w:w="1710"/>
      </w:tblGrid>
      <w:tr>
        <w:trPr>
          <w:cantSplit/>
          <w:tblHeader/>
        </w:trPr>
        <w:tc>
          <w:tcPr>
            <w:tcW w:type="dxa" w:w="15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SKU</w:t>
            </w:r>
          </w:p>
        </w:tc>
        <w:tc>
          <w:tcPr>
            <w:tcW w:type="dxa" w:w="27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Description</w:t>
            </w:r>
          </w:p>
        </w:tc>
        <w:tc>
          <w:tcPr>
            <w:tcW w:type="dxa" w:w="6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13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Unit price</w:t>
            </w:r>
          </w:p>
        </w:tc>
        <w:tc>
          <w:tcPr>
            <w:tcW w:type="dxa" w:w="14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Line total</w:t>
            </w:r>
          </w:p>
        </w:tc>
        <w:tc>
          <w:tcPr>
            <w:tcW w:type="dxa" w:w="171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r>
      <w:tr>
        <w:trPr>
          <w:cantSplit/>
        </w:trPr>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NHD-600-E-TX</w:t>
            </w:r>
          </w:p>
        </w:tc>
        <w:tc>
          <w:tcPr>
            <w:tcW w:type="dxa" w:w="27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600 encoder</w:t>
            </w:r>
          </w:p>
        </w:tc>
        <w:tc>
          <w:tcPr>
            <w:tcW w:type="dxa" w:w="6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2</w:t>
            </w:r>
          </w:p>
        </w:tc>
        <w:tc>
          <w:tcPr>
            <w:tcW w:type="dxa" w:w="13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£1,000.00</w:t>
            </w:r>
          </w:p>
        </w:tc>
        <w:tc>
          <w:tcPr>
            <w:tcW w:type="dxa" w:w="14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£2,000.00</w:t>
            </w:r>
          </w:p>
        </w:tc>
        <w:tc>
          <w:tcPr>
            <w:tcW w:type="dxa" w:w="17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r>
        <w:trPr>
          <w:cantSplit/>
        </w:trPr>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NHD-600-E-RX</w:t>
            </w:r>
          </w:p>
        </w:tc>
        <w:tc>
          <w:tcPr>
            <w:tcW w:type="dxa" w:w="27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600 decoder</w:t>
            </w:r>
          </w:p>
        </w:tc>
        <w:tc>
          <w:tcPr>
            <w:tcW w:type="dxa" w:w="6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4</w:t>
            </w:r>
          </w:p>
        </w:tc>
        <w:tc>
          <w:tcPr>
            <w:tcW w:type="dxa" w:w="13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£1,100.00</w:t>
            </w:r>
          </w:p>
        </w:tc>
        <w:tc>
          <w:tcPr>
            <w:tcW w:type="dxa" w:w="14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£4,400.00</w:t>
            </w:r>
          </w:p>
        </w:tc>
        <w:tc>
          <w:tcPr>
            <w:tcW w:type="dxa" w:w="17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r>
        <w:trPr>
          <w:cantSplit/>
        </w:trPr>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NHD-CTL-PRO-V2</w:t>
            </w:r>
          </w:p>
        </w:tc>
        <w:tc>
          <w:tcPr>
            <w:tcW w:type="dxa" w:w="27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controller</w:t>
            </w:r>
          </w:p>
        </w:tc>
        <w:tc>
          <w:tcPr>
            <w:tcW w:type="dxa" w:w="6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w:t>
            </w:r>
          </w:p>
        </w:tc>
        <w:tc>
          <w:tcPr>
            <w:tcW w:type="dxa" w:w="13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£1,250.00</w:t>
            </w:r>
          </w:p>
        </w:tc>
        <w:tc>
          <w:tcPr>
            <w:tcW w:type="dxa" w:w="14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£1,250.00</w:t>
            </w:r>
          </w:p>
        </w:tc>
        <w:tc>
          <w:tcPr>
            <w:tcW w:type="dxa" w:w="17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Required</w:t>
            </w:r>
          </w:p>
        </w:tc>
      </w:tr>
      <w:tr>
        <w:trPr>
          <w:cantSplit/>
        </w:trPr>
        <w:tc>
          <w:tcPr>
            <w:tcW w:type="dxa" w:w="48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Equipment total</w:t>
            </w:r>
          </w:p>
        </w:tc>
        <w:tc>
          <w:tcPr>
            <w:tcW w:type="dxa" w:w="2800"/>
            <w:shd w:fill="F4F6F9" w:val="clear"/>
            <w:tcMar>
              <w:top w:type="dxa" w:w="80"/>
              <w:left w:type="dxa" w:w="120"/>
              <w:bottom w:type="dxa" w:w="80"/>
              <w:right w:type="dxa" w:w="120"/>
            </w:tcMar>
          </w:tcPr>
          <w:p>
            <w:pPr>
              <w:keepNext/>
              <w:spacing w:after="0" w:line="260"/>
              <w:jc w:val="right"/>
            </w:pPr>
            <w:r>
              <w:rPr>
                <w:rFonts w:ascii="Calibri" w:cs="Calibri" w:eastAsia="Calibri" w:hAnsi="Calibri"/>
                <w:b/>
                <w:bCs/>
                <w:color w:val="08223A"/>
                <w:sz w:val="18"/>
                <w:szCs w:val="18"/>
              </w:rPr>
              <w:t xml:space="preserve">£7,650.00</w:t>
            </w:r>
          </w:p>
        </w:tc>
        <w:tc>
          <w:tcPr>
            <w:tcW w:type="dxa" w:w="171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Excl. tax</w:t>
            </w:r>
          </w:p>
        </w:tc>
      </w:tr>
    </w:tbl>
    <w:p>
      <w:pPr>
        <w:spacing w:after="160" w:line="320"/>
      </w:pPr>
      <w:r>
        <w:rPr>
          <w:rFonts w:ascii="Calibri" w:cs="Calibri" w:eastAsia="Calibri" w:hAnsi="Calibri"/>
          <w:color w:val="5E7280"/>
          <w:sz w:val="18"/>
          <w:szCs w:val="18"/>
        </w:rPr>
        <w:t xml:space="preserve">Pricing covers only the listed equipment. Services, third-party equipment, freight, taxes and by-others work are excluded unless expressly priced below.</w:t>
      </w:r>
    </w:p>
    <w:p>
      <w:pPr>
        <w:pStyle w:val="Heading1"/>
        <w:keepNext/>
        <w:spacing w:after="200" w:before="360"/>
      </w:pPr>
      <w:r>
        <w:rPr>
          <w:rFonts w:ascii="Calibri" w:cs="Calibri" w:eastAsia="Calibri" w:hAnsi="Calibri"/>
          <w:b/>
          <w:bCs/>
          <w:color w:val="2E74B5"/>
          <w:sz w:val="32"/>
          <w:szCs w:val="32"/>
        </w:rPr>
        <w:t xml:space="preserve">Services and Commercial Allowances</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3900"/>
        <w:gridCol w:w="2460"/>
        <w:gridCol w:w="3000"/>
      </w:tblGrid>
      <w:tr>
        <w:trPr>
          <w:cantSplit/>
          <w:tblHeader/>
        </w:trPr>
        <w:tc>
          <w:tcPr>
            <w:tcW w:type="dxa" w:w="39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Service / discipline</w:t>
            </w:r>
          </w:p>
        </w:tc>
        <w:tc>
          <w:tcPr>
            <w:tcW w:type="dxa" w:w="24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Responsibility</w:t>
            </w:r>
          </w:p>
        </w:tc>
        <w:tc>
          <w:tcPr>
            <w:tcW w:type="dxa" w:w="30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Commercial status</w:t>
            </w:r>
          </w:p>
        </w:tc>
      </w:tr>
      <w:tr>
        <w:trPr>
          <w:cantSplit/>
        </w:trPr>
        <w:tc>
          <w:tcPr>
            <w:tcW w:type="dxa" w:w="3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Cabling and consumables</w:t>
            </w:r>
          </w:p>
        </w:tc>
        <w:tc>
          <w:tcPr>
            <w:tcW w:type="dxa" w:w="24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By integrator</w:t>
            </w:r>
          </w:p>
        </w:tc>
        <w:tc>
          <w:tcPr>
            <w:tcW w:type="dxa" w:w="30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Separately quoted</w:t>
            </w:r>
          </w:p>
        </w:tc>
      </w:tr>
      <w:tr>
        <w:trPr>
          <w:cantSplit/>
        </w:trPr>
        <w:tc>
          <w:tcPr>
            <w:tcW w:type="dxa" w:w="3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Installation labour</w:t>
            </w:r>
          </w:p>
        </w:tc>
        <w:tc>
          <w:tcPr>
            <w:tcW w:type="dxa" w:w="24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By integrator</w:t>
            </w:r>
          </w:p>
        </w:tc>
        <w:tc>
          <w:tcPr>
            <w:tcW w:type="dxa" w:w="30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Separately quoted</w:t>
            </w:r>
          </w:p>
        </w:tc>
      </w:tr>
      <w:tr>
        <w:trPr>
          <w:cantSplit/>
        </w:trPr>
        <w:tc>
          <w:tcPr>
            <w:tcW w:type="dxa" w:w="3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Project management</w:t>
            </w:r>
          </w:p>
        </w:tc>
        <w:tc>
          <w:tcPr>
            <w:tcW w:type="dxa" w:w="24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By integrator</w:t>
            </w:r>
          </w:p>
        </w:tc>
        <w:tc>
          <w:tcPr>
            <w:tcW w:type="dxa" w:w="30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Separately quoted</w:t>
            </w:r>
          </w:p>
        </w:tc>
      </w:tr>
      <w:tr>
        <w:trPr>
          <w:cantSplit/>
        </w:trPr>
        <w:tc>
          <w:tcPr>
            <w:tcW w:type="dxa" w:w="3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Configuration and commissioning</w:t>
            </w:r>
          </w:p>
        </w:tc>
        <w:tc>
          <w:tcPr>
            <w:tcW w:type="dxa" w:w="24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By integrator</w:t>
            </w:r>
          </w:p>
        </w:tc>
        <w:tc>
          <w:tcPr>
            <w:tcW w:type="dxa" w:w="30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Separately quoted</w:t>
            </w:r>
          </w:p>
        </w:tc>
      </w:tr>
      <w:tr>
        <w:trPr>
          <w:cantSplit/>
        </w:trPr>
        <w:tc>
          <w:tcPr>
            <w:tcW w:type="dxa" w:w="3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Visio / CAD / as-built drawings</w:t>
            </w:r>
          </w:p>
        </w:tc>
        <w:tc>
          <w:tcPr>
            <w:tcW w:type="dxa" w:w="24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By integrator</w:t>
            </w:r>
          </w:p>
        </w:tc>
        <w:tc>
          <w:tcPr>
            <w:tcW w:type="dxa" w:w="30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Separately quoted</w:t>
            </w:r>
          </w:p>
        </w:tc>
      </w:tr>
    </w:tbl>
    <w:p>
      <w:pPr>
        <w:pStyle w:val="Heading1"/>
        <w:keepNext/>
        <w:spacing w:after="200" w:before="360"/>
      </w:pPr>
      <w:r>
        <w:rPr>
          <w:rFonts w:ascii="Calibri" w:cs="Calibri" w:eastAsia="Calibri" w:hAnsi="Calibri"/>
          <w:b/>
          <w:bCs/>
          <w:color w:val="2E74B5"/>
          <w:sz w:val="32"/>
          <w:szCs w:val="32"/>
        </w:rPr>
        <w:t xml:space="preserve">Complete System Design and Responsibilities</w:t>
      </w:r>
    </w:p>
    <w:p>
      <w:pPr>
        <w:spacing w:after="160" w:line="320"/>
      </w:pPr>
      <w:r>
        <w:rPr>
          <w:rFonts w:ascii="Calibri" w:cs="Calibri" w:eastAsia="Calibri" w:hAnsi="Calibri"/>
          <w:color w:val="172B3A"/>
          <w:sz w:val="22"/>
          <w:szCs w:val="22"/>
        </w:rPr>
        <w:t xml:space="preserve">The items below complete the wider solution. Each one is still open: none of it is equipment or work included in this proposal, and we will agree the owner, detail and commercial treatment with you before it is issued.</w:t>
      </w:r>
    </w:p>
    <w:p>
      <w:pPr>
        <w:pStyle w:val="ListParagraph"/>
        <w:numPr>
          <w:ilvl w:val="0"/>
          <w:numId w:val="2"/>
        </w:numPr>
        <w:spacing w:after="80" w:line="290"/>
      </w:pPr>
      <w:r>
        <w:rPr>
          <w:rFonts w:ascii="Calibri" w:cs="Calibri" w:eastAsia="Calibri" w:hAnsi="Calibri"/>
          <w:color w:val="172B3A"/>
          <w:sz w:val="22"/>
          <w:szCs w:val="22"/>
        </w:rPr>
        <w:t xml:space="preserve">Displays | Operator displays — Confirm size and mounting. | Qty 4 | Responsibility: Integrator | Scope status: allowance</w:t>
      </w:r>
    </w:p>
    <w:p>
      <w:pPr>
        <w:pStyle w:val="Heading1"/>
        <w:keepNext/>
        <w:spacing w:after="200" w:before="360"/>
      </w:pPr>
      <w:r>
        <w:rPr>
          <w:rFonts w:ascii="Calibri" w:cs="Calibri" w:eastAsia="Calibri" w:hAnsi="Calibri"/>
          <w:b/>
          <w:bCs/>
          <w:color w:val="2E74B5"/>
          <w:sz w:val="32"/>
          <w:szCs w:val="32"/>
        </w:rPr>
        <w:t xml:space="preserve">Third-Party System Scope</w:t>
      </w:r>
    </w:p>
    <w:p>
      <w:pPr>
        <w:spacing w:after="160" w:line="320"/>
        <w:jc w:val="both"/>
      </w:pPr>
      <w:r>
        <w:rPr>
          <w:rFonts w:ascii="Calibri" w:cs="Calibri" w:eastAsia="Calibri" w:hAnsi="Calibri"/>
          <w:color w:val="172B3A"/>
          <w:sz w:val="22"/>
          <w:szCs w:val="22"/>
        </w:rPr>
        <w:t xml:space="preserve">WyreStorm is one part of the complete AV solution. The equipment and delivery tasks below still need an owner and a price before we can issue a final quotation. A TBC in this table is an allowance to be agreed, not a price included in the total.</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1550"/>
        <w:gridCol w:w="3370"/>
        <w:gridCol w:w="850"/>
        <w:gridCol w:w="2090"/>
        <w:gridCol w:w="1500"/>
      </w:tblGrid>
      <w:tr>
        <w:trPr>
          <w:cantSplit/>
          <w:tblHeader/>
        </w:trPr>
        <w:tc>
          <w:tcPr>
            <w:tcW w:type="dxa" w:w="15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Discipline</w:t>
            </w:r>
          </w:p>
        </w:tc>
        <w:tc>
          <w:tcPr>
            <w:tcW w:type="dxa" w:w="337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Scope / allowance</w:t>
            </w:r>
          </w:p>
        </w:tc>
        <w:tc>
          <w:tcPr>
            <w:tcW w:type="dxa" w:w="8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209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Responsibility</w:t>
            </w:r>
          </w:p>
        </w:tc>
        <w:tc>
          <w:tcPr>
            <w:tcW w:type="dxa" w:w="15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Price / allowance</w:t>
            </w:r>
          </w:p>
        </w:tc>
      </w:tr>
      <w:tr>
        <w:trPr>
          <w:cantSplit/>
        </w:trPr>
        <w:tc>
          <w:tcPr>
            <w:tcW w:type="dxa" w:w="15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Displays</w:t>
            </w:r>
          </w:p>
        </w:tc>
        <w:tc>
          <w:tcPr>
            <w:tcW w:type="dxa" w:w="337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Operator displays — Confirm size and mounting. — Scope status: allowance</w:t>
            </w:r>
          </w:p>
        </w:tc>
        <w:tc>
          <w:tcPr>
            <w:tcW w:type="dxa" w:w="85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4</w:t>
            </w:r>
          </w:p>
        </w:tc>
        <w:tc>
          <w:tcPr>
            <w:tcW w:type="dxa" w:w="209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Integrator</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TBC</w:t>
            </w:r>
          </w:p>
        </w:tc>
      </w:tr>
    </w:tbl>
    <w:p>
      <w:pPr>
        <w:pStyle w:val="Heading1"/>
        <w:keepNext/>
        <w:spacing w:after="200" w:before="360"/>
      </w:pPr>
      <w:r>
        <w:rPr>
          <w:rFonts w:ascii="Calibri" w:cs="Calibri" w:eastAsia="Calibri" w:hAnsi="Calibri"/>
          <w:b/>
          <w:bCs/>
          <w:color w:val="2E74B5"/>
          <w:sz w:val="32"/>
          <w:szCs w:val="32"/>
        </w:rPr>
        <w:t xml:space="preserve">Technical Architecture</w:t>
      </w:r>
    </w:p>
    <w:p>
      <w:pPr>
        <w:spacing w:after="160" w:line="320"/>
        <w:jc w:val="both"/>
      </w:pPr>
      <w:r>
        <w:rPr>
          <w:rFonts w:ascii="Calibri" w:cs="Calibri" w:eastAsia="Calibri" w:hAnsi="Calibri"/>
          <w:color w:val="172B3A"/>
          <w:sz w:val="22"/>
          <w:szCs w:val="22"/>
        </w:rPr>
        <w:t xml:space="preserve">Operator sources → NetworkHD encoders → 10GbE network → NetworkHD decoders → Four displays</w:t>
      </w:r>
    </w:p>
    <w:p>
      <w:pPr>
        <w:spacing w:after="160" w:line="320"/>
      </w:pPr>
      <w:r>
        <w:rPr>
          <w:rFonts w:ascii="Calibri" w:cs="Calibri" w:eastAsia="Calibri" w:hAnsi="Calibri"/>
          <w:color w:val="5E7280"/>
          <w:sz w:val="22"/>
          <w:szCs w:val="22"/>
        </w:rPr>
        <w:t xml:space="preserve">Concept signal-flow diagram: confirm physical connections, cable routes, third-party interfaces and operating modes before installation.</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1250"/>
        <w:gridCol w:w="8110"/>
      </w:tblGrid>
      <w:tr>
        <w:trPr>
          <w:cantSplit/>
          <w:tblHeader/>
        </w:trPr>
        <w:tc>
          <w:tcPr>
            <w:tcW w:type="dxa" w:w="12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Stage</w:t>
            </w:r>
          </w:p>
        </w:tc>
        <w:tc>
          <w:tcPr>
            <w:tcW w:type="dxa" w:w="811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System function</w:t>
            </w:r>
          </w:p>
        </w:tc>
      </w:tr>
      <w:tr>
        <w:trPr>
          <w:cantSplit/>
        </w:trPr>
        <w:tc>
          <w:tcPr>
            <w:tcW w:type="dxa" w:w="1250"/>
            <w:tcMar>
              <w:top w:type="dxa" w:w="80"/>
              <w:left w:type="dxa" w:w="120"/>
              <w:bottom w:type="dxa" w:w="80"/>
              <w:right w:type="dxa" w:w="120"/>
            </w:tcMar>
          </w:tcPr>
          <w:p>
            <w:pPr>
              <w:keepNext w:val="false"/>
              <w:spacing w:after="0" w:line="260"/>
              <w:jc w:val="center"/>
            </w:pPr>
            <w:r>
              <w:rPr>
                <w:rFonts w:ascii="Calibri" w:cs="Calibri" w:eastAsia="Calibri" w:hAnsi="Calibri"/>
                <w:b/>
                <w:bCs/>
                <w:color w:val="08223A"/>
                <w:sz w:val="18"/>
                <w:szCs w:val="18"/>
              </w:rPr>
              <w:t xml:space="preserve">1</w:t>
            </w:r>
          </w:p>
        </w:tc>
        <w:tc>
          <w:tcPr>
            <w:tcW w:type="dxa" w:w="8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Operator sources</w:t>
            </w:r>
          </w:p>
        </w:tc>
      </w:tr>
      <w:tr>
        <w:trPr>
          <w:cantSplit/>
        </w:trPr>
        <w:tc>
          <w:tcPr>
            <w:tcW w:type="dxa" w:w="1250"/>
            <w:tcMar>
              <w:top w:type="dxa" w:w="80"/>
              <w:left w:type="dxa" w:w="120"/>
              <w:bottom w:type="dxa" w:w="80"/>
              <w:right w:type="dxa" w:w="120"/>
            </w:tcMar>
          </w:tcPr>
          <w:p>
            <w:pPr>
              <w:keepNext w:val="false"/>
              <w:spacing w:after="0" w:line="260"/>
              <w:jc w:val="center"/>
            </w:pPr>
            <w:r>
              <w:rPr>
                <w:rFonts w:ascii="Calibri" w:cs="Calibri" w:eastAsia="Calibri" w:hAnsi="Calibri"/>
                <w:b/>
                <w:bCs/>
                <w:color w:val="08223A"/>
                <w:sz w:val="18"/>
                <w:szCs w:val="18"/>
              </w:rPr>
              <w:t xml:space="preserve">2</w:t>
            </w:r>
          </w:p>
        </w:tc>
        <w:tc>
          <w:tcPr>
            <w:tcW w:type="dxa" w:w="8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encoders</w:t>
            </w:r>
          </w:p>
        </w:tc>
      </w:tr>
      <w:tr>
        <w:trPr>
          <w:cantSplit/>
        </w:trPr>
        <w:tc>
          <w:tcPr>
            <w:tcW w:type="dxa" w:w="1250"/>
            <w:tcMar>
              <w:top w:type="dxa" w:w="80"/>
              <w:left w:type="dxa" w:w="120"/>
              <w:bottom w:type="dxa" w:w="80"/>
              <w:right w:type="dxa" w:w="120"/>
            </w:tcMar>
          </w:tcPr>
          <w:p>
            <w:pPr>
              <w:keepNext w:val="false"/>
              <w:spacing w:after="0" w:line="260"/>
              <w:jc w:val="center"/>
            </w:pPr>
            <w:r>
              <w:rPr>
                <w:rFonts w:ascii="Calibri" w:cs="Calibri" w:eastAsia="Calibri" w:hAnsi="Calibri"/>
                <w:b/>
                <w:bCs/>
                <w:color w:val="08223A"/>
                <w:sz w:val="18"/>
                <w:szCs w:val="18"/>
              </w:rPr>
              <w:t xml:space="preserve">3</w:t>
            </w:r>
          </w:p>
        </w:tc>
        <w:tc>
          <w:tcPr>
            <w:tcW w:type="dxa" w:w="8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10GbE network</w:t>
            </w:r>
          </w:p>
        </w:tc>
      </w:tr>
      <w:tr>
        <w:trPr>
          <w:cantSplit/>
        </w:trPr>
        <w:tc>
          <w:tcPr>
            <w:tcW w:type="dxa" w:w="1250"/>
            <w:tcMar>
              <w:top w:type="dxa" w:w="80"/>
              <w:left w:type="dxa" w:w="120"/>
              <w:bottom w:type="dxa" w:w="80"/>
              <w:right w:type="dxa" w:w="120"/>
            </w:tcMar>
          </w:tcPr>
          <w:p>
            <w:pPr>
              <w:keepNext w:val="false"/>
              <w:spacing w:after="0" w:line="260"/>
              <w:jc w:val="center"/>
            </w:pPr>
            <w:r>
              <w:rPr>
                <w:rFonts w:ascii="Calibri" w:cs="Calibri" w:eastAsia="Calibri" w:hAnsi="Calibri"/>
                <w:b/>
                <w:bCs/>
                <w:color w:val="08223A"/>
                <w:sz w:val="18"/>
                <w:szCs w:val="18"/>
              </w:rPr>
              <w:t xml:space="preserve">4</w:t>
            </w:r>
          </w:p>
        </w:tc>
        <w:tc>
          <w:tcPr>
            <w:tcW w:type="dxa" w:w="8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NetworkHD decoders</w:t>
            </w:r>
          </w:p>
        </w:tc>
      </w:tr>
      <w:tr>
        <w:trPr>
          <w:cantSplit/>
        </w:trPr>
        <w:tc>
          <w:tcPr>
            <w:tcW w:type="dxa" w:w="1250"/>
            <w:tcMar>
              <w:top w:type="dxa" w:w="80"/>
              <w:left w:type="dxa" w:w="120"/>
              <w:bottom w:type="dxa" w:w="80"/>
              <w:right w:type="dxa" w:w="120"/>
            </w:tcMar>
          </w:tcPr>
          <w:p>
            <w:pPr>
              <w:keepNext w:val="false"/>
              <w:spacing w:after="0" w:line="260"/>
              <w:jc w:val="center"/>
            </w:pPr>
            <w:r>
              <w:rPr>
                <w:rFonts w:ascii="Calibri" w:cs="Calibri" w:eastAsia="Calibri" w:hAnsi="Calibri"/>
                <w:b/>
                <w:bCs/>
                <w:color w:val="08223A"/>
                <w:sz w:val="18"/>
                <w:szCs w:val="18"/>
              </w:rPr>
              <w:t xml:space="preserve">5</w:t>
            </w:r>
          </w:p>
        </w:tc>
        <w:tc>
          <w:tcPr>
            <w:tcW w:type="dxa" w:w="8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Four displays</w:t>
            </w:r>
          </w:p>
        </w:tc>
      </w:tr>
    </w:tbl>
    <w:p>
      <w:pPr>
        <w:pStyle w:val="Heading1"/>
        <w:keepNext/>
        <w:spacing w:after="200" w:before="360"/>
      </w:pPr>
      <w:r>
        <w:rPr>
          <w:rFonts w:ascii="Calibri" w:cs="Calibri" w:eastAsia="Calibri" w:hAnsi="Calibri"/>
          <w:b/>
          <w:bCs/>
          <w:color w:val="2E74B5"/>
          <w:sz w:val="32"/>
          <w:szCs w:val="32"/>
        </w:rPr>
        <w:t xml:space="preserve">Cable Schedule</w:t>
      </w:r>
    </w:p>
    <w:p>
      <w:pPr>
        <w:spacing w:after="160" w:line="320"/>
        <w:jc w:val="both"/>
      </w:pPr>
      <w:r>
        <w:rPr>
          <w:rFonts w:ascii="Calibri" w:cs="Calibri" w:eastAsia="Calibri" w:hAnsi="Calibri"/>
          <w:color w:val="172B3A"/>
          <w:sz w:val="22"/>
          <w:szCs w:val="22"/>
        </w:rPr>
        <w:t xml:space="preserve">The cable schedule below lists every connection in the system, built from the equipment schedule. Each row gives the cable type, maximum length, connectors and what still needs checking. 0 of 14 runs are confirmed from WyreStorm product data; 14 need checking on site; 0 are not confirmed yet.</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2000"/>
        <w:gridCol w:w="1500"/>
        <w:gridCol w:w="900"/>
        <w:gridCol w:w="1200"/>
        <w:gridCol w:w="900"/>
        <w:gridCol w:w="2560"/>
      </w:tblGrid>
      <w:tr>
        <w:trPr>
          <w:cantSplit/>
          <w:tblHeader/>
        </w:trPr>
        <w:tc>
          <w:tcPr>
            <w:tcW w:type="dxa" w:w="20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Cable run</w:t>
            </w:r>
          </w:p>
        </w:tc>
        <w:tc>
          <w:tcPr>
            <w:tcW w:type="dxa" w:w="15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Transport type</w:t>
            </w:r>
          </w:p>
        </w:tc>
        <w:tc>
          <w:tcPr>
            <w:tcW w:type="dxa" w:w="9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Max length</w:t>
            </w:r>
          </w:p>
        </w:tc>
        <w:tc>
          <w:tcPr>
            <w:tcW w:type="dxa" w:w="12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Connectors</w:t>
            </w:r>
          </w:p>
        </w:tc>
        <w:tc>
          <w:tcPr>
            <w:tcW w:type="dxa" w:w="9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Status</w:t>
            </w:r>
          </w:p>
        </w:tc>
        <w:tc>
          <w:tcPr>
            <w:tcW w:type="dxa" w:w="25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Validation reminder</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Source 1 (confirm) → NHD-600-E-TX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SOURCE PORT TBD to HDMI IN</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Source 2 (confirm) → NHD-600-E-TX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SOURCE PORT TBD to HDMI IN</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NHD-600-E-TX → Network switch</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AV LAN (confirm) to SWITCH PORT 1</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NHD-600-E-TX → Network switch</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AV LAN (confirm) to SWITCH PORT 2</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Network switch → NHD-600-E-RX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SWITCH PORT 3 to AV LAN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Network switch → NHD-600-E-RX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SWITCH PORT 4 to AV LAN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Network switch → NHD-600-E-RX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SWITCH PORT 5 to AV LAN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Network switch → NHD-600-E-RX</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SWITCH PORT 6 to AV LAN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NHD-CTL-PRO-V2 → Network switch</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AV LAN (confirm) to SWITCH PORT 7</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port availability, VLAN assignment, PoE budget, cable category, and network topology.</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NHD-600-E-RX → Display 1 (confirm)</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HDMI OUT to DISPLAY INPUT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NHD-600-E-RX → Display 2 (confirm)</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HDMI OUT to DISPLAY INPUT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NHD-600-E-RX → Display 3 (confirm)</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HDMI OUT to DISPLAY INPUT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NHD-600-E-RX → Display 4 (confirm)</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Video</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15m</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HDMI OUT to DISPLAY INPUT (confirm)</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source and display connector types, cable length (typically &lt;5m passive), HDCP version, EDID behaviour, and resolution/HDR requirements.</w:t>
            </w:r>
          </w:p>
        </w:tc>
      </w:tr>
      <w:tr>
        <w:trPr>
          <w:cantSplit/>
        </w:trPr>
        <w:tc>
          <w:tcPr>
            <w:tcW w:type="dxa" w:w="2000"/>
            <w:tcMar>
              <w:top w:type="dxa" w:w="80"/>
              <w:left w:type="dxa" w:w="120"/>
              <w:bottom w:type="dxa" w:w="80"/>
              <w:right w:type="dxa" w:w="120"/>
            </w:tcMar>
          </w:tcPr>
          <w:p>
            <w:pPr>
              <w:keepNext w:val="false"/>
              <w:spacing w:after="0" w:line="260"/>
            </w:pPr>
            <w:r>
              <w:rPr>
                <w:rFonts w:ascii="Calibri" w:cs="Calibri" w:eastAsia="Calibri" w:hAnsi="Calibri"/>
                <w:b/>
                <w:bCs/>
                <w:color w:val="08223A"/>
                <w:sz w:val="18"/>
                <w:szCs w:val="18"/>
              </w:rPr>
              <w:t xml:space="preserve">AV network infrastructure</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Network / AVoIP</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Not confirmed</w:t>
            </w:r>
          </w:p>
        </w:tc>
        <w:tc>
          <w:tcPr>
            <w:tcW w:type="dxa" w:w="1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RJ45 to RJ45</w:t>
            </w:r>
          </w:p>
        </w:tc>
        <w:tc>
          <w:tcPr>
            <w:tcW w:type="dxa" w:w="9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Needs site confirmation</w:t>
            </w:r>
          </w:p>
        </w:tc>
        <w:tc>
          <w:tcPr>
            <w:tcW w:type="dxa" w:w="25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switch model, port count, PoE budget, VLAN configuration, multicast policy, and uplink capacity.</w:t>
            </w:r>
          </w:p>
        </w:tc>
      </w:tr>
    </w:tbl>
    <w:p>
      <w:pPr>
        <w:pStyle w:val="Heading1"/>
        <w:keepNext/>
        <w:spacing w:after="200" w:before="360"/>
      </w:pPr>
      <w:r>
        <w:rPr>
          <w:rFonts w:ascii="Calibri" w:cs="Calibri" w:eastAsia="Calibri" w:hAnsi="Calibri"/>
          <w:b/>
          <w:bCs/>
          <w:color w:val="2E74B5"/>
          <w:sz w:val="32"/>
          <w:szCs w:val="32"/>
        </w:rPr>
        <w:t xml:space="preserve">Products in the Solution</w:t>
      </w:r>
    </w:p>
    <w:p>
      <w:pPr>
        <w:pStyle w:val="Heading2"/>
        <w:keepNext/>
        <w:spacing w:after="120" w:before="240"/>
      </w:pPr>
      <w:r>
        <w:rPr>
          <w:rFonts w:ascii="Calibri" w:cs="Calibri" w:eastAsia="Calibri" w:hAnsi="Calibri"/>
          <w:b/>
          <w:bCs/>
          <w:color w:val="08223A"/>
          <w:sz w:val="26"/>
          <w:szCs w:val="26"/>
        </w:rPr>
        <w:t xml:space="preserve">NHD-600-E-TX — NetworkHD 600 encoder</w:t>
      </w:r>
    </w:p>
    <w:p>
      <w:pPr>
        <w:spacing w:after="160" w:line="320"/>
      </w:pPr>
      <w:r>
        <w:rPr>
          <w:rFonts w:ascii="Calibri" w:cs="Calibri" w:eastAsia="Calibri" w:hAnsi="Calibri"/>
          <w:color w:val="5E7280"/>
          <w:sz w:val="22"/>
          <w:szCs w:val="22"/>
        </w:rPr>
        <w:t xml:space="preserve">Product photograph unavailable.</w:t>
      </w:r>
    </w:p>
    <w:p>
      <w:pPr>
        <w:spacing w:after="160" w:line="320"/>
      </w:pPr>
      <w:r>
        <w:rPr>
          <w:rFonts w:ascii="Calibri" w:cs="Calibri" w:eastAsia="Calibri" w:hAnsi="Calibri"/>
          <w:color w:val="172B3A"/>
          <w:sz w:val="22"/>
          <w:szCs w:val="22"/>
        </w:rPr>
        <w:t xml:space="preserve">Role in this design: Encode operator sources</w:t>
      </w:r>
    </w:p>
    <w:p>
      <w:pPr>
        <w:spacing w:after="160" w:line="320"/>
      </w:pPr>
      <w:r>
        <w:rPr>
          <w:rFonts w:ascii="Calibri" w:cs="Calibri" w:eastAsia="Calibri" w:hAnsi="Calibri"/>
          <w:color w:val="5E7280"/>
          <w:sz w:val="22"/>
          <w:szCs w:val="22"/>
        </w:rPr>
        <w:t xml:space="preserve">Official product link to be confirmed.</w:t>
      </w:r>
    </w:p>
    <w:p>
      <w:pPr>
        <w:pStyle w:val="Heading2"/>
        <w:keepNext/>
        <w:spacing w:after="120" w:before="240"/>
      </w:pPr>
      <w:r>
        <w:rPr>
          <w:rFonts w:ascii="Calibri" w:cs="Calibri" w:eastAsia="Calibri" w:hAnsi="Calibri"/>
          <w:b/>
          <w:bCs/>
          <w:color w:val="08223A"/>
          <w:sz w:val="26"/>
          <w:szCs w:val="26"/>
        </w:rPr>
        <w:t xml:space="preserve">NHD-600-E-RX — NetworkHD 600 decoder</w:t>
      </w:r>
    </w:p>
    <w:p>
      <w:pPr>
        <w:spacing w:after="160" w:line="320"/>
      </w:pPr>
      <w:r>
        <w:rPr>
          <w:rFonts w:ascii="Calibri" w:cs="Calibri" w:eastAsia="Calibri" w:hAnsi="Calibri"/>
          <w:color w:val="5E7280"/>
          <w:sz w:val="22"/>
          <w:szCs w:val="22"/>
        </w:rPr>
        <w:t xml:space="preserve">Product photograph unavailable.</w:t>
      </w:r>
    </w:p>
    <w:p>
      <w:pPr>
        <w:spacing w:after="160" w:line="320"/>
      </w:pPr>
      <w:r>
        <w:rPr>
          <w:rFonts w:ascii="Calibri" w:cs="Calibri" w:eastAsia="Calibri" w:hAnsi="Calibri"/>
          <w:color w:val="172B3A"/>
          <w:sz w:val="22"/>
          <w:szCs w:val="22"/>
        </w:rPr>
        <w:t xml:space="preserve">Role in this design: Decode display feeds</w:t>
      </w:r>
    </w:p>
    <w:p>
      <w:pPr>
        <w:spacing w:after="160" w:line="320"/>
      </w:pPr>
      <w:r>
        <w:rPr>
          <w:rFonts w:ascii="Calibri" w:cs="Calibri" w:eastAsia="Calibri" w:hAnsi="Calibri"/>
          <w:color w:val="5E7280"/>
          <w:sz w:val="22"/>
          <w:szCs w:val="22"/>
        </w:rPr>
        <w:t xml:space="preserve">Official product link to be confirmed.</w:t>
      </w:r>
    </w:p>
    <w:p>
      <w:pPr>
        <w:pStyle w:val="Heading2"/>
        <w:keepNext/>
        <w:spacing w:after="120" w:before="240"/>
      </w:pPr>
      <w:r>
        <w:rPr>
          <w:rFonts w:ascii="Calibri" w:cs="Calibri" w:eastAsia="Calibri" w:hAnsi="Calibri"/>
          <w:b/>
          <w:bCs/>
          <w:color w:val="08223A"/>
          <w:sz w:val="26"/>
          <w:szCs w:val="26"/>
        </w:rPr>
        <w:t xml:space="preserve">NHD-CTL-PRO-V2 — NetworkHD controller</w:t>
      </w:r>
    </w:p>
    <w:p>
      <w:pPr>
        <w:spacing w:after="160" w:line="320"/>
      </w:pPr>
      <w:r>
        <w:rPr>
          <w:rFonts w:ascii="Calibri" w:cs="Calibri" w:eastAsia="Calibri" w:hAnsi="Calibri"/>
          <w:color w:val="5E7280"/>
          <w:sz w:val="22"/>
          <w:szCs w:val="22"/>
        </w:rPr>
        <w:t xml:space="preserve">Product photograph unavailable.</w:t>
      </w:r>
    </w:p>
    <w:p>
      <w:pPr>
        <w:spacing w:after="160" w:line="320"/>
      </w:pPr>
      <w:r>
        <w:rPr>
          <w:rFonts w:ascii="Calibri" w:cs="Calibri" w:eastAsia="Calibri" w:hAnsi="Calibri"/>
          <w:color w:val="172B3A"/>
          <w:sz w:val="22"/>
          <w:szCs w:val="22"/>
        </w:rPr>
        <w:t xml:space="preserve">Role in this design: Routing control</w:t>
      </w:r>
    </w:p>
    <w:p>
      <w:pPr>
        <w:spacing w:after="160" w:line="320"/>
      </w:pPr>
      <w:r>
        <w:rPr>
          <w:rFonts w:ascii="Calibri" w:cs="Calibri" w:eastAsia="Calibri" w:hAnsi="Calibri"/>
          <w:color w:val="5E7280"/>
          <w:sz w:val="22"/>
          <w:szCs w:val="22"/>
        </w:rPr>
        <w:t xml:space="preserve">Official product link to be confirmed.</w:t>
      </w:r>
    </w:p>
    <w:p>
      <w:pPr>
        <w:pStyle w:val="Heading1"/>
        <w:keepNext/>
        <w:spacing w:after="200" w:before="360"/>
      </w:pPr>
      <w:r>
        <w:rPr>
          <w:rFonts w:ascii="Calibri" w:cs="Calibri" w:eastAsia="Calibri" w:hAnsi="Calibri"/>
          <w:b/>
          <w:bCs/>
          <w:color w:val="2E74B5"/>
          <w:sz w:val="32"/>
          <w:szCs w:val="32"/>
        </w:rPr>
        <w:t xml:space="preserve">WyreStorm Product Specifications</w:t>
      </w:r>
    </w:p>
    <w:p>
      <w:pPr>
        <w:spacing w:after="160" w:line="320"/>
      </w:pPr>
      <w:r>
        <w:rPr>
          <w:rFonts w:ascii="Calibri" w:cs="Calibri" w:eastAsia="Calibri" w:hAnsi="Calibri"/>
          <w:color w:val="5E7280"/>
          <w:sz w:val="22"/>
          <w:szCs w:val="22"/>
        </w:rPr>
        <w:t xml:space="preserve">Product specifications will be added after the final WyreStorm equipment selection is approved.</w:t>
      </w:r>
    </w:p>
    <w:p>
      <w:pPr>
        <w:pStyle w:val="Heading1"/>
        <w:keepNext/>
        <w:spacing w:after="200" w:before="360"/>
      </w:pPr>
      <w:r>
        <w:rPr>
          <w:rFonts w:ascii="Calibri" w:cs="Calibri" w:eastAsia="Calibri" w:hAnsi="Calibri"/>
          <w:b/>
          <w:bCs/>
          <w:color w:val="2E74B5"/>
          <w:sz w:val="32"/>
          <w:szCs w:val="32"/>
        </w:rPr>
        <w:t xml:space="preserve">Power Strategy</w:t>
      </w:r>
    </w:p>
    <w:p>
      <w:pPr>
        <w:spacing w:after="160" w:line="320"/>
        <w:jc w:val="both"/>
      </w:pPr>
      <w:r>
        <w:rPr>
          <w:rFonts w:ascii="Calibri" w:cs="Calibri" w:eastAsia="Calibri" w:hAnsi="Calibri"/>
          <w:color w:val="172B3A"/>
          <w:sz w:val="22"/>
          <w:szCs w:val="22"/>
        </w:rPr>
        <w:t xml:space="preserve">The power figures below come from WyreStorm product data for each selected product. They are the maximum the published specification states, and should be checked against the current datasheet before ordering.</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2200"/>
        <w:gridCol w:w="900"/>
        <w:gridCol w:w="1600"/>
        <w:gridCol w:w="1600"/>
        <w:gridCol w:w="3060"/>
      </w:tblGrid>
      <w:tr>
        <w:trPr>
          <w:cantSplit/>
          <w:tblHeader/>
        </w:trPr>
        <w:tc>
          <w:tcPr>
            <w:tcW w:type="dxa" w:w="22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SKU</w:t>
            </w:r>
          </w:p>
        </w:tc>
        <w:tc>
          <w:tcPr>
            <w:tcW w:type="dxa" w:w="9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Qty</w:t>
            </w:r>
          </w:p>
        </w:tc>
        <w:tc>
          <w:tcPr>
            <w:tcW w:type="dxa" w:w="1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Per-unit max</w:t>
            </w:r>
          </w:p>
        </w:tc>
        <w:tc>
          <w:tcPr>
            <w:tcW w:type="dxa" w:w="16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Total max</w:t>
            </w:r>
          </w:p>
        </w:tc>
        <w:tc>
          <w:tcPr>
            <w:tcW w:type="dxa" w:w="306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Power data (WyreStorm)</w:t>
            </w:r>
          </w:p>
        </w:tc>
      </w:tr>
      <w:tr>
        <w:trPr>
          <w:cantSplit/>
        </w:trPr>
        <w:tc>
          <w:tcPr>
            <w:tcW w:type="dxa" w:w="2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NHD-600-E-TX</w:t>
            </w:r>
          </w:p>
        </w:tc>
        <w:tc>
          <w:tcPr>
            <w:tcW w:type="dxa" w:w="9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2</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Not proven</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w:t>
            </w:r>
          </w:p>
        </w:tc>
        <w:tc>
          <w:tcPr>
            <w:tcW w:type="dxa" w:w="30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802.3at PoE+</w:t>
            </w:r>
          </w:p>
        </w:tc>
      </w:tr>
      <w:tr>
        <w:trPr>
          <w:cantSplit/>
        </w:trPr>
        <w:tc>
          <w:tcPr>
            <w:tcW w:type="dxa" w:w="2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NHD-600-E-RX</w:t>
            </w:r>
          </w:p>
        </w:tc>
        <w:tc>
          <w:tcPr>
            <w:tcW w:type="dxa" w:w="9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4</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Not proven</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w:t>
            </w:r>
          </w:p>
        </w:tc>
        <w:tc>
          <w:tcPr>
            <w:tcW w:type="dxa" w:w="30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802.3at PoE+</w:t>
            </w:r>
          </w:p>
        </w:tc>
      </w:tr>
      <w:tr>
        <w:trPr>
          <w:cantSplit/>
        </w:trPr>
        <w:tc>
          <w:tcPr>
            <w:tcW w:type="dxa" w:w="22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NHD-CTL-PRO-V2</w:t>
            </w:r>
          </w:p>
        </w:tc>
        <w:tc>
          <w:tcPr>
            <w:tcW w:type="dxa" w:w="9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15.4W</w:t>
            </w:r>
          </w:p>
        </w:tc>
        <w:tc>
          <w:tcPr>
            <w:tcW w:type="dxa" w:w="1600"/>
            <w:tcMar>
              <w:top w:type="dxa" w:w="80"/>
              <w:left w:type="dxa" w:w="120"/>
              <w:bottom w:type="dxa" w:w="80"/>
              <w:right w:type="dxa" w:w="120"/>
            </w:tcMar>
          </w:tcPr>
          <w:p>
            <w:pPr>
              <w:keepNext w:val="false"/>
              <w:spacing w:after="0" w:line="260"/>
              <w:jc w:val="right"/>
            </w:pPr>
            <w:r>
              <w:rPr>
                <w:rFonts w:ascii="Calibri" w:cs="Calibri" w:eastAsia="Calibri" w:hAnsi="Calibri"/>
                <w:color w:val="172B3A"/>
                <w:sz w:val="18"/>
                <w:szCs w:val="18"/>
              </w:rPr>
              <w:t xml:space="preserve">15.4W</w:t>
            </w:r>
          </w:p>
        </w:tc>
        <w:tc>
          <w:tcPr>
            <w:tcW w:type="dxa" w:w="306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12V DC | PoE compliant; Max 15.4W, average 8W</w:t>
            </w:r>
          </w:p>
        </w:tc>
      </w:tr>
    </w:tbl>
    <w:p>
      <w:pPr>
        <w:spacing w:after="160" w:line="320"/>
      </w:pPr>
      <w:r>
        <w:rPr>
          <w:rFonts w:ascii="Calibri" w:cs="Calibri" w:eastAsia="Calibri" w:hAnsi="Calibri"/>
          <w:color w:val="08223A"/>
          <w:sz w:val="22"/>
          <w:szCs w:val="22"/>
        </w:rPr>
        <w:t xml:space="preserve">Stated maximum consumption: approximately 15W across the products with proven figures. Confirm the local power strategy (circuits, rack PSUs, PoE/PoH injector budgets) covers the full BOM before quoting.</w:t>
      </w:r>
    </w:p>
    <w:p>
      <w:pPr>
        <w:spacing w:after="160" w:line="320"/>
      </w:pPr>
      <w:r>
        <w:rPr>
          <w:rFonts w:ascii="Calibri" w:cs="Calibri" w:eastAsia="Calibri" w:hAnsi="Calibri"/>
          <w:color w:val="08223A"/>
          <w:sz w:val="22"/>
          <w:szCs w:val="22"/>
        </w:rPr>
        <w:t xml:space="preserve">PoE/PoH requirement: NHD-600-E-TX, NHD-600-E-RX, NHD-CTL-PRO-V2 — confirm the injector or switch PoE budget covers the total before order.</w:t>
      </w:r>
    </w:p>
    <w:p>
      <w:pPr>
        <w:pStyle w:val="Heading1"/>
        <w:keepNext/>
        <w:spacing w:after="200" w:before="360"/>
      </w:pPr>
      <w:r>
        <w:rPr>
          <w:rFonts w:ascii="Calibri" w:cs="Calibri" w:eastAsia="Calibri" w:hAnsi="Calibri"/>
          <w:b/>
          <w:bCs/>
          <w:color w:val="2E74B5"/>
          <w:sz w:val="32"/>
          <w:szCs w:val="32"/>
        </w:rPr>
        <w:t xml:space="preserve">Testing and Acceptance Criteria</w:t>
      </w:r>
    </w:p>
    <w:p>
      <w:pPr>
        <w:pStyle w:val="ListParagraph"/>
        <w:numPr>
          <w:ilvl w:val="0"/>
          <w:numId w:val="2"/>
        </w:numPr>
        <w:spacing w:after="80" w:line="290"/>
      </w:pPr>
      <w:r>
        <w:rPr>
          <w:rFonts w:ascii="Calibri" w:cs="Calibri" w:eastAsia="Calibri" w:hAnsi="Calibri"/>
          <w:color w:val="172B3A"/>
          <w:sz w:val="22"/>
          <w:szCs w:val="22"/>
        </w:rPr>
        <w:t xml:space="preserve">Every approved source-to-display route passes functional testing.</w:t>
      </w:r>
    </w:p>
    <w:p>
      <w:pPr>
        <w:pStyle w:val="Heading1"/>
        <w:keepNext/>
        <w:spacing w:after="200" w:before="360"/>
      </w:pPr>
      <w:r>
        <w:rPr>
          <w:rFonts w:ascii="Calibri" w:cs="Calibri" w:eastAsia="Calibri" w:hAnsi="Calibri"/>
          <w:b/>
          <w:bCs/>
          <w:color w:val="2E74B5"/>
          <w:sz w:val="32"/>
          <w:szCs w:val="32"/>
        </w:rPr>
        <w:t xml:space="preserve">Timeline and Phases</w:t>
      </w:r>
    </w:p>
    <w:p>
      <w:pPr>
        <w:spacing w:after="160" w:line="320"/>
      </w:pPr>
      <w:r>
        <w:rPr>
          <w:rFonts w:ascii="Calibri" w:cs="Calibri" w:eastAsia="Calibri" w:hAnsi="Calibri"/>
          <w:color w:val="5E7280"/>
          <w:sz w:val="22"/>
          <w:szCs w:val="22"/>
        </w:rPr>
        <w:t xml:space="preserve">The programme below is indicative and begins only after design approval, commercial acceptance, stock confirmation and site readiness.</w:t>
      </w:r>
    </w:p>
    <w:tbl>
      <w:tblPr>
        <w:tblW w:type="dxa" w:w="9360"/>
        <w:tblBorders>
          <w:top w:val="single" w:color="CBD5E1" w:sz="4"/>
          <w:left w:val="single" w:color="CBD5E1" w:sz="4"/>
          <w:bottom w:val="single" w:color="CBD5E1" w:sz="4"/>
          <w:right w:val="single" w:color="CBD5E1" w:sz="4"/>
          <w:insideH w:val="single" w:color="CBD5E1" w:sz="3"/>
          <w:insideV w:val="single" w:color="CBD5E1" w:sz="3"/>
        </w:tblBorders>
        <w:tblLayout w:type="fixed"/>
      </w:tblPr>
      <w:tblGrid>
        <w:gridCol w:w="1250"/>
        <w:gridCol w:w="2500"/>
        <w:gridCol w:w="1500"/>
        <w:gridCol w:w="4110"/>
      </w:tblGrid>
      <w:tr>
        <w:trPr>
          <w:cantSplit/>
          <w:tblHeader/>
        </w:trPr>
        <w:tc>
          <w:tcPr>
            <w:tcW w:type="dxa" w:w="125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Phase</w:t>
            </w:r>
          </w:p>
        </w:tc>
        <w:tc>
          <w:tcPr>
            <w:tcW w:type="dxa" w:w="25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Activity</w:t>
            </w:r>
          </w:p>
        </w:tc>
        <w:tc>
          <w:tcPr>
            <w:tcW w:type="dxa" w:w="150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Indicative timing</w:t>
            </w:r>
          </w:p>
        </w:tc>
        <w:tc>
          <w:tcPr>
            <w:tcW w:type="dxa" w:w="4110"/>
            <w:shd w:fill="F4F6F9" w:val="clear"/>
            <w:tcMar>
              <w:top w:type="dxa" w:w="80"/>
              <w:left w:type="dxa" w:w="120"/>
              <w:bottom w:type="dxa" w:w="80"/>
              <w:right w:type="dxa" w:w="120"/>
            </w:tcMar>
          </w:tcPr>
          <w:p>
            <w:pPr>
              <w:keepNext/>
              <w:spacing w:after="0" w:line="260"/>
            </w:pPr>
            <w:r>
              <w:rPr>
                <w:rFonts w:ascii="Calibri" w:cs="Calibri" w:eastAsia="Calibri" w:hAnsi="Calibri"/>
                <w:b/>
                <w:bCs/>
                <w:color w:val="08223A"/>
                <w:sz w:val="18"/>
                <w:szCs w:val="18"/>
              </w:rPr>
              <w:t xml:space="preserve">Dependency / output</w:t>
            </w:r>
          </w:p>
        </w:tc>
      </w:tr>
      <w:tr>
        <w:trPr>
          <w:cantSplit/>
        </w:trPr>
        <w:tc>
          <w:tcPr>
            <w:tcW w:type="dxa" w:w="12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Phase 1</w:t>
            </w:r>
          </w:p>
        </w:tc>
        <w:tc>
          <w:tcPr>
            <w:tcW w:type="dxa" w:w="2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Site survey and preparation</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Dates to be agreed</w:t>
            </w:r>
          </w:p>
        </w:tc>
        <w:tc>
          <w:tcPr>
            <w:tcW w:type="dxa" w:w="4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Confirm room, cable routes, network, power and access</w:t>
            </w:r>
          </w:p>
        </w:tc>
      </w:tr>
      <w:tr>
        <w:trPr>
          <w:cantSplit/>
        </w:trPr>
        <w:tc>
          <w:tcPr>
            <w:tcW w:type="dxa" w:w="12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Phase 2</w:t>
            </w:r>
          </w:p>
        </w:tc>
        <w:tc>
          <w:tcPr>
            <w:tcW w:type="dxa" w:w="2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Hardware delivery and physical installation</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Dates to be agreed</w:t>
            </w:r>
          </w:p>
        </w:tc>
        <w:tc>
          <w:tcPr>
            <w:tcW w:type="dxa" w:w="4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Subject to stock and site readiness</w:t>
            </w:r>
          </w:p>
        </w:tc>
      </w:tr>
      <w:tr>
        <w:trPr>
          <w:cantSplit/>
        </w:trPr>
        <w:tc>
          <w:tcPr>
            <w:tcW w:type="dxa" w:w="12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Phase 3</w:t>
            </w:r>
          </w:p>
        </w:tc>
        <w:tc>
          <w:tcPr>
            <w:tcW w:type="dxa" w:w="2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Cabling, configuration and integration</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Dates to be agreed</w:t>
            </w:r>
          </w:p>
        </w:tc>
        <w:tc>
          <w:tcPr>
            <w:tcW w:type="dxa" w:w="4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Integrator / trades complete by-others scope</w:t>
            </w:r>
          </w:p>
        </w:tc>
      </w:tr>
      <w:tr>
        <w:trPr>
          <w:cantSplit/>
        </w:trPr>
        <w:tc>
          <w:tcPr>
            <w:tcW w:type="dxa" w:w="12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Phase 4</w:t>
            </w:r>
          </w:p>
        </w:tc>
        <w:tc>
          <w:tcPr>
            <w:tcW w:type="dxa" w:w="2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Commissioning and acceptance testing</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Dates to be agreed</w:t>
            </w:r>
          </w:p>
        </w:tc>
        <w:tc>
          <w:tcPr>
            <w:tcW w:type="dxa" w:w="4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Validate agreed routing, control, audio and USB workflows</w:t>
            </w:r>
          </w:p>
        </w:tc>
      </w:tr>
      <w:tr>
        <w:trPr>
          <w:cantSplit/>
        </w:trPr>
        <w:tc>
          <w:tcPr>
            <w:tcW w:type="dxa" w:w="125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Phase 5</w:t>
            </w:r>
          </w:p>
        </w:tc>
        <w:tc>
          <w:tcPr>
            <w:tcW w:type="dxa" w:w="2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Handover and close-out</w:t>
            </w:r>
          </w:p>
        </w:tc>
        <w:tc>
          <w:tcPr>
            <w:tcW w:type="dxa" w:w="150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Dates to be agreed</w:t>
            </w:r>
          </w:p>
        </w:tc>
        <w:tc>
          <w:tcPr>
            <w:tcW w:type="dxa" w:w="4110"/>
            <w:tcMar>
              <w:top w:type="dxa" w:w="80"/>
              <w:left w:type="dxa" w:w="120"/>
              <w:bottom w:type="dxa" w:w="80"/>
              <w:right w:type="dxa" w:w="120"/>
            </w:tcMar>
          </w:tcPr>
          <w:p>
            <w:pPr>
              <w:keepNext w:val="false"/>
              <w:spacing w:after="0" w:line="260"/>
            </w:pPr>
            <w:r>
              <w:rPr>
                <w:rFonts w:ascii="Calibri" w:cs="Calibri" w:eastAsia="Calibri" w:hAnsi="Calibri"/>
                <w:color w:val="172B3A"/>
                <w:sz w:val="18"/>
                <w:szCs w:val="18"/>
              </w:rPr>
              <w:t xml:space="preserve">Training, documentation and customer sign-off</w:t>
            </w:r>
          </w:p>
        </w:tc>
      </w:tr>
    </w:tbl>
    <w:p>
      <w:pPr>
        <w:pStyle w:val="Heading1"/>
        <w:keepNext/>
        <w:spacing w:after="200" w:before="360"/>
      </w:pPr>
      <w:r>
        <w:rPr>
          <w:rFonts w:ascii="Calibri" w:cs="Calibri" w:eastAsia="Calibri" w:hAnsi="Calibri"/>
          <w:b/>
          <w:bCs/>
          <w:color w:val="2E74B5"/>
          <w:sz w:val="32"/>
          <w:szCs w:val="32"/>
        </w:rPr>
        <w:t xml:space="preserve">Responsibilities and Dependencies</w:t>
      </w:r>
    </w:p>
    <w:p>
      <w:pPr>
        <w:pStyle w:val="Heading2"/>
        <w:keepNext/>
        <w:spacing w:after="120" w:before="240"/>
      </w:pPr>
      <w:r>
        <w:rPr>
          <w:rFonts w:ascii="Calibri" w:cs="Calibri" w:eastAsia="Calibri" w:hAnsi="Calibri"/>
          <w:b/>
          <w:bCs/>
          <w:color w:val="08223A"/>
          <w:sz w:val="26"/>
          <w:szCs w:val="26"/>
        </w:rPr>
        <w:t xml:space="preserve">Responsibilities</w:t>
      </w:r>
    </w:p>
    <w:p>
      <w:pPr>
        <w:pStyle w:val="ListParagraph"/>
        <w:numPr>
          <w:ilvl w:val="0"/>
          <w:numId w:val="2"/>
        </w:numPr>
        <w:spacing w:after="80" w:line="290"/>
      </w:pPr>
      <w:r>
        <w:rPr>
          <w:rFonts w:ascii="Calibri" w:cs="Calibri" w:eastAsia="Calibri" w:hAnsi="Calibri"/>
          <w:color w:val="172B3A"/>
          <w:sz w:val="22"/>
          <w:szCs w:val="22"/>
        </w:rPr>
        <w:t xml:space="preserve">Supplier: provide the listed WyreStorm equipment and product documentation.</w:t>
      </w:r>
    </w:p>
    <w:p>
      <w:pPr>
        <w:pStyle w:val="ListParagraph"/>
        <w:numPr>
          <w:ilvl w:val="0"/>
          <w:numId w:val="2"/>
        </w:numPr>
        <w:spacing w:after="80" w:line="290"/>
      </w:pPr>
      <w:r>
        <w:rPr>
          <w:rFonts w:ascii="Calibri" w:cs="Calibri" w:eastAsia="Calibri" w:hAnsi="Calibri"/>
          <w:color w:val="172B3A"/>
          <w:sz w:val="22"/>
          <w:szCs w:val="22"/>
        </w:rPr>
        <w:t xml:space="preserve">Integrator: confirm final design, install, configure, test and commission the complete system.</w:t>
      </w:r>
    </w:p>
    <w:p>
      <w:pPr>
        <w:pStyle w:val="ListParagraph"/>
        <w:numPr>
          <w:ilvl w:val="0"/>
          <w:numId w:val="2"/>
        </w:numPr>
        <w:spacing w:after="80" w:line="290"/>
      </w:pPr>
      <w:r>
        <w:rPr>
          <w:rFonts w:ascii="Calibri" w:cs="Calibri" w:eastAsia="Calibri" w:hAnsi="Calibri"/>
          <w:color w:val="172B3A"/>
          <w:sz w:val="22"/>
          <w:szCs w:val="22"/>
        </w:rPr>
        <w:t xml:space="preserve">Customer / IT: confirm network, security, access, room and operational requirements.</w:t>
      </w:r>
    </w:p>
    <w:p>
      <w:pPr>
        <w:pStyle w:val="Heading2"/>
        <w:keepNext/>
        <w:spacing w:after="120" w:before="240"/>
      </w:pPr>
      <w:r>
        <w:rPr>
          <w:rFonts w:ascii="Calibri" w:cs="Calibri" w:eastAsia="Calibri" w:hAnsi="Calibri"/>
          <w:b/>
          <w:bCs/>
          <w:color w:val="08223A"/>
          <w:sz w:val="26"/>
          <w:szCs w:val="26"/>
        </w:rPr>
        <w:t xml:space="preserve">Dependencies</w:t>
      </w:r>
    </w:p>
    <w:p>
      <w:pPr>
        <w:pStyle w:val="ListParagraph"/>
        <w:numPr>
          <w:ilvl w:val="0"/>
          <w:numId w:val="2"/>
        </w:numPr>
        <w:spacing w:after="80" w:line="290"/>
      </w:pPr>
      <w:r>
        <w:rPr>
          <w:rFonts w:ascii="Calibri" w:cs="Calibri" w:eastAsia="Calibri" w:hAnsi="Calibri"/>
          <w:color w:val="172B3A"/>
          <w:sz w:val="22"/>
          <w:szCs w:val="22"/>
        </w:rPr>
        <w:t xml:space="preserve">NET-SWITCH-10G-MANAGED</w:t>
      </w:r>
    </w:p>
    <w:p>
      <w:pPr>
        <w:pStyle w:val="Heading1"/>
        <w:keepNext/>
        <w:spacing w:after="200" w:before="360"/>
      </w:pPr>
      <w:r>
        <w:rPr>
          <w:rFonts w:ascii="Calibri" w:cs="Calibri" w:eastAsia="Calibri" w:hAnsi="Calibri"/>
          <w:b/>
          <w:bCs/>
          <w:color w:val="2E74B5"/>
          <w:sz w:val="32"/>
          <w:szCs w:val="32"/>
        </w:rPr>
        <w:t xml:space="preserve">Assumptions, Risks and Exclusions</w:t>
      </w:r>
    </w:p>
    <w:p>
      <w:pPr>
        <w:pStyle w:val="Heading2"/>
        <w:keepNext/>
        <w:spacing w:after="120" w:before="240"/>
      </w:pPr>
      <w:r>
        <w:rPr>
          <w:rFonts w:ascii="Calibri" w:cs="Calibri" w:eastAsia="Calibri" w:hAnsi="Calibri"/>
          <w:b/>
          <w:bCs/>
          <w:color w:val="08223A"/>
          <w:sz w:val="26"/>
          <w:szCs w:val="26"/>
        </w:rPr>
        <w:t xml:space="preserve">Assumptions</w:t>
      </w:r>
    </w:p>
    <w:p>
      <w:pPr>
        <w:pStyle w:val="ListParagraph"/>
        <w:numPr>
          <w:ilvl w:val="0"/>
          <w:numId w:val="2"/>
        </w:numPr>
        <w:spacing w:after="80" w:line="290"/>
      </w:pPr>
      <w:r>
        <w:rPr>
          <w:rFonts w:ascii="Calibri" w:cs="Calibri" w:eastAsia="Calibri" w:hAnsi="Calibri"/>
          <w:color w:val="172B3A"/>
          <w:sz w:val="22"/>
          <w:szCs w:val="22"/>
        </w:rPr>
        <w:t xml:space="preserve">Customer IT will provide a dedicated 10GbE AV VLAN.</w:t>
      </w:r>
    </w:p>
    <w:p>
      <w:pPr>
        <w:pStyle w:val="Heading2"/>
        <w:keepNext/>
        <w:spacing w:after="120" w:before="240"/>
      </w:pPr>
      <w:r>
        <w:rPr>
          <w:rFonts w:ascii="Calibri" w:cs="Calibri" w:eastAsia="Calibri" w:hAnsi="Calibri"/>
          <w:b/>
          <w:bCs/>
          <w:color w:val="08223A"/>
          <w:sz w:val="26"/>
          <w:szCs w:val="26"/>
        </w:rPr>
        <w:t xml:space="preserve">Open risks and validation</w:t>
      </w:r>
    </w:p>
    <w:p>
      <w:pPr>
        <w:pStyle w:val="ListParagraph"/>
        <w:numPr>
          <w:ilvl w:val="0"/>
          <w:numId w:val="2"/>
        </w:numPr>
        <w:spacing w:after="80" w:line="290"/>
      </w:pPr>
      <w:r>
        <w:rPr>
          <w:rFonts w:ascii="Calibri" w:cs="Calibri" w:eastAsia="Calibri" w:hAnsi="Calibri"/>
          <w:color w:val="172B3A"/>
          <w:sz w:val="22"/>
          <w:szCs w:val="22"/>
        </w:rPr>
        <w:t xml:space="preserve">Confirm redundant power and switch failover behaviour during commissioning.</w:t>
      </w:r>
    </w:p>
    <w:p>
      <w:pPr>
        <w:pStyle w:val="Heading1"/>
        <w:keepNext/>
        <w:spacing w:after="200" w:before="360"/>
      </w:pPr>
      <w:r>
        <w:rPr>
          <w:rFonts w:ascii="Calibri" w:cs="Calibri" w:eastAsia="Calibri" w:hAnsi="Calibri"/>
          <w:b/>
          <w:bCs/>
          <w:color w:val="2E74B5"/>
          <w:sz w:val="32"/>
          <w:szCs w:val="32"/>
        </w:rPr>
        <w:t xml:space="preserve">Next Steps</w:t>
      </w:r>
    </w:p>
    <w:p>
      <w:pPr>
        <w:pStyle w:val="ListParagraph"/>
        <w:numPr>
          <w:ilvl w:val="0"/>
          <w:numId w:val="2"/>
        </w:numPr>
        <w:spacing w:after="80" w:line="290"/>
      </w:pPr>
      <w:r>
        <w:rPr>
          <w:rFonts w:ascii="Calibri" w:cs="Calibri" w:eastAsia="Calibri" w:hAnsi="Calibri"/>
          <w:color w:val="172B3A"/>
          <w:sz w:val="22"/>
          <w:szCs w:val="22"/>
        </w:rPr>
        <w:t xml:space="preserve">Confirm the customer and project details.</w:t>
      </w:r>
    </w:p>
    <w:p>
      <w:pPr>
        <w:pStyle w:val="ListParagraph"/>
        <w:numPr>
          <w:ilvl w:val="0"/>
          <w:numId w:val="2"/>
        </w:numPr>
        <w:spacing w:after="80" w:line="290"/>
      </w:pPr>
      <w:r>
        <w:rPr>
          <w:rFonts w:ascii="Calibri" w:cs="Calibri" w:eastAsia="Calibri" w:hAnsi="Calibri"/>
          <w:color w:val="172B3A"/>
          <w:sz w:val="22"/>
          <w:szCs w:val="22"/>
        </w:rPr>
        <w:t xml:space="preserve">Approve the proposed architecture and product schedule.</w:t>
      </w:r>
    </w:p>
    <w:p>
      <w:pPr>
        <w:pStyle w:val="ListParagraph"/>
        <w:numPr>
          <w:ilvl w:val="0"/>
          <w:numId w:val="2"/>
        </w:numPr>
        <w:spacing w:after="80" w:line="290"/>
      </w:pPr>
      <w:r>
        <w:rPr>
          <w:rFonts w:ascii="Calibri" w:cs="Calibri" w:eastAsia="Calibri" w:hAnsi="Calibri"/>
          <w:color w:val="172B3A"/>
          <w:sz w:val="22"/>
          <w:szCs w:val="22"/>
        </w:rPr>
        <w:t xml:space="preserve">Resolve the listed validation items.</w:t>
      </w:r>
    </w:p>
    <w:p>
      <w:pPr>
        <w:pStyle w:val="ListParagraph"/>
        <w:numPr>
          <w:ilvl w:val="0"/>
          <w:numId w:val="2"/>
        </w:numPr>
        <w:spacing w:after="80" w:line="290"/>
      </w:pPr>
      <w:r>
        <w:rPr>
          <w:rFonts w:ascii="Calibri" w:cs="Calibri" w:eastAsia="Calibri" w:hAnsi="Calibri"/>
          <w:color w:val="172B3A"/>
          <w:sz w:val="22"/>
          <w:szCs w:val="22"/>
        </w:rPr>
        <w:t xml:space="preserve">Issue the final commercial quotation and implementation programme.</w:t>
      </w:r>
    </w:p>
    <w:p>
      <w:pPr>
        <w:spacing w:after="160" w:line="320"/>
      </w:pPr>
      <w:r>
        <w:rPr>
          <w:rFonts w:ascii="Calibri" w:cs="Calibri" w:eastAsia="Calibri" w:hAnsi="Calibri"/>
          <w:color w:val="5E7280"/>
          <w:sz w:val="22"/>
          <w:szCs w:val="22"/>
        </w:rPr>
        <w:t xml:space="preserve">Quotation validity: 30 days from the proposal date, subject to stock and written confirmation.</w:t>
      </w:r>
    </w:p>
    <w:p>
      <w:pPr>
        <w:pStyle w:val="Heading1"/>
        <w:keepNext/>
        <w:spacing w:after="200" w:before="360"/>
      </w:pPr>
      <w:r>
        <w:rPr>
          <w:rFonts w:ascii="Calibri" w:cs="Calibri" w:eastAsia="Calibri" w:hAnsi="Calibri"/>
          <w:b/>
          <w:bCs/>
          <w:color w:val="2E74B5"/>
          <w:sz w:val="32"/>
          <w:szCs w:val="32"/>
        </w:rPr>
        <w:t xml:space="preserve">Best-Efforts Disclaimer</w:t>
      </w:r>
    </w:p>
    <w:p>
      <w:pPr>
        <w:spacing w:after="160" w:line="320"/>
        <w:jc w:val="both"/>
      </w:pPr>
      <w:r>
        <w:rPr>
          <w:rFonts w:ascii="Calibri" w:cs="Calibri" w:eastAsia="Calibri" w:hAnsi="Calibri"/>
          <w:color w:val="5E7280"/>
          <w:sz w:val="22"/>
          <w:szCs w:val="22"/>
        </w:rPr>
        <w:t xml:space="preserve">This document has been prepared on a best-efforts basis to support your sales and design process. Product specifications, compatibility, lifecycle status, regional availability, pricing and lead times must be verified against the current WyreStorm documentation, datasheet or order desk before this document is used as a quotation, order or statement of capability. Competitor information is approximate and provided only to start a comparison conversation. Wingman provides no warranty and accepts no liability for any errors, omissions or reliance on the content of this document.</w:t>
      </w: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7280"/>
        <w:sz w:val="16"/>
        <w:szCs w:val="16"/>
      </w:rPr>
      <w:t xml:space="preserve">Northstar parity evidence fixture  |  Page </w:t>
    </w:r>
    <w:r>
      <w:rPr>
        <w:rFonts w:ascii="Calibri" w:cs="Calibri" w:eastAsia="Calibri" w:hAnsi="Calibri"/>
        <w:color w:val="5E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20"/>
      <w:jc w:val="right"/>
    </w:pPr>
    <w:r>
      <w:rPr>
        <w:rFonts w:ascii="Calibri" w:cs="Calibri" w:eastAsia="Calibri" w:hAnsi="Calibri"/>
        <w:color w:val="5E7280"/>
        <w:sz w:val="17"/>
        <w:szCs w:val="17"/>
      </w:rPr>
      <w:t xml:space="preserve">WyreStorm  |  WM-PARITY-001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9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B3A"/>
        <w:sz w:val="22"/>
        <w:szCs w:val="22"/>
      </w:rPr>
    </w:rPrDefault>
    <w:pPrDefault>
      <w:pPr>
        <w:spacing w:after="1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Operations Room - Blended commercial and technical proposal</dc:title>
  <dc:subject>WyreStorm audio visual proposal</dc:subject>
  <dc:creator>Solutions Team</dc:creator>
  <cp:lastModifiedBy>Un-named</cp:lastModifiedBy>
  <cp:revision>1</cp:revision>
  <dcterms:created xsi:type="dcterms:W3CDTF">2026-09-11T12:00:00.000Z</dcterms:created>
  <dcterms:modified xsi:type="dcterms:W3CDTF">2026-09-11T12:00:00.000Z</dcterms:modified>
</cp:coreProperties>
</file>

<file path=docProps/custom.xml><?xml version="1.0" encoding="utf-8"?>
<Properties xmlns="http://schemas.openxmlformats.org/officeDocument/2006/custom-properties" xmlns:vt="http://schemas.openxmlformats.org/officeDocument/2006/docPropsVTypes"/>
</file>