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00"/>
        <w:jc w:val="center"/>
      </w:pPr>
      <w:r>
        <w:rPr>
          <w:sz w:val="24"/>
          <w:szCs w:val="24"/>
        </w:rPr>
        <w:t xml:space="preserve">Projet ITSM : IT Service Management Platform</w:t>
      </w:r>
    </w:p>
    <w:p>
      <w:pPr>
        <w:spacing w:after="200"/>
        <w:jc w:val="center"/>
      </w:pPr>
      <w:r>
        <w:rPr>
          <w:b/>
          <w:bCs/>
          <w:caps/>
          <w:sz w:val="28"/>
          <w:szCs w:val="28"/>
        </w:rPr>
        <w:t xml:space="preserve">Cahier des charges technique</w:t>
      </w:r>
    </w:p>
    <w:p>
      <w:pPr>
        <w:spacing w:after="1200"/>
        <w:jc w:val="center"/>
      </w:pPr>
      <w:r>
        <w:rPr>
          <w:sz w:val="24"/>
          <w:szCs w:val="24"/>
        </w:rPr>
        <w:t xml:space="preserve">Architecture, environnements, outils et méthode de livraison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Référence</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ITSM-CDCT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Version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0.1 (brouillon)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Date</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24 septembre 2026</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Statut</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À valider</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Document associé</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ITSM-CDCF : cahier des charges fonctionnel</w:t>
            </w:r>
          </w:p>
        </w:tc>
      </w:tr>
    </w:tbl>
    <w:p>
      <w:r>
        <w:br w:type="page"/>
      </w:r>
    </w:p>
    <w:p>
      <w:pPr>
        <w:sectPr>
          <w:pgSz w:w="11906" w:h="16838" w:orient="portrait"/>
          <w:pgMar w:top="1134" w:right="1134" w:bottom="1134" w:left="1134" w:header="708" w:footer="708" w:gutter="0"/>
          <w:pgNumType/>
          <w:docGrid w:linePitch="360"/>
        </w:sectPr>
      </w:pPr>
    </w:p>
    <w:p>
      <w:pPr>
        <w:pStyle w:val="Heading1"/>
      </w:pPr>
      <w:r>
        <w:t xml:space="preserve">Sommaire</w:t>
      </w:r>
    </w:p>
    <w:p>
      <w:pPr>
        <w:spacing w:after="60"/>
      </w:pPr>
      <w:r>
        <w:rPr>
          <w:sz w:val="24"/>
          <w:szCs w:val="24"/>
        </w:rPr>
        <w:t xml:space="preserve">1. Présentation du document</w:t>
      </w:r>
    </w:p>
    <w:p>
      <w:pPr>
        <w:spacing w:after="60"/>
      </w:pPr>
      <w:r>
        <w:rPr>
          <w:sz w:val="24"/>
          <w:szCs w:val="24"/>
        </w:rPr>
        <w:t xml:space="preserve">2. Principes directeurs</w:t>
      </w:r>
    </w:p>
    <w:p>
      <w:pPr>
        <w:spacing w:after="60"/>
      </w:pPr>
      <w:r>
        <w:rPr>
          <w:sz w:val="24"/>
          <w:szCs w:val="24"/>
        </w:rPr>
        <w:t xml:space="preserve">3. Démarche de livraison</w:t>
      </w:r>
    </w:p>
    <w:p>
      <w:pPr>
        <w:spacing w:after="60"/>
      </w:pPr>
      <w:r>
        <w:rPr>
          <w:sz w:val="24"/>
          <w:szCs w:val="24"/>
        </w:rPr>
        <w:t xml:space="preserve">4. Architecture</w:t>
      </w:r>
    </w:p>
    <w:p>
      <w:pPr>
        <w:spacing w:after="60"/>
      </w:pPr>
      <w:r>
        <w:rPr>
          <w:sz w:val="24"/>
          <w:szCs w:val="24"/>
        </w:rPr>
        <w:t xml:space="preserve">5. Environnements</w:t>
      </w:r>
    </w:p>
    <w:p>
      <w:pPr>
        <w:spacing w:after="60"/>
      </w:pPr>
      <w:r>
        <w:rPr>
          <w:sz w:val="24"/>
          <w:szCs w:val="24"/>
        </w:rPr>
        <w:t xml:space="preserve">6. Outils : poste de travail et gestion du code</w:t>
      </w:r>
    </w:p>
    <w:p>
      <w:pPr>
        <w:spacing w:after="60"/>
      </w:pPr>
      <w:r>
        <w:rPr>
          <w:sz w:val="24"/>
          <w:szCs w:val="24"/>
        </w:rPr>
        <w:t xml:space="preserve">7. Outils : backend</w:t>
      </w:r>
    </w:p>
    <w:p>
      <w:pPr>
        <w:spacing w:after="60"/>
      </w:pPr>
      <w:r>
        <w:rPr>
          <w:sz w:val="24"/>
          <w:szCs w:val="24"/>
        </w:rPr>
        <w:t xml:space="preserve">8. Outils : frontend</w:t>
      </w:r>
    </w:p>
    <w:p>
      <w:pPr>
        <w:spacing w:after="60"/>
      </w:pPr>
      <w:r>
        <w:rPr>
          <w:sz w:val="24"/>
          <w:szCs w:val="24"/>
        </w:rPr>
        <w:t xml:space="preserve">9. Outils : données, identité et messagerie</w:t>
      </w:r>
    </w:p>
    <w:p>
      <w:pPr>
        <w:spacing w:after="60"/>
      </w:pPr>
      <w:r>
        <w:rPr>
          <w:sz w:val="24"/>
          <w:szCs w:val="24"/>
        </w:rPr>
        <w:t xml:space="preserve">10. Outils : tests et qualité</w:t>
      </w:r>
    </w:p>
    <w:p>
      <w:pPr>
        <w:spacing w:after="60"/>
      </w:pPr>
      <w:r>
        <w:rPr>
          <w:sz w:val="24"/>
          <w:szCs w:val="24"/>
        </w:rPr>
        <w:t xml:space="preserve">11. Outils : sécurité et chaîne d'approvisionnement</w:t>
      </w:r>
    </w:p>
    <w:p>
      <w:pPr>
        <w:spacing w:after="60"/>
      </w:pPr>
      <w:r>
        <w:rPr>
          <w:sz w:val="24"/>
          <w:szCs w:val="24"/>
        </w:rPr>
        <w:t xml:space="preserve">12. Outils : conteneurs, CI/CD et infrastructure</w:t>
      </w:r>
    </w:p>
    <w:p>
      <w:pPr>
        <w:spacing w:after="60"/>
      </w:pPr>
      <w:r>
        <w:rPr>
          <w:sz w:val="24"/>
          <w:szCs w:val="24"/>
        </w:rPr>
        <w:t xml:space="preserve">13. Outils : observabilité</w:t>
      </w:r>
    </w:p>
    <w:p>
      <w:pPr>
        <w:spacing w:after="60"/>
      </w:pPr>
      <w:r>
        <w:rPr>
          <w:sz w:val="24"/>
          <w:szCs w:val="24"/>
        </w:rPr>
        <w:t xml:space="preserve">14. Conventions</w:t>
      </w:r>
    </w:p>
    <w:p>
      <w:pPr>
        <w:spacing w:after="60"/>
      </w:pPr>
      <w:r>
        <w:rPr>
          <w:sz w:val="24"/>
          <w:szCs w:val="24"/>
        </w:rPr>
        <w:t xml:space="preserve">15. Pipeline CI/CD</w:t>
      </w:r>
    </w:p>
    <w:p>
      <w:pPr>
        <w:spacing w:after="60"/>
      </w:pPr>
      <w:r>
        <w:rPr>
          <w:sz w:val="24"/>
          <w:szCs w:val="24"/>
        </w:rPr>
        <w:t xml:space="preserve">16. Stratégie de tests</w:t>
      </w:r>
    </w:p>
    <w:p>
      <w:pPr>
        <w:spacing w:after="60"/>
      </w:pPr>
      <w:r>
        <w:rPr>
          <w:sz w:val="24"/>
          <w:szCs w:val="24"/>
        </w:rPr>
        <w:t xml:space="preserve">17. Sécurité</w:t>
      </w:r>
    </w:p>
    <w:p>
      <w:pPr>
        <w:spacing w:after="60"/>
      </w:pPr>
      <w:r>
        <w:rPr>
          <w:sz w:val="24"/>
          <w:szCs w:val="24"/>
        </w:rPr>
        <w:t xml:space="preserve">18. Observabilité et exploitation</w:t>
      </w:r>
    </w:p>
    <w:p>
      <w:pPr>
        <w:spacing w:after="60"/>
      </w:pPr>
      <w:r>
        <w:rPr>
          <w:sz w:val="24"/>
          <w:szCs w:val="24"/>
        </w:rPr>
        <w:t xml:space="preserve">19. Stratégie Oracle</w:t>
      </w:r>
    </w:p>
    <w:p>
      <w:pPr>
        <w:spacing w:after="60"/>
      </w:pPr>
      <w:r>
        <w:rPr>
          <w:sz w:val="24"/>
          <w:szCs w:val="24"/>
        </w:rPr>
        <w:t xml:space="preserve">20. Exigences non fonctionnelles</w:t>
      </w:r>
    </w:p>
    <w:p>
      <w:pPr>
        <w:spacing w:after="60"/>
      </w:pPr>
      <w:r>
        <w:rPr>
          <w:sz w:val="24"/>
          <w:szCs w:val="24"/>
        </w:rPr>
        <w:t xml:space="preserve">21. Plan technique par incrément</w:t>
      </w:r>
    </w:p>
    <w:p>
      <w:pPr>
        <w:spacing w:after="60"/>
      </w:pPr>
      <w:r>
        <w:rPr>
          <w:sz w:val="24"/>
          <w:szCs w:val="24"/>
        </w:rPr>
        <w:t xml:space="preserve">22. Décisions d'architecture (ADR) prévues</w:t>
      </w:r>
    </w:p>
    <w:p>
      <w:pPr>
        <w:spacing w:after="60"/>
      </w:pPr>
      <w:r>
        <w:rPr>
          <w:sz w:val="24"/>
          <w:szCs w:val="24"/>
        </w:rPr>
        <w:t xml:space="preserve">23. Risques techniques</w:t>
      </w:r>
    </w:p>
    <w:p>
      <w:pPr>
        <w:spacing w:after="60"/>
      </w:pPr>
      <w:r>
        <w:rPr>
          <w:sz w:val="24"/>
          <w:szCs w:val="24"/>
        </w:rPr>
        <w:t xml:space="preserve">Annexe A : mise en route du poste de travail</w:t>
      </w:r>
    </w:p>
    <w:p>
      <w:pPr>
        <w:spacing w:after="60"/>
      </w:pPr>
      <w:r>
        <w:rPr>
          <w:sz w:val="24"/>
          <w:szCs w:val="24"/>
        </w:rPr>
        <w:t xml:space="preserve">Annexe B : modèle d'ADR</w:t>
      </w:r>
    </w:p>
    <w:p>
      <w:pPr>
        <w:pStyle w:val="Heading1"/>
        <w:pageBreakBefore/>
      </w:pPr>
      <w:r>
        <w:t xml:space="preserve">1. Présentation du document</w:t>
      </w:r>
    </w:p>
    <w:p>
      <w:pPr>
        <w:pStyle w:val="Heading2"/>
      </w:pPr>
      <w:r>
        <w:t xml:space="preserve">1.1 Objet</w:t>
      </w:r>
    </w:p>
    <w:p>
      <w:pPr>
        <w:spacing w:after="120"/>
        <w:jc w:val="both"/>
      </w:pPr>
      <w:r>
        <w:t xml:space="preserve">Ce document décrit </w:t>
      </w:r>
      <w:r>
        <w:rPr>
          <w:b/>
          <w:bCs/>
        </w:rPr>
        <w:t xml:space="preserve">comment</w:t>
      </w:r>
      <w:r>
        <w:t xml:space="preserve"> la plateforme ITSM est construite, testée, déployée et exploitée : l'architecture, les environnements de travail en local et en ligne, les outils retenus avec la justification de chaque choix et un exemple d'utilisation, les conventions, la chaîne d'intégration et de déploiement continus, la stratégie de tests, la sécurité et l'observabilité.</w:t>
      </w:r>
    </w:p>
    <w:p>
      <w:pPr>
        <w:spacing w:after="120"/>
        <w:jc w:val="both"/>
      </w:pPr>
      <w:r>
        <w:t xml:space="preserve">Le besoin fonctionnel est décrit dans le cahier des charges fonctionnel (ITSM-CDCF). Toute exigence technique de ce document doit pouvoir être reliée à une exigence fonctionnelle, à une exigence non fonctionnelle ou à un besoin d'exploitation.</w:t>
      </w:r>
    </w:p>
    <w:p>
      <w:pPr>
        <w:pStyle w:val="Heading2"/>
      </w:pPr>
      <w:r>
        <w:t xml:space="preserve">1.2 Versions des outils</w:t>
      </w:r>
    </w:p>
    <w:p>
      <w:pPr>
        <w:spacing w:after="120"/>
        <w:jc w:val="both"/>
      </w:pPr>
      <w:r>
        <w:t xml:space="preserve">Les versions indiquées sont les versions visées au 24 septembre 2026. Les versions exactes sont figées dans l'ADR-003 au démarrage de l'incrément I0, puis maintenues à jour par l'outil de mise à jour automatique des dépendances.</w:t>
      </w:r>
    </w:p>
    <w:p>
      <w:pPr>
        <w:pStyle w:val="Heading2"/>
      </w:pPr>
      <w:r>
        <w:t xml:space="preserve">1.3 Comment lire les fiches outils</w:t>
      </w:r>
    </w:p>
    <w:p>
      <w:pPr>
        <w:spacing w:after="120"/>
        <w:jc w:val="both"/>
      </w:pPr>
      <w:r>
        <w:t xml:space="preserve">Chaque outil est présenté par une fiche : son rôle dans le projet, la raison du choix, les alternatives écartées quand le choix n'est pas évident, l'incrément où il apparaît, puis un exemple d'utilisation concret. Un outil n'est installé qu'au moment où l'incrément en a besoin.</w:t>
      </w:r>
    </w:p>
    <w:p>
      <w:pPr>
        <w:pStyle w:val="Heading1"/>
        <w:pageBreakBefore/>
      </w:pPr>
      <w:r>
        <w:t xml:space="preserve">2. Principes directeurs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tblHeader/>
        </w:trPr>
        <w:tc>
          <w:tcPr>
            <w:tcW w:type="dxa" w:w="23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Principe</w:t>
            </w:r>
          </w:p>
        </w:tc>
        <w:tc>
          <w:tcPr>
            <w:tcW w:type="dxa" w:w="72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Traduction concrète</w:t>
            </w:r>
          </w:p>
        </w:tc>
      </w:tr>
      <w:tr>
        <w:tc>
          <w:tcPr>
            <w:tcW w:type="dxa" w:w="23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Justifier chaque choix</w:t>
            </w:r>
          </w:p>
        </w:tc>
        <w:tc>
          <w:tcPr>
            <w:tcW w:type="dxa" w:w="72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Toute décision structurante fait l'objet d'un ADR : contexte, options, décision, conséquences.</w:t>
            </w:r>
          </w:p>
        </w:tc>
      </w:tr>
      <w:tr>
        <w:tc>
          <w:tcPr>
            <w:tcW w:type="dxa" w:w="23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Livrer en continu</w:t>
            </w:r>
          </w:p>
        </w:tc>
        <w:tc>
          <w:tcPr>
            <w:tcW w:type="dxa" w:w="72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Chaque merge sur la branche principale est testé et déployé en ligne automatiquement.</w:t>
            </w:r>
          </w:p>
        </w:tc>
      </w:tr>
      <w:tr>
        <w:tc>
          <w:tcPr>
            <w:tcW w:type="dxa" w:w="23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Qualité intégrée</w:t>
            </w:r>
          </w:p>
        </w:tc>
        <w:tc>
          <w:tcPr>
            <w:tcW w:type="dxa" w:w="72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analyse de code et contrôles de sécurité s'exécutent dans le pipeline dès le premier jour, pas en fin de projet.</w:t>
            </w:r>
          </w:p>
        </w:tc>
      </w:tr>
      <w:tr>
        <w:tc>
          <w:tcPr>
            <w:tcW w:type="dxa" w:w="23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Sécurité dès la conception</w:t>
            </w:r>
          </w:p>
        </w:tc>
        <w:tc>
          <w:tcPr>
            <w:tcW w:type="dxa" w:w="72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 secret dans Git, HTTPS partout, moindre privilège, dépendances surveillées.</w:t>
            </w:r>
          </w:p>
        </w:tc>
      </w:tr>
      <w:tr>
        <w:tc>
          <w:tcPr>
            <w:tcW w:type="dxa" w:w="23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Sobriété</w:t>
            </w:r>
          </w:p>
        </w:tc>
        <w:tc>
          <w:tcPr>
            <w:tcW w:type="dxa" w:w="72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projet tient sur un poste de 16 Go et sur une machine gratuite de 12 Go. Chaque composant a une limite mémoire explicite.</w:t>
            </w:r>
          </w:p>
        </w:tc>
      </w:tr>
      <w:tr>
        <w:tc>
          <w:tcPr>
            <w:tcW w:type="dxa" w:w="23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Portabilité</w:t>
            </w:r>
          </w:p>
        </w:tc>
        <w:tc>
          <w:tcPr>
            <w:tcW w:type="dxa" w:w="72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Rien ne dépend d'un fournisseur de façon irréversible : images multi-architecture, configuration par variables d'environnement, infrastructure décrite en code.</w:t>
            </w:r>
          </w:p>
        </w:tc>
      </w:tr>
      <w:tr>
        <w:tc>
          <w:tcPr>
            <w:tcW w:type="dxa" w:w="23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Vous le construisez, vous l'exploitez</w:t>
            </w:r>
          </w:p>
        </w:tc>
        <w:tc>
          <w:tcPr>
            <w:tcW w:type="dxa" w:w="72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développeur est aussi responsable de l'exploitation : logs, métriques, alertes, runbooks et diagnostic d'incidents font partie du travail.</w:t>
            </w:r>
          </w:p>
        </w:tc>
      </w:tr>
      <w:tr>
        <w:tc>
          <w:tcPr>
            <w:tcW w:type="dxa" w:w="23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Comprendre avant d'intégrer</w:t>
            </w:r>
          </w:p>
        </w:tc>
        <w:tc>
          <w:tcPr>
            <w:tcW w:type="dxa" w:w="727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 code, généré par une IA ou copié, n'est intégré sans pouvoir être expliqué ligne par ligne.</w:t>
            </w:r>
          </w:p>
        </w:tc>
      </w:tr>
    </w:tbl>
    <w:p>
      <w:pPr>
        <w:spacing w:after="120"/>
      </w:pPr>
    </w:p>
    <w:p>
      <w:pPr>
        <w:pStyle w:val="Heading1"/>
        <w:pageBreakBefore/>
      </w:pPr>
      <w:r>
        <w:t xml:space="preserve">3. Démarche de livraison</w:t>
      </w:r>
    </w:p>
    <w:p>
      <w:pPr>
        <w:pStyle w:val="Heading2"/>
      </w:pPr>
      <w:r>
        <w:t xml:space="preserve">3.1 Itératif et incrémental</w:t>
      </w:r>
    </w:p>
    <w:p>
      <w:pPr>
        <w:spacing w:after="120"/>
        <w:jc w:val="both"/>
      </w:pPr>
      <w:r>
        <w:t xml:space="preserve">Le projet est découpé en incréments </w:t>
      </w:r>
      <w:r>
        <w:rPr>
          <w:b/>
          <w:bCs/>
        </w:rPr>
        <w:t xml:space="preserve">verticaux</w:t>
      </w:r>
      <w:r>
        <w:t xml:space="preserve"> : chacun traverse toutes les couches (interface, API, domaine, base de données, pipeline, déploiement, observabilité) et se termine par une démonstration en ligne. On évite ainsi le modèle en cascade, où l'on découvre les problèmes d'intégration et de déploiement à la fin.</w:t>
      </w:r>
    </w:p>
    <w:p>
      <w:pPr>
        <w:spacing w:after="120"/>
        <w:jc w:val="both"/>
      </w:pPr>
      <w:r>
        <w:t xml:space="preserve">Les documents de conception (architecture, modèle de données, contrat d'API, ADR) ne sont pas des phases préalables : ils sont créés au plus tôt dans une version simple, puis enrichis à chaque incrément.</w:t>
      </w:r>
    </w:p>
    <w:p>
      <w:pPr>
        <w:pStyle w:val="Heading2"/>
      </w:pPr>
      <w:r>
        <w:t xml:space="preserve">3.2 Organisation du travail</w:t>
      </w:r>
    </w:p>
    <w:p>
      <w:pPr>
        <w:pStyle w:val="ListParagraph"/>
        <w:numPr>
          <w:ilvl w:val="0"/>
          <w:numId w:val="2"/>
        </w:numPr>
        <w:spacing w:after="80"/>
      </w:pPr>
      <w:r>
        <w:rPr>
          <w:b/>
          <w:bCs/>
        </w:rPr>
        <w:t xml:space="preserve">Tableau Kanban</w:t>
      </w:r>
      <w:r>
        <w:t xml:space="preserve"> dans GitHub Projects : colonnes À faire, En cours, En revue, Terminé. Une issue par user story ou tâche technique.</w:t>
      </w:r>
    </w:p>
    <w:p>
      <w:pPr>
        <w:pStyle w:val="ListParagraph"/>
        <w:numPr>
          <w:ilvl w:val="0"/>
          <w:numId w:val="2"/>
        </w:numPr>
        <w:spacing w:after="80"/>
      </w:pPr>
      <w:r>
        <w:rPr>
          <w:b/>
          <w:bCs/>
        </w:rPr>
        <w:t xml:space="preserve">Limite de travail en cours</w:t>
      </w:r>
      <w:r>
        <w:t xml:space="preserve"> : un seul incrément actif, au plus deux issues en cours.</w:t>
      </w:r>
    </w:p>
    <w:p>
      <w:pPr>
        <w:pStyle w:val="ListParagraph"/>
        <w:numPr>
          <w:ilvl w:val="0"/>
          <w:numId w:val="2"/>
        </w:numPr>
        <w:spacing w:after="80"/>
      </w:pPr>
      <w:r>
        <w:rPr>
          <w:b/>
          <w:bCs/>
        </w:rPr>
        <w:t xml:space="preserve">Trunk-based development</w:t>
      </w:r>
      <w:r>
        <w:t xml:space="preserve"> : branches courtes (moins de trois jours), fusion par Pull Request dans </w:t>
      </w:r>
      <w:r>
        <w:rPr>
          <w:rFonts w:ascii="Courier New" w:cs="Courier New" w:eastAsia="Courier New" w:hAnsi="Courier New"/>
          <w:sz w:val="22"/>
          <w:szCs w:val="22"/>
        </w:rPr>
        <w:t xml:space="preserve">main</w:t>
      </w:r>
      <w:r>
        <w:t xml:space="preserve">.</w:t>
      </w:r>
    </w:p>
    <w:p>
      <w:pPr>
        <w:pStyle w:val="ListParagraph"/>
        <w:numPr>
          <w:ilvl w:val="0"/>
          <w:numId w:val="2"/>
        </w:numPr>
        <w:spacing w:after="80"/>
      </w:pPr>
      <w:r>
        <w:rPr>
          <w:b/>
          <w:bCs/>
        </w:rPr>
        <w:t xml:space="preserve">Revue</w:t>
      </w:r>
      <w:r>
        <w:t xml:space="preserve"> : chaque Pull Request suit une checklist d'auto-revue ; les points structurants sont relus par le mentor.</w:t>
      </w:r>
    </w:p>
    <w:p>
      <w:pPr>
        <w:pStyle w:val="ListParagraph"/>
        <w:numPr>
          <w:ilvl w:val="0"/>
          <w:numId w:val="2"/>
        </w:numPr>
        <w:spacing w:after="80"/>
      </w:pPr>
      <w:r>
        <w:rPr>
          <w:b/>
          <w:bCs/>
        </w:rPr>
        <w:t xml:space="preserve">Démonstration</w:t>
      </w:r>
      <w:r>
        <w:t xml:space="preserve"> à la fin de chaque incrément, suivie d'une courte rétrospective écrite dans </w:t>
      </w:r>
      <w:r>
        <w:rPr>
          <w:rFonts w:ascii="Courier New" w:cs="Courier New" w:eastAsia="Courier New" w:hAnsi="Courier New"/>
          <w:sz w:val="22"/>
          <w:szCs w:val="22"/>
        </w:rPr>
        <w:t xml:space="preserve">docs/journal/</w:t>
      </w:r>
      <w:r>
        <w:t xml:space="preserve">.</w:t>
      </w:r>
    </w:p>
    <w:p>
      <w:pPr>
        <w:pStyle w:val="Heading2"/>
      </w:pPr>
      <w:r>
        <w:t xml:space="preserve">3.3 Définition de terminé</w:t>
      </w:r>
    </w:p>
    <w:p>
      <w:pPr>
        <w:spacing w:after="120"/>
        <w:jc w:val="both"/>
      </w:pPr>
      <w:r>
        <w:t xml:space="preserve">Une user story ou une tâche est terminée lorsque toutes les conditions suivantes sont réunies :</w:t>
      </w:r>
    </w:p>
    <w:p>
      <w:pPr>
        <w:pStyle w:val="ListParagraph"/>
        <w:numPr>
          <w:ilvl w:val="0"/>
          <w:numId w:val="3"/>
        </w:numPr>
        <w:spacing w:after="80"/>
      </w:pPr>
      <w:r>
        <w:t xml:space="preserve">le code est fusionné dans </w:t>
      </w:r>
      <w:r>
        <w:rPr>
          <w:rFonts w:ascii="Courier New" w:cs="Courier New" w:eastAsia="Courier New" w:hAnsi="Courier New"/>
          <w:sz w:val="22"/>
          <w:szCs w:val="22"/>
        </w:rPr>
        <w:t xml:space="preserve">main</w:t>
      </w:r>
      <w:r>
        <w:t xml:space="preserve"> via une Pull Request relue ;</w:t>
      </w:r>
    </w:p>
    <w:p>
      <w:pPr>
        <w:pStyle w:val="ListParagraph"/>
        <w:numPr>
          <w:ilvl w:val="0"/>
          <w:numId w:val="3"/>
        </w:numPr>
        <w:spacing w:after="80"/>
      </w:pPr>
      <w:r>
        <w:t xml:space="preserve">les critères d'acceptation sont couverts par des tests automatisés ;</w:t>
      </w:r>
    </w:p>
    <w:p>
      <w:pPr>
        <w:pStyle w:val="ListParagraph"/>
        <w:numPr>
          <w:ilvl w:val="0"/>
          <w:numId w:val="3"/>
        </w:numPr>
        <w:spacing w:after="80"/>
      </w:pPr>
      <w:r>
        <w:t xml:space="preserve">le pipeline est vert, contrôle qualité compris ;</w:t>
      </w:r>
    </w:p>
    <w:p>
      <w:pPr>
        <w:pStyle w:val="ListParagraph"/>
        <w:numPr>
          <w:ilvl w:val="0"/>
          <w:numId w:val="3"/>
        </w:numPr>
        <w:spacing w:after="80"/>
      </w:pPr>
      <w:r>
        <w:t xml:space="preserve">le contrat OpenAPI et les migrations de base de données sont à jour ;</w:t>
      </w:r>
    </w:p>
    <w:p>
      <w:pPr>
        <w:pStyle w:val="ListParagraph"/>
        <w:numPr>
          <w:ilvl w:val="0"/>
          <w:numId w:val="3"/>
        </w:numPr>
        <w:spacing w:after="80"/>
      </w:pPr>
      <w:r>
        <w:t xml:space="preserve">la fonctionnalité est déployée et vérifiée en ligne ;</w:t>
      </w:r>
    </w:p>
    <w:p>
      <w:pPr>
        <w:pStyle w:val="ListParagraph"/>
        <w:numPr>
          <w:ilvl w:val="0"/>
          <w:numId w:val="3"/>
        </w:numPr>
        <w:spacing w:after="80"/>
      </w:pPr>
      <w:r>
        <w:t xml:space="preserve">les logs et métriques utiles au diagnostic sont présents ;</w:t>
      </w:r>
    </w:p>
    <w:p>
      <w:pPr>
        <w:pStyle w:val="ListParagraph"/>
        <w:numPr>
          <w:ilvl w:val="0"/>
          <w:numId w:val="3"/>
        </w:numPr>
        <w:spacing w:after="80"/>
      </w:pPr>
      <w:r>
        <w:t xml:space="preserve">un ADR est rédigé si une décision structurante a été prise ;</w:t>
      </w:r>
    </w:p>
    <w:p>
      <w:pPr>
        <w:pStyle w:val="ListParagraph"/>
        <w:numPr>
          <w:ilvl w:val="0"/>
          <w:numId w:val="3"/>
        </w:numPr>
        <w:spacing w:after="80"/>
      </w:pPr>
      <w:r>
        <w:t xml:space="preserve">la documentation concernée est à jour ;</w:t>
      </w:r>
    </w:p>
    <w:p>
      <w:pPr>
        <w:pStyle w:val="ListParagraph"/>
        <w:numPr>
          <w:ilvl w:val="0"/>
          <w:numId w:val="3"/>
        </w:numPr>
        <w:spacing w:after="80"/>
      </w:pPr>
      <w:r>
        <w:t xml:space="preserve">l'auteur peut expliquer chaque ligne de code.</w:t>
      </w:r>
    </w:p>
    <w:p>
      <w:pPr>
        <w:pStyle w:val="Heading1"/>
        <w:pageBreakBefore/>
      </w:pPr>
      <w:r>
        <w:t xml:space="preserve">4. Architecture</w:t>
      </w:r>
    </w:p>
    <w:p>
      <w:pPr>
        <w:pStyle w:val="Heading2"/>
      </w:pPr>
      <w:r>
        <w:t xml:space="preserve">4.1 Vue d'ensemble</w:t>
      </w:r>
    </w:p>
    <w:p>
      <w:pPr>
        <w:spacing w:after="60" w:line="240" w:lineRule="auto"/>
        <w:jc w:val="center"/>
      </w:pPr>
      <w:r>
        <w:drawing>
          <wp:inline distT="0" distB="0" distL="0" distR="0">
            <wp:extent cx="6096000" cy="3314700"/>
            <wp:effectExtent t="0" r="0" b="0" l="0"/>
            <wp:docPr id="1" name="img/archi.png" descr="img/archi.png" title="img/arc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314700"/>
                    </a:xfrm>
                    <a:prstGeom prst="rect">
                      <a:avLst/>
                    </a:prstGeom>
                  </pic:spPr>
                </pic:pic>
              </a:graphicData>
            </a:graphic>
          </wp:inline>
        </w:drawing>
      </w:r>
    </w:p>
    <w:p>
      <w:pPr>
        <w:spacing w:after="200"/>
        <w:jc w:val="center"/>
      </w:pPr>
      <w:r>
        <w:rPr>
          <w:i/>
          <w:iCs/>
          <w:sz w:val="22"/>
          <w:szCs w:val="22"/>
        </w:rPr>
        <w:t xml:space="preserve">Figure 1 : architecture logique</w:t>
      </w:r>
    </w:p>
    <w:p>
      <w:pPr>
        <w:pStyle w:val="Heading2"/>
      </w:pPr>
      <w:r>
        <w:t xml:space="preserve">4.2 Style retenu : monolithe modulaire</w:t>
      </w:r>
    </w:p>
    <w:p>
      <w:pPr>
        <w:spacing w:after="120"/>
        <w:jc w:val="both"/>
      </w:pPr>
      <w:r>
        <w:t xml:space="preserve">Le backend est </w:t>
      </w:r>
      <w:r>
        <w:rPr>
          <w:b/>
          <w:bCs/>
        </w:rPr>
        <w:t xml:space="preserve">une seule application déployable</w:t>
      </w:r>
      <w:r>
        <w:t xml:space="preserve">, découpée en modules métier aux frontières strictes. Ce choix est préféré à une architecture en microservices pour trois raisons :</w:t>
      </w:r>
    </w:p>
    <w:p>
      <w:pPr>
        <w:pStyle w:val="ListParagraph"/>
        <w:numPr>
          <w:ilvl w:val="0"/>
          <w:numId w:val="2"/>
        </w:numPr>
        <w:spacing w:after="80"/>
      </w:pPr>
      <w:r>
        <w:t xml:space="preserve">le domaine est de taille modeste et l'équipe se limite à une personne : les microservices apporteraient le coût de la distribution (réseau, cohérence, déploiement de multiples services) sans bénéfice ;</w:t>
      </w:r>
    </w:p>
    <w:p>
      <w:pPr>
        <w:pStyle w:val="ListParagraph"/>
        <w:numPr>
          <w:ilvl w:val="0"/>
          <w:numId w:val="2"/>
        </w:numPr>
        <w:spacing w:after="80"/>
      </w:pPr>
      <w:r>
        <w:t xml:space="preserve">les frontières entre modules sont vérifiées automatiquement par des tests, ce qui apporte la discipline des microservices sans leur coût ;</w:t>
      </w:r>
    </w:p>
    <w:p>
      <w:pPr>
        <w:pStyle w:val="ListParagraph"/>
        <w:numPr>
          <w:ilvl w:val="0"/>
          <w:numId w:val="2"/>
        </w:numPr>
        <w:spacing w:after="80"/>
      </w:pPr>
      <w:r>
        <w:t xml:space="preserve">si un module doit un jour devenir un service indépendant, par exemple les notifications, l'extraction est facilitée parce que ses dépendances sont déjà explicites.</w:t>
      </w:r>
    </w:p>
    <w:p>
      <w:pPr>
        <w:pStyle w:val="Heading2"/>
      </w:pPr>
      <w:r>
        <w:t xml:space="preserve">4.3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2"/>
        <w:gridCol w:w="2604"/>
        <w:gridCol w:w="2604"/>
        <w:gridCol w:w="3128"/>
      </w:tblGrid>
      <w:tr>
        <w:trPr>
          <w:tblHeader/>
        </w:trPr>
        <w:tc>
          <w:tcPr>
            <w:tcW w:type="dxa" w:w="1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Module</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Responsabilité</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Données possédées</w:t>
            </w:r>
          </w:p>
        </w:tc>
        <w:tc>
          <w:tcPr>
            <w:tcW w:type="dxa" w:w="31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Événements publiés</w:t>
            </w:r>
          </w:p>
        </w:tc>
      </w:tr>
      <w:tr>
        <w:tc>
          <w:tcPr>
            <w:tcW w:type="dxa" w:w="1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Cycle de vie, commentaires, pièces jointes, historique</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Tickets, commentaires, pièces jointes, historique</w:t>
            </w:r>
          </w:p>
        </w:tc>
        <w:tc>
          <w:tcPr>
            <w:tcW w:type="dxa" w:w="31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TicketCreated, TicketAssigned, TicketStatusChanged, TicketResolved, TicketClosed, CommentAdded</w:t>
            </w:r>
          </w:p>
        </w:tc>
      </w:tr>
      <w:tr>
        <w:tc>
          <w:tcPr>
            <w:tcW w:type="dxa" w:w="1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referential</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Catégories, groupes, codes de résolution</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Référentiels</w:t>
            </w:r>
          </w:p>
        </w:tc>
        <w:tc>
          <w:tcPr>
            <w:tcW w:type="dxa" w:w="31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CategoryDeactivated, GroupMembershipChanged</w:t>
            </w:r>
          </w:p>
        </w:tc>
      </w:tr>
      <w:tr>
        <w:tc>
          <w:tcPr>
            <w:tcW w:type="dxa" w:w="1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sla</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Politiques SLA, calendrier, échéances, détection des risques</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Politiques SLA, calendrier</w:t>
            </w:r>
          </w:p>
        </w:tc>
        <w:tc>
          <w:tcPr>
            <w:tcW w:type="dxa" w:w="31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SlaAtRisk, SlaBreached</w:t>
            </w:r>
          </w:p>
        </w:tc>
      </w:tr>
      <w:tr>
        <w:tc>
          <w:tcPr>
            <w:tcW w:type="dxa" w:w="1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notification</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Envoi et consultation des notifications</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Notifications, journal d'envoi</w:t>
            </w:r>
          </w:p>
        </w:tc>
        <w:tc>
          <w:tcPr>
            <w:tcW w:type="dxa" w:w="31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w:t>
            </w:r>
          </w:p>
        </w:tc>
      </w:tr>
      <w:tr>
        <w:tc>
          <w:tcPr>
            <w:tcW w:type="dxa" w:w="1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reporting</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Indicateurs et exports</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Vues de lecture (aucune écriture)</w:t>
            </w:r>
          </w:p>
        </w:tc>
        <w:tc>
          <w:tcPr>
            <w:tcW w:type="dxa" w:w="31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w:t>
            </w:r>
          </w:p>
        </w:tc>
      </w:tr>
      <w:tr>
        <w:tc>
          <w:tcPr>
            <w:tcW w:type="dxa" w:w="13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shared</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Types communs techniques (identifiants, erreurs, horloge)</w:t>
            </w:r>
          </w:p>
        </w:tc>
        <w:tc>
          <w:tcPr>
            <w:tcW w:type="dxa" w:w="260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Aucune</w:t>
            </w:r>
          </w:p>
        </w:tc>
        <w:tc>
          <w:tcPr>
            <w:tcW w:type="dxa" w:w="31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w:t>
            </w:r>
          </w:p>
        </w:tc>
      </w:tr>
    </w:tbl>
    <w:p>
      <w:pPr>
        <w:spacing w:after="120"/>
      </w:pPr>
    </w:p>
    <w:p>
      <w:pPr>
        <w:spacing w:after="120"/>
        <w:jc w:val="both"/>
      </w:pPr>
      <w:r>
        <w:t xml:space="preserve">L'identité n'est pas un module métier : elle est déléguée à Keycloak. L'application ne stocke que l'identifiant de l'utilisateur, son nom et son e-mail tels que transmis dans le jeton.</w:t>
      </w:r>
    </w:p>
    <w:p>
      <w:pPr>
        <w:pStyle w:val="Heading2"/>
      </w:pPr>
      <w:r>
        <w:t xml:space="preserve">4.4 Architecture hexagonale à l'intérieur des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819"/>
        <w:gridCol w:w="3213"/>
      </w:tblGrid>
      <w:tr>
        <w:trPr>
          <w:tblHeader/>
        </w:trP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Couche</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Contenu</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Dépend de</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domain</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Entités, objets valeur, règles métier, machine à états, ports (interfaces)</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Rien : Java pur, sans Spring</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application</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Cas d'usage (créer un ticket, résoudre un ticket), transactions, autorisations métier</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domain</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adapter.in</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Contrôleurs REST, écouteurs d'événements, tâches planifiées</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application</w:t>
            </w:r>
          </w:p>
        </w:tc>
      </w:tr>
      <w:tr>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adapter.out</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Persistance JPA, outbox, client de stockage, envoi d'e-mails</w:t>
            </w:r>
          </w:p>
        </w:tc>
        <w:tc>
          <w:tcPr>
            <w:tcW w:type="dxa" w:w="32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domain (implémente les ports)</w:t>
            </w:r>
          </w:p>
        </w:tc>
      </w:tr>
    </w:tbl>
    <w:p>
      <w:pPr>
        <w:spacing w:after="120"/>
      </w:pPr>
    </w:p>
    <w:p>
      <w:pPr>
        <w:spacing w:after="120"/>
        <w:jc w:val="both"/>
      </w:pPr>
      <w:r>
        <w:t xml:space="preserve">La règle essentielle : </w:t>
      </w:r>
      <w:r>
        <w:rPr>
          <w:b/>
          <w:bCs/>
        </w:rPr>
        <w:t xml:space="preserve">le domaine ne dépend d'aucun framework</w:t>
      </w:r>
      <w:r>
        <w:t xml:space="preserve">. Il se teste en quelques millisecondes, sans base de données ni Spring. Les tests d'architecture font échouer le pipeline si cette règle est violée.</w:t>
      </w:r>
    </w:p>
    <w:p>
      <w:pPr>
        <w:pStyle w:val="Heading2"/>
      </w:pPr>
      <w:r>
        <w:t xml:space="preserve">4.5 Communication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753"/>
        <w:gridCol w:w="4132"/>
      </w:tblGrid>
      <w:tr>
        <w:trPr>
          <w:tblHeader/>
        </w:trP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Cas</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Mécanisme</w:t>
            </w:r>
          </w:p>
        </w:tc>
        <w:tc>
          <w:tcPr>
            <w:tcW w:type="dxa" w:w="41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Justification</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Navigateur vers backend</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REST JSON sur HTTPS, jeton JWT</w:t>
            </w:r>
          </w:p>
        </w:tc>
        <w:tc>
          <w:tcPr>
            <w:tcW w:type="dxa" w:w="41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Standard, outillé, contrat décrit en OpenAPI</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Module vers module, besoin d'une réponse immédiate</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Appel de l'API publique du module (interface Java)</w:t>
            </w:r>
          </w:p>
        </w:tc>
        <w:tc>
          <w:tcPr>
            <w:tcW w:type="dxa" w:w="41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Simple, transactionnel, vérifié par les tests d'architecture</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Module vers module, réaction à un fait passé</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Événement de domaine interne</w:t>
            </w:r>
          </w:p>
        </w:tc>
        <w:tc>
          <w:tcPr>
            <w:tcW w:type="dxa" w:w="41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Découplage : le module ticket ignore qui réagit</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Vers l'extérieur (notifications, audit, analytique)</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Événement publié dans Kafka via une outbox transactionnelle</w:t>
            </w:r>
          </w:p>
        </w:tc>
        <w:tc>
          <w:tcPr>
            <w:tcW w:type="dxa" w:w="413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Fiabilité : aucun événement perdu ni publié pour une transaction annulée</w:t>
            </w:r>
          </w:p>
        </w:tc>
      </w:tr>
    </w:tbl>
    <w:p>
      <w:pPr>
        <w:spacing w:after="120"/>
      </w:pPr>
    </w:p>
    <w:p>
      <w:pPr>
        <w:pStyle w:val="Heading2"/>
      </w:pPr>
      <w:r>
        <w:t xml:space="preserve">4.6 Outbox transactionnelle</w:t>
      </w:r>
    </w:p>
    <w:p>
      <w:pPr>
        <w:spacing w:after="120"/>
        <w:jc w:val="both"/>
      </w:pPr>
      <w:r>
        <w:t xml:space="preserve">Problème : lorsqu'un ticket est créé, il faut écrire dans Oracle </w:t>
      </w:r>
      <w:r>
        <w:rPr>
          <w:b/>
          <w:bCs/>
        </w:rPr>
        <w:t xml:space="preserve">et</w:t>
      </w:r>
      <w:r>
        <w:t xml:space="preserve"> publier un événement dans Kafka. Si l'écriture réussit et la publication échoue, l'événement est perdu ; dans le cas inverse, on publie un événement pour un ticket qui n'existe pas. Une transaction ne peut pas couvrir les deux systèmes.</w:t>
      </w:r>
    </w:p>
    <w:p>
      <w:pPr>
        <w:spacing w:after="120"/>
        <w:jc w:val="both"/>
      </w:pPr>
      <w:r>
        <w:t xml:space="preserve">Solution : l'événement est écrit dans une table </w:t>
      </w:r>
      <w:r>
        <w:rPr>
          <w:rFonts w:ascii="Courier New" w:cs="Courier New" w:eastAsia="Courier New" w:hAnsi="Courier New"/>
          <w:sz w:val="22"/>
          <w:szCs w:val="22"/>
        </w:rPr>
        <w:t xml:space="preserve">OUTBOX</w:t>
      </w:r>
      <w:r>
        <w:t xml:space="preserve"> </w:t>
      </w:r>
      <w:r>
        <w:rPr>
          <w:b/>
          <w:bCs/>
        </w:rPr>
        <w:t xml:space="preserve">dans la même transaction</w:t>
      </w:r>
      <w:r>
        <w:t xml:space="preserve"> que le ticket. Un composant de relais lit cette table et publie dans Kafka, puis marque l'événement comme publié. En cas de panne, il republie : la livraison est « au moins une fois », et les consommateurs sont donc </w:t>
      </w:r>
      <w:r>
        <w:rPr>
          <w:b/>
          <w:bCs/>
        </w:rPr>
        <w:t xml:space="preserve">idempotents</w:t>
      </w:r>
      <w:r>
        <w:t xml:space="preserve"> (ils ignorent un événement déjà traité, grâce à son identifiant).</w:t>
      </w:r>
    </w:p>
    <w:p>
      <w:pPr>
        <w:pStyle w:val="Heading1"/>
        <w:pageBreakBefore/>
      </w:pPr>
      <w:r>
        <w:t xml:space="preserve">5. Environnements</w:t>
      </w:r>
    </w:p>
    <w:p>
      <w:pPr>
        <w:pStyle w:val="Heading2"/>
      </w:pPr>
      <w:r>
        <w:t xml:space="preserve">5.1 Vue d'ensemble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2"/>
        <w:gridCol w:w="2344"/>
        <w:gridCol w:w="3125"/>
        <w:gridCol w:w="2607"/>
      </w:tblGrid>
      <w:tr>
        <w:trPr>
          <w:tblHeader/>
        </w:trPr>
        <w:tc>
          <w:tcPr>
            <w:tcW w:type="dxa" w:w="1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Environnement</w:t>
            </w:r>
          </w:p>
        </w:tc>
        <w:tc>
          <w:tcPr>
            <w:tcW w:type="dxa" w:w="23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31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Hébergement</w:t>
            </w:r>
          </w:p>
        </w:tc>
        <w:tc>
          <w:tcPr>
            <w:tcW w:type="dxa" w:w="26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Base Oracle</w:t>
            </w:r>
          </w:p>
        </w:tc>
      </w:tr>
      <w:tr>
        <w:tc>
          <w:tcPr>
            <w:tcW w:type="dxa" w:w="1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Local</w:t>
            </w:r>
          </w:p>
        </w:tc>
        <w:tc>
          <w:tcPr>
            <w:tcW w:type="dxa" w:w="23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Développement et essais</w:t>
            </w:r>
          </w:p>
        </w:tc>
        <w:tc>
          <w:tcPr>
            <w:tcW w:type="dxa" w:w="31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Poste du développeur, 16 Go, Docker Compose avec profils</w:t>
            </w:r>
          </w:p>
        </w:tc>
        <w:tc>
          <w:tcPr>
            <w:tcW w:type="dxa" w:w="26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Oracle Database Free en conteneur</w:t>
            </w:r>
          </w:p>
        </w:tc>
      </w:tr>
      <w:tr>
        <w:tc>
          <w:tcPr>
            <w:tcW w:type="dxa" w:w="1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Intégration continue</w:t>
            </w:r>
          </w:p>
        </w:tc>
        <w:tc>
          <w:tcPr>
            <w:tcW w:type="dxa" w:w="23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Compilation, tests, analyses, construction des images</w:t>
            </w:r>
          </w:p>
        </w:tc>
        <w:tc>
          <w:tcPr>
            <w:tcW w:type="dxa" w:w="31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Machines GitHub Actions, éphémères</w:t>
            </w:r>
          </w:p>
        </w:tc>
        <w:tc>
          <w:tcPr>
            <w:tcW w:type="dxa" w:w="26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Oracle Database Free via Testcontainers</w:t>
            </w:r>
          </w:p>
        </w:tc>
      </w:tr>
      <w:tr>
        <w:tc>
          <w:tcPr>
            <w:tcW w:type="dxa" w:w="156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 ligne</w:t>
            </w:r>
          </w:p>
        </w:tc>
        <w:tc>
          <w:tcPr>
            <w:tcW w:type="dxa" w:w="234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Démonstration, déployé à chaque fusion dans main</w:t>
            </w:r>
          </w:p>
        </w:tc>
        <w:tc>
          <w:tcPr>
            <w:tcW w:type="dxa" w:w="312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Oracle Cloud, offre Always Free</w:t>
            </w:r>
          </w:p>
        </w:tc>
        <w:tc>
          <w:tcPr>
            <w:tcW w:type="dxa" w:w="260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Oracle Autonomous Database</w:t>
            </w:r>
          </w:p>
        </w:tc>
      </w:tr>
    </w:tbl>
    <w:p>
      <w:pPr>
        <w:spacing w:after="120"/>
      </w:pPr>
    </w:p>
    <w:p>
      <w:pPr>
        <w:spacing w:after="60" w:line="240" w:lineRule="auto"/>
        <w:jc w:val="center"/>
      </w:pPr>
      <w:r>
        <w:drawing>
          <wp:inline distT="0" distB="0" distL="0" distR="0">
            <wp:extent cx="6096000" cy="2314575"/>
            <wp:effectExtent t="0" r="0" b="0" l="0"/>
            <wp:docPr id="1" name="img/deploy.png" descr="img/deploy.png" title="img/depl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14575"/>
                    </a:xfrm>
                    <a:prstGeom prst="rect">
                      <a:avLst/>
                    </a:prstGeom>
                  </pic:spPr>
                </pic:pic>
              </a:graphicData>
            </a:graphic>
          </wp:inline>
        </w:drawing>
      </w:r>
    </w:p>
    <w:p>
      <w:pPr>
        <w:spacing w:after="200"/>
        <w:jc w:val="center"/>
      </w:pPr>
      <w:r>
        <w:rPr>
          <w:i/>
          <w:iCs/>
          <w:sz w:val="22"/>
          <w:szCs w:val="22"/>
        </w:rPr>
        <w:t xml:space="preserve">Figure 2 : chaîne de livraison et environnement en ligne</w:t>
      </w:r>
    </w:p>
    <w:p>
      <w:pPr>
        <w:pStyle w:val="Heading2"/>
      </w:pPr>
      <w:r>
        <w:t xml:space="preserve">5.2 Environnement local</w:t>
      </w:r>
    </w:p>
    <w:p>
      <w:pPr>
        <w:pStyle w:val="Heading3"/>
      </w:pPr>
      <w:r>
        <w:t xml:space="preserve">Prérequis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Élément</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Recommandation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Système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Linux, macOS, ou Windows 11 avec WSL 2 (Ubuntu). Sous Windows, le code et Docker doivent vivre dans WSL 2 pour des performances correctes.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Mémoire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16 Go. Allouer 10 Go au maximum à Docker (fichier .wslconfig sous Windows, réglages Docker Desktop sous macOS).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Disque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40 Go libres (images Oracle, Kafka, observabilité).</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Processeur</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Architecture x86_64 ou ARM (Apple Silicon) : les images choisies existent pour les deux.</w:t>
            </w:r>
          </w:p>
        </w:tc>
      </w:tr>
    </w:tbl>
    <w:p>
      <w:pPr>
        <w:spacing w:after="120"/>
      </w:pPr>
    </w:p>
    <w:p>
      <w:pPr>
        <w:pStyle w:val="Heading3"/>
      </w:pPr>
      <w:r>
        <w:t xml:space="preserve">Profils Docker Compose</w:t>
      </w:r>
    </w:p>
    <w:p>
      <w:pPr>
        <w:spacing w:after="120"/>
        <w:jc w:val="both"/>
      </w:pPr>
      <w:r>
        <w:t xml:space="preserve">Tous les services ne peuvent pas tourner en même temps que l'IDE et le navigateur. Le fichier Compose est donc organisé en </w:t>
      </w:r>
      <w:r>
        <w:rPr>
          <w:b/>
          <w:bCs/>
        </w:rPr>
        <w:t xml:space="preserve">profils</w:t>
      </w:r>
      <w:r>
        <w:t xml:space="preserve"> que l'on active selon le besoin.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3796"/>
        <w:gridCol w:w="1752"/>
        <w:gridCol w:w="2192"/>
      </w:tblGrid>
      <w:tr>
        <w:trPr>
          <w:tblHeader/>
        </w:trPr>
        <w:tc>
          <w:tcPr>
            <w:tcW w:type="dxa" w:w="18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Profil</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Services</w:t>
            </w:r>
          </w:p>
        </w:tc>
        <w:tc>
          <w:tcPr>
            <w:tcW w:type="dxa" w:w="17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Mémoire estimée</w:t>
            </w:r>
          </w:p>
        </w:tc>
        <w:tc>
          <w:tcPr>
            <w:tcW w:type="dxa" w:w="21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Utilisé quand</w:t>
            </w:r>
          </w:p>
        </w:tc>
      </w:tr>
      <w:tr>
        <w:tc>
          <w:tcPr>
            <w:tcW w:type="dxa" w:w="18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 toujours actif)</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Oracle Database Free, Keycloak</w:t>
            </w:r>
          </w:p>
        </w:tc>
        <w:tc>
          <w:tcPr>
            <w:tcW w:type="dxa" w:w="17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environ 3 Go</w:t>
            </w:r>
          </w:p>
        </w:tc>
        <w:tc>
          <w:tcPr>
            <w:tcW w:type="dxa" w:w="21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Toujours</w:t>
            </w:r>
          </w:p>
        </w:tc>
      </w:tr>
      <w:tr>
        <w:tc>
          <w:tcPr>
            <w:tcW w:type="dxa" w:w="18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Backend, frontend (si on ne les lance pas depuis l'IDE)</w:t>
            </w:r>
          </w:p>
        </w:tc>
        <w:tc>
          <w:tcPr>
            <w:tcW w:type="dxa" w:w="17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environ 1,2 Go</w:t>
            </w:r>
          </w:p>
        </w:tc>
        <w:tc>
          <w:tcPr>
            <w:tcW w:type="dxa" w:w="21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Essais de bout en bout</w:t>
            </w:r>
          </w:p>
        </w:tc>
      </w:tr>
      <w:tr>
        <w:tc>
          <w:tcPr>
            <w:tcW w:type="dxa" w:w="18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events</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Kafka (mode KRaft), interface Kafka</w:t>
            </w:r>
          </w:p>
        </w:tc>
        <w:tc>
          <w:tcPr>
            <w:tcW w:type="dxa" w:w="17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environ 1,3 Go</w:t>
            </w:r>
          </w:p>
        </w:tc>
        <w:tc>
          <w:tcPr>
            <w:tcW w:type="dxa" w:w="21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À partir de I4</w:t>
            </w:r>
          </w:p>
        </w:tc>
      </w:tr>
      <w:tr>
        <w:tc>
          <w:tcPr>
            <w:tcW w:type="dxa" w:w="18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obs</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Grafana LGTM tout-en-un (collector, Prometheus, Loki, Tempo, Grafana)</w:t>
            </w:r>
          </w:p>
        </w:tc>
        <w:tc>
          <w:tcPr>
            <w:tcW w:type="dxa" w:w="17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environ 1,5 Go</w:t>
            </w:r>
          </w:p>
        </w:tc>
        <w:tc>
          <w:tcPr>
            <w:tcW w:type="dxa" w:w="21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Travail sur l'observabilité</w:t>
            </w:r>
          </w:p>
        </w:tc>
      </w:tr>
      <w:tr>
        <w:tc>
          <w:tcPr>
            <w:tcW w:type="dxa" w:w="18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mail</w:t>
            </w:r>
          </w:p>
        </w:tc>
        <w:tc>
          <w:tcPr>
            <w:tcW w:type="dxa" w:w="379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Mailpit (faux serveur SMTP)</w:t>
            </w:r>
          </w:p>
        </w:tc>
        <w:tc>
          <w:tcPr>
            <w:tcW w:type="dxa" w:w="17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environ 50 Mo</w:t>
            </w:r>
          </w:p>
        </w:tc>
        <w:tc>
          <w:tcPr>
            <w:tcW w:type="dxa" w:w="219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Travail sur les notifications</w:t>
            </w:r>
          </w:p>
        </w:tc>
      </w:tr>
    </w:tbl>
    <w:p>
      <w:pPr>
        <w:spacing w:after="120"/>
      </w:pPr>
    </w:p>
    <w:p>
      <w:pPr>
        <w:spacing w:after="120"/>
        <w:jc w:val="both"/>
      </w:pPr>
      <w:r>
        <w:t xml:space="preserve">Budget typique : système, IDE et navigateur environ 6 à 7 Go ; profil de base environ 3 Go ; il reste de la marge pour un ou deux profils supplémentaires, mais pas pour tous à la fois.</w:t>
      </w: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Démarrer la base et Keycloak seulement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docker compose up -d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Ajouter Kafka et l'observabilité pour une séance de travail sur I5</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docker compose --profile events --profile obs up -d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Vérifier la consommation mémoire réelle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docker stats --no-stream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Tout arrêter en conservant les données</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docker compose --profile "*" down</w:t>
      </w:r>
    </w:p>
    <w:p>
      <w:pPr>
        <w:spacing w:after="120"/>
      </w:pPr>
    </w:p>
    <w:p>
      <w:pPr>
        <w:pStyle w:val="Heading2"/>
      </w:pPr>
      <w:r>
        <w:t xml:space="preserve">5.3 Environnement d'intégration continue</w:t>
      </w:r>
    </w:p>
    <w:p>
      <w:pPr>
        <w:spacing w:after="120"/>
        <w:jc w:val="both"/>
      </w:pPr>
      <w:r>
        <w:t xml:space="preserve">GitHub Actions exécute le pipeline sur des machines éphémères. Le dépôt est </w:t>
      </w:r>
      <w:r>
        <w:rPr>
          <w:b/>
          <w:bCs/>
        </w:rPr>
        <w:t xml:space="preserve">public</w:t>
      </w:r>
      <w:r>
        <w:t xml:space="preserve"> : c'est une vitrine pour un recruteur, et cela donne accès gratuitement aux machines ARM64 de GitHub, à SonarQube Cloud et à l'analyse CodeQL. En contrepartie, la discipline sur les secrets doit être irréprochable (voir chapitre 17).</w:t>
      </w:r>
    </w:p>
    <w:p>
      <w:pPr>
        <w:pStyle w:val="Heading2"/>
      </w:pPr>
      <w:r>
        <w:t xml:space="preserve">5.4 Environnement en ligne</w:t>
      </w:r>
    </w:p>
    <w:p>
      <w:pPr>
        <w:pStyle w:val="Heading3"/>
      </w:pPr>
      <w:r>
        <w:t xml:space="preserve">Ressources Oracle Cloud Always Free utilisées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Ressource</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Usage dans le projet</w:t>
            </w:r>
          </w:p>
        </w:tc>
      </w:tr>
      <w:t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VM Ampere A1 (ARM) : 2 OCPU et 12 Go de RAM au total</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Héberge Caddy, le frontend, le backend, Keycloak, Kafka et le collecteur OpenTelemetry ; plus tard le cluster k3s</w:t>
            </w:r>
          </w:p>
        </w:tc>
      </w:tr>
      <w:t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Autonomous Database</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Base Oracle de l'application (et de Keycloak, voir ADR-011). Ne consomme pas la mémoire de la VM ; sauvegardes gérées par Oracle</w:t>
            </w:r>
          </w:p>
        </w:tc>
      </w:tr>
      <w:t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Object Storage</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Stockage des pièces jointes (voir ADR-009)</w:t>
            </w:r>
          </w:p>
        </w:tc>
      </w:tr>
      <w:tr>
        <w:tc>
          <w:tcPr>
            <w:tcW w:type="dxa" w:w="3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Réseau virtuel et liste de sécurité</w:t>
            </w:r>
          </w:p>
        </w:tc>
        <w:tc>
          <w:tcPr>
            <w:tcW w:type="dxa" w:w="57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Seuls les ports 80 et 443 sont ouverts au public ; le port 22 est restreint</w:t>
            </w:r>
          </w:p>
        </w:tc>
      </w:tr>
    </w:tbl>
    <w:p>
      <w:pPr>
        <w:spacing w:after="120"/>
      </w:pPr>
    </w:p>
    <w:p>
      <w:pPr>
        <w:spacing w:after="120"/>
        <w:jc w:val="both"/>
      </w:pPr>
      <w:r>
        <w:t xml:space="preserve">Contraintes vérifiées le 24 septembre 2026 : depuis juin 2026, l'allocation gratuite Ampere A1 est limitée à 2 OCPU et 12 Go de RAM, dans la région d'origine du compte uniquement. Le choix de la région est définitif : choisir Paris ou Marseille. Ces conditions ayant déjà changé sans préavis, l'environnement doit pouvoir être reconstruit ailleurs (voir chapitre 23).</w:t>
      </w:r>
    </w:p>
    <w:p>
      <w:pPr>
        <w:pStyle w:val="Heading3"/>
      </w:pPr>
      <w:r>
        <w:t xml:space="preserve">Budget mémoire de la VM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1606"/>
        <w:gridCol w:w="4820"/>
      </w:tblGrid>
      <w:tr>
        <w:trPr>
          <w:tblHeader/>
        </w:trP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Composant</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Limite mémoire</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Remarque</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Système et Docker</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1 Go</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Ubuntu minimal</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Caddy</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64 Mo</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Reverse proxy et certificats</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Frontend (Nginx)</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64 Mo</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Fichiers statiques Angular</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Backend Spring Boot</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1 Go</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Taille du tas réglée à 70 % de la limite</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Keycloak</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1 Go</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Mode production, cache local</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Kafka (un seul nœud, KRaft)</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1 Go</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À partir de I4</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Collecteur OpenTelemetry</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256 Mo</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Envoie vers Grafana Cloud</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k3s (à partir de I6)</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1 Go</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Plan de contrôle Kubernetes léger</w:t>
            </w:r>
          </w:p>
        </w:tc>
      </w:tr>
      <w:tr>
        <w:tc>
          <w:tcPr>
            <w:tcW w:type="dxa" w:w="321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Total</w:t>
            </w:r>
          </w:p>
        </w:tc>
        <w:tc>
          <w:tcPr>
            <w:tcW w:type="dxa" w:w="1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environ 5,5 Go</w:t>
            </w:r>
          </w:p>
        </w:tc>
        <w:tc>
          <w:tcPr>
            <w:tcW w:type="dxa" w:w="48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Marge d'environ 6 Go pour les pics et les évolutions</w:t>
            </w:r>
          </w:p>
        </w:tc>
      </w:tr>
    </w:tbl>
    <w:p>
      <w:pPr>
        <w:spacing w:after="120"/>
      </w:pPr>
    </w:p>
    <w:p>
      <w:pPr>
        <w:spacing w:after="120"/>
        <w:jc w:val="both"/>
      </w:pPr>
      <w:r>
        <w:t xml:space="preserve">La pile d'observabilité complète (Prometheus, Loki, Tempo, Grafana) n'est pas hébergée sur la VM : en ligne, la télémétrie est envoyée vers </w:t>
      </w:r>
      <w:r>
        <w:rPr>
          <w:b/>
          <w:bCs/>
        </w:rPr>
        <w:t xml:space="preserve">Grafana Cloud</w:t>
      </w:r>
      <w:r>
        <w:t xml:space="preserve"> (offre gratuite sans limite de durée, rétention de 14 jours). En local, le développeur opère lui-même la pile complète pour apprendre à l'installer et à la configurer.</w:t>
      </w:r>
    </w:p>
    <w:p>
      <w:pPr>
        <w:pStyle w:val="Heading3"/>
      </w:pPr>
      <w:r>
        <w:t xml:space="preserve">Nom de domaine et HTTPS</w:t>
      </w:r>
    </w:p>
    <w:p>
      <w:pPr>
        <w:spacing w:after="120"/>
        <w:jc w:val="both"/>
      </w:pPr>
      <w:r>
        <w:t xml:space="preserve">Un sous-domaine gratuit est obtenu chez DuckDNS (par exemple </w:t>
      </w:r>
      <w:r>
        <w:rPr>
          <w:rFonts w:ascii="Courier New" w:cs="Courier New" w:eastAsia="Courier New" w:hAnsi="Courier New"/>
          <w:sz w:val="22"/>
          <w:szCs w:val="22"/>
        </w:rPr>
        <w:t xml:space="preserve">itsm-nordal.duckdns.org</w:t>
      </w:r>
      <w:r>
        <w:t xml:space="preserve">). Caddy obtient et renouvelle automatiquement les certificats Let's Encrypt. Aucun trafic HTTP n'est servi : toute requête HTTP est redirigée vers HTTPS.</w:t>
      </w:r>
    </w:p>
    <w:p>
      <w:pPr>
        <w:pStyle w:val="Heading3"/>
      </w:pPr>
      <w:r>
        <w:t xml:space="preserve">Accès et administration</w:t>
      </w:r>
    </w:p>
    <w:p>
      <w:pPr>
        <w:pStyle w:val="ListParagraph"/>
        <w:numPr>
          <w:ilvl w:val="0"/>
          <w:numId w:val="2"/>
        </w:numPr>
        <w:spacing w:after="80"/>
      </w:pPr>
      <w:r>
        <w:t xml:space="preserve">connexion SSH par clé uniquement, mot de passe désactivé, utilisateur dédié au déploiement ;</w:t>
      </w:r>
    </w:p>
    <w:p>
      <w:pPr>
        <w:pStyle w:val="ListParagraph"/>
        <w:numPr>
          <w:ilvl w:val="0"/>
          <w:numId w:val="2"/>
        </w:numPr>
        <w:spacing w:after="80"/>
      </w:pPr>
      <w:r>
        <w:t xml:space="preserve">le port 22 est ouvert uniquement pendant les déploiements ou depuis des adresses connues (voir ADR-012) ;</w:t>
      </w:r>
    </w:p>
    <w:p>
      <w:pPr>
        <w:pStyle w:val="ListParagraph"/>
        <w:numPr>
          <w:ilvl w:val="0"/>
          <w:numId w:val="2"/>
        </w:numPr>
        <w:spacing w:after="80"/>
      </w:pPr>
      <w:r>
        <w:t xml:space="preserve">mises à jour de sécurité du système appliquées automatiquement (unattended-upgrades).</w:t>
      </w:r>
    </w:p>
    <w:p>
      <w:pPr>
        <w:pStyle w:val="Heading1"/>
        <w:pageBreakBefore/>
      </w:pPr>
      <w:r>
        <w:t xml:space="preserve">6. Outils : poste de travail et gestion du code</w:t>
      </w:r>
    </w:p>
    <w:p>
      <w:pPr>
        <w:pStyle w:val="Heading3"/>
      </w:pPr>
      <w:r>
        <w:t xml:space="preserve">Git et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Gestion de versions, hébergement du dépôt, Pull Requests, revue de code, suivi des tâches (Issues et Projects).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Standard du marché. GitHub réunit au même endroit le code, les revues, le Kanban, le pipeline et le registre d'images, ce qui limite le nombre d'outils à maîtriser.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GitLab : très complet mais redondant ici ; un seul écosystème suffit.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git switch -c feat/ticket-creation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git commit -m "feat(ticket): create incident with computed priority"</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git push -u origin feat/ticket-creation</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gh pr create --fill --base main</w:t>
      </w:r>
    </w:p>
    <w:p>
      <w:pPr>
        <w:spacing w:after="120"/>
      </w:pPr>
    </w:p>
    <w:p>
      <w:pPr>
        <w:pStyle w:val="Heading3"/>
      </w:pPr>
      <w:r>
        <w:t xml:space="preserve">IntelliJ IDEA (Community ou Ultimate) et Visual Studio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IntelliJ pour le backend Java ; VS Code pour le frontend Angular.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IntelliJ offre le meilleur support de Java, Spring et Maven (refactoring, débogage, profilage). VS Code est la référence pour TypeScript et Angular. Une licence étudiante donne accès gratuitement à IntelliJ Ultimate.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pStyle w:val="Heading3"/>
      </w:pPr>
      <w:r>
        <w:t xml:space="preserve">SDKMAN et JDK 25 (Eclipse Temurin)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Installation et gestion des versions de Java.</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Java 25 est la version LTS la plus récente : support long, fonctionnalités modernes (records, pattern matching, threads virtuels). SDKMAN permet de changer de version en une commande, comme en entreprise où plusieurs projets coexistent.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sdk install java 25.0.x-tem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sdk use java 25.0.x-tem</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java -version</w:t>
      </w:r>
    </w:p>
    <w:p>
      <w:pPr>
        <w:spacing w:after="120"/>
      </w:pPr>
    </w:p>
    <w:p>
      <w:pPr>
        <w:pStyle w:val="Heading3"/>
      </w:pPr>
      <w:r>
        <w:t xml:space="preserve">Node.js LTS et npm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Exécution de l'outillage Angular (compilation, tests, serveur de développement).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Prérequis d'Angular. On utilise toujours une version LTS, installée via nvm pour pouvoir en changer facilement.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nvm install --lts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nvm use --lts</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npm ci</w:t>
      </w:r>
    </w:p>
    <w:p>
      <w:pPr>
        <w:spacing w:after="120"/>
      </w:pPr>
    </w:p>
    <w:p>
      <w:pPr>
        <w:pStyle w:val="Heading3"/>
      </w:pPr>
      <w:r>
        <w:t xml:space="preserve">Maven (via le wrapper mvnw)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Construction du backend : dépendances, compilation, tests, rapports.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Outil le plus répandu dans les entreprises françaises utilisant Spring. Le wrapper garantit que tout le monde, y compris le pipeline, utilise la même version.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Gradle : plus rapide et plus flexible, mais moins présent dans les offres d'emploi visées.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./mvnw verify            # compile, tests unitaires et d'intégration</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./mvnw spring-boot:run   # lance l'application en local</w:t>
      </w:r>
    </w:p>
    <w:p>
      <w:pPr>
        <w:spacing w:after="120"/>
      </w:pPr>
    </w:p>
    <w:p>
      <w:pPr>
        <w:pStyle w:val="Heading3"/>
      </w:pPr>
      <w:r>
        <w:t xml:space="preserve">Bruno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Client HTTP pour tester l'API à la main.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Les collections de requêtes sont de simples fichiers texte versionnés dans le dépôt, à côté du code. Tout le monde partage les mêmes requêtes, sans compte en ligne.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Postman : collections stockées dans un compte en ligne, moins adapté à Git.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api/collections/tickets/create-ticket.bru</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post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url: {{baseUrl}}/api/v1/tickets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auth: bearer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body:json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 "type": "INCIDENT", "title": "PC ne démarre plus", ... }</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1"/>
        <w:pageBreakBefore/>
      </w:pPr>
      <w:r>
        <w:t xml:space="preserve">7. Outils : backend</w:t>
      </w:r>
    </w:p>
    <w:p>
      <w:pPr>
        <w:pStyle w:val="Heading3"/>
      </w:pPr>
      <w:r>
        <w:t xml:space="preserve">Spring Boot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Socle de l'application backend : configuration, serveur web, injection de dépendances, intégrations.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Exigé par les offres visées. Il fournit des intégrations prêtes pour tout ce dont le projet a besoin : sécurité OAuth2, JPA, Kafka, Actuator, Micrometer et OpenTelemetry.</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application.yml (extrait)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spring:</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application.name: itsm-backend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threads.virtual.enabled: true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server:</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shutdown: graceful</w:t>
      </w:r>
    </w:p>
    <w:p>
      <w:pPr>
        <w:spacing w:after="120"/>
      </w:pPr>
    </w:p>
    <w:p>
      <w:pPr>
        <w:pStyle w:val="Heading3"/>
      </w:pPr>
      <w:r>
        <w:t xml:space="preserve">Spring Modulith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Vérifie les frontières entre modules, gère les événements internes et documente la structure modulaire.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Transforme une convention (« le module ticket n'accède pas aux classes internes du module sla ») en test automatique. Génère aussi des diagrammes des modules pour la documentation.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ArchUnit seul : possible, mais il faut écrire soi-même toutes les règles de modules. ArchUnit reste utilisé pour les règles de couches hexagonales.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@Test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void modulesRespectTheirBoundaries()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ApplicationModules.of(ItsmApplication.class).verify();</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3"/>
      </w:pPr>
      <w:r>
        <w:t xml:space="preserve">Spring Data JPA et Hibernate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Persistance des agrégats du domaine dans Oracle.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Réduit le code répétitif de persistance et gère le verrouillage optimiste (règle RG-15) par un simple champ de version. Les entités JPA restent dans l'adaptateur de sortie, séparées des objets du domaine.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JDBC pur ou jOOQ : davantage de contrôle SQL, mais plus de code ; ils restent envisageables pour les requêtes de reporting.</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@Entity @Table(name = "TICKET")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class TicketJpaEntity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@Id Long id;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@Version Long version;     // verrouillage optimiste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@Column(name = "REFERENCE") String reference;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3"/>
      </w:pPr>
      <w:r>
        <w:t xml:space="preserve">Bean Validation (Hibernate Validator)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Validation des données reçues par l'API.</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Les règles de format (longueur du titre, champs obligatoires) sont déclarées sur les objets de requête et produisent automatiquement une erreur 400 structurée.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record CreateTicketRequest(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@NotNull TicketType type,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@Size(min = 5, max = 120) String title,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@NotBlank @Size(max = 5000) String description) {}</w:t>
      </w:r>
    </w:p>
    <w:p>
      <w:pPr>
        <w:spacing w:after="120"/>
      </w:pPr>
    </w:p>
    <w:p>
      <w:pPr>
        <w:pStyle w:val="Heading3"/>
      </w:pPr>
      <w:r>
        <w:t xml:space="preserve">springdoc-openapi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Génère la documentation OpenAPI et l'interface Swagger UI à partir du code.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 contrat d'API est toujours à jour. Il est comparé à chaque Pull Request avec la version précédente pour détecter les changements incompatibles.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@Operation(summary = "Create a ticket")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@ApiResponse(responseCode = "201", description = "Ticket created")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@PostMapping("/api/v1/tickets")</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ResponseEntity&lt;TicketResponse&gt; create(@Valid @RequestBody CreateTicketRequest r)</w:t>
      </w:r>
    </w:p>
    <w:p>
      <w:pPr>
        <w:spacing w:after="120"/>
      </w:pPr>
    </w:p>
    <w:p>
      <w:pPr>
        <w:pStyle w:val="Heading3"/>
      </w:pPr>
      <w:r>
        <w:t xml:space="preserve">Flyway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Migrations versionnées du schéma Oracle.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Chaque évolution du schéma est un script SQL numéroté, versionné dans Git et appliqué automatiquement au démarrage et dans les tests. Les scripts sont en SQL natif, ce qui permet d'écrire des vues et du PL/SQL sans surcouche.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Liquibase : puissant, mais son format XML ou YAML éloigne du SQL Oracle qu'on souhaite pratiquer.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src/main/resources/db/migration/V3__create_ticket.sql</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CREATE SEQUENCE TICKET_REF_SEQ START WITH 1 NOCACHE;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CREATE TABLE TICKET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ID          NUMBER GENERATED ALWAYS AS IDENTITY PRIMARY KEY,</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REFERENCE   VARCHAR2(20) NOT NULL CONSTRAINT UK_TICKET_REF UNIQUE,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STATUS      VARCHAR2(20) NOT NULL</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CONSTRAINT CK_TICKET_STATUS CHECK (STATUS IN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('NEW','ASSIGNED','IN_PROGRESS','ON_HOLD',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'RESOLVED','CLOSED','CANCELLED')),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VERSION     NUMBER DEFAULT 0 NOT NULL</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3"/>
      </w:pPr>
      <w:r>
        <w:t xml:space="preserve">MapStruct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Conversion entre objets du domaine, entités JPA et objets de l'API.</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L'architecture hexagonale multiplie les représentations d'un même concept. MapStruct génère le code de conversion à la compilation : pas de réflexion, erreurs détectées tôt.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pStyle w:val="Heading3"/>
      </w:pPr>
      <w:r>
        <w:t xml:space="preserve">Resilience4j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Délais d'attente, nouvelles tentatives, disjoncteur et limitation de débit.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Protège l'application quand une dépendance (stockage, serveur d'e-mails) est lente ou indisponible, conformément au cas particulier « service de notification indisponible » du cahier fonctionnel.</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I7</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@CircuitBreaker(name = "mail", fallbackMethod = "queueForLater")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@Retry(name = "mail")</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void send(Notification n) { ... }</w:t>
      </w:r>
    </w:p>
    <w:p>
      <w:pPr>
        <w:spacing w:after="120"/>
      </w:pPr>
    </w:p>
    <w:p>
      <w:pPr>
        <w:pStyle w:val="Heading1"/>
        <w:pageBreakBefore/>
      </w:pPr>
      <w:r>
        <w:t xml:space="preserve">8. Outils : frontend</w:t>
      </w:r>
    </w:p>
    <w:p>
      <w:pPr>
        <w:pStyle w:val="Heading3"/>
      </w:pPr>
      <w:r>
        <w:t xml:space="preserve">Angular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Application web monopage.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Exigé par les offres visées. Framework complet (routage, formulaires, client HTTP, tests) et structurant, apprécié des entreprises pour les applications de gestion. On utilise la dernière version majeure stable avec les composants autonomes et les signals.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ng new itsm-frontend --style=scss --ssr=false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ng generate component features/tickets/ticket-list</w:t>
      </w:r>
    </w:p>
    <w:p>
      <w:pPr>
        <w:spacing w:after="120"/>
      </w:pPr>
    </w:p>
    <w:p>
      <w:pPr>
        <w:pStyle w:val="Heading3"/>
      </w:pPr>
      <w:r>
        <w:t xml:space="preserve">Angular Material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Bibliothèque de composants d'interface.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Composants accessibles par défaut (clavier, lecteurs d'écran), ce qui aide à respecter l'exigence d'accessibilité. Maintenue par l'équipe Angular.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PrimeNG : plus de composants, mais l'accessibilité et la cohérence sont moins garanties.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pStyle w:val="Heading3"/>
      </w:pPr>
      <w:r>
        <w:t xml:space="preserve">angular-auth-oidc-client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Connexion OpenID Connect avec Keycloak depuis le navigateur.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Bibliothèque certifiée OpenID qui gère le flux Authorization Code avec PKCE, le renouvellement des jetons et la déconnexion. On n'écrit jamais soi-même un flux d'authentification.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pStyle w:val="Heading3"/>
      </w:pPr>
      <w:r>
        <w:t xml:space="preserve">ESLint et Prettier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Analyse statique et formatage du code TypeScript.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Formatage identique pour tous et détection précoce d'erreurs. Exécutés dans le pipeline et avant chaque commit.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npm run lint</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npx prettier --check "src/**/*.{ts,html,scss}"</w:t>
      </w:r>
    </w:p>
    <w:p>
      <w:pPr>
        <w:spacing w:after="120"/>
      </w:pPr>
    </w:p>
    <w:p>
      <w:pPr>
        <w:pStyle w:val="Heading1"/>
        <w:pageBreakBefore/>
      </w:pPr>
      <w:r>
        <w:t xml:space="preserve">9. Outils : données, identité et messagerie</w:t>
      </w:r>
    </w:p>
    <w:p>
      <w:pPr>
        <w:pStyle w:val="Heading3"/>
      </w:pPr>
      <w:r>
        <w:t xml:space="preserve">Oracle Database Free (local et CI) et Autonomous Database (en ligne)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Base de données relationnelle de l'application.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Exigée par les offres visées et cœur de la formation suivie. Oracle Database Free offre les mêmes fonctionnalités SQL et PL/SQL qu'une édition entreprise, dans un conteneur. Autonomous Database est gratuit en ligne et libère la mémoire de la VM.</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Local : conteneur Oracle Free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docker run -d --name oracle -p 1521:1521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 ORACLE_PASSWORD=${ORACLE_PASSWORD} gvenzl/oracle-free:slim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Se connecter avec SQLcl</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sql itsm_app@//localhost:1521/FREEPDB1</w:t>
      </w:r>
    </w:p>
    <w:p>
      <w:pPr>
        <w:spacing w:after="120"/>
      </w:pPr>
    </w:p>
    <w:p>
      <w:pPr>
        <w:pStyle w:val="Heading3"/>
      </w:pPr>
      <w:r>
        <w:t xml:space="preserve">SQLcl et SQL Developer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Clients Oracle en ligne de commande et graphique.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Outils officiels et gratuits d'Oracle. SQLcl est scriptable et utilisable dans le terminal ou le pipeline ; SQL Developer aide à explorer le dictionnaire de données et les plans d'exécution.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SQL&gt; EXPLAIN PLAN FOR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SELECT * FROM TICKET WHERE ASSIGNED_GROUP_ID = :g AND STATUS = 'NEW';</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SQL&gt; SELECT * FROM TABLE(DBMS_XPLAN.DISPLAY);</w:t>
      </w:r>
    </w:p>
    <w:p>
      <w:pPr>
        <w:spacing w:after="120"/>
      </w:pPr>
    </w:p>
    <w:p>
      <w:pPr>
        <w:pStyle w:val="Heading3"/>
      </w:pPr>
      <w:r>
        <w:t xml:space="preserve">Keycloak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Fournisseur d'identité : comptes, authentification, rôles, émission des jetons OpenID Connect.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On ne réinvente pas l'authentification. Keycloak est open source, très utilisé en entreprise, et permet d'apprendre OAuth2 et OpenID Connect sur un vrai serveur d'identité. Le backend ne fait que vérifier les jetons (serveur de ressources).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Authentification maison : risque de sécurité et aucune valeur d'apprentissage réutilisable. Auth0 ou Okta : services hébergés, moins formateurs.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Backend : serveur de ressources OAuth2 (application.yml)</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spring:</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security:</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oauth2:</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resourceserver: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jwt:</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issuer-uri: ${KEYCLOAK_ISSUER}   # .../realms/itsm</w:t>
      </w:r>
    </w:p>
    <w:p>
      <w:pPr>
        <w:spacing w:after="120"/>
      </w:pPr>
    </w:p>
    <w:p>
      <w:pPr>
        <w:pStyle w:val="Heading3"/>
      </w:pPr>
      <w:r>
        <w:t xml:space="preserve">Apache Kafka 4 (mode KRaft)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Diffusion des événements métier vers les consommateurs (notifications, audit, analytique).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Les événements sont conservés et rejouables, plusieurs consommateurs lisent le même flux indépendamment, et l'ordre est garanti par ticket grâce à la clé de partition. Kafka 4 fonctionne sans ZooKeeper, ce qui simplifie l'exploitation et réduit la mémoire. Le choix définitif entre Kafka et RabbitMQ est documenté dans l'ADR-013 au début de I4.</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RabbitMQ : excellent pour la distribution de tâches, mais les messages disparaissent une fois consommés ; pas de relecture de l'historique.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Clé de partition = identifiant du ticket : ordre garanti par ticket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kafka-topics.sh --create --topic itsm.ticket.events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--partitions 3 --replication-factor 1 --bootstrap-server kafka:9092</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Observer le retard d'un groupe de consommateurs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kafka-consumer-groups.sh --describe --group notification-service \</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--bootstrap-server kafka:9092</w:t>
      </w:r>
    </w:p>
    <w:p>
      <w:pPr>
        <w:spacing w:after="120"/>
      </w:pPr>
    </w:p>
    <w:p>
      <w:pPr>
        <w:pStyle w:val="Heading3"/>
      </w:pPr>
      <w:r>
        <w:t xml:space="preserve">Kafka UI (kafbat)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Interface web pour consulter les topics, messages et groupes de consommateurs.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Utile en local pour comprendre ce qui circule. Non déployée en ligne.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r>
    </w:tbl>
    <w:p>
      <w:pPr>
        <w:spacing w:after="120"/>
      </w:pPr>
    </w:p>
    <w:p>
      <w:pPr>
        <w:pStyle w:val="Heading3"/>
      </w:pPr>
      <w:r>
        <w:t xml:space="preserve">Mailpit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Faux serveur SMTP qui capture les e-mails et les affiche dans une interface web.</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Permet de tester les notifications sans envoyer de vrais e-mails. En ligne, le choix entre Mailpit et un vrai service d'envoi est tranché dans l'ADR-014.</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r>
    </w:tbl>
    <w:p>
      <w:pPr>
        <w:spacing w:after="120"/>
      </w:pPr>
    </w:p>
    <w:p>
      <w:pPr>
        <w:pStyle w:val="Heading1"/>
        <w:pageBreakBefore/>
      </w:pPr>
      <w:r>
        <w:t xml:space="preserve">10. Outils : tests et qualité</w:t>
      </w:r>
    </w:p>
    <w:p>
      <w:pPr>
        <w:pStyle w:val="Heading3"/>
      </w:pPr>
      <w:r>
        <w:t xml:space="preserve">JUnit Jupiter, AssertJ et Mockito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unitaires du domaine et des cas d'usage.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Standard Java. AssertJ rend les assertions lisibles ; Mockito simule les ports sortants pour tester un cas d'usage isolément.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@Test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void priority_is_P3_for_low_impact_and_high_urgency()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var priority = Priority.from(Impact.LOW, Urgency.HIGH);</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assertThat(priority).isEqualTo(Priority.P3);</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3"/>
      </w:pPr>
      <w:r>
        <w:t xml:space="preserve">Testcontainers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Démarre de vraies dépendances (Oracle, Kafka, Keycloak) dans des conteneurs pendant les tests d'intégration.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On teste contre un vrai Oracle et non une base en mémoire (H2) dont le comportement diffère : séquences, contraintes, PL/SQL et types de données sont vérifiés pour de vrai.</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@Testcontainers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@SpringBootTest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class TicketRepositoryIT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@Container @ServiceConnection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static OracleContainer oracle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new OracleContainer("gvenzl/oracle-free:slim-faststart");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3"/>
      </w:pPr>
      <w:r>
        <w:t xml:space="preserve">REST Assured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de l'API HTTP : codes de statut, format des réponses, sécurité par rôle.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Syntaxe lisible proche de la spécification. Chaque règle de visibilité de la matrice des droits devient un test.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given().auth().oauth2(tokenOf("sophie"))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.when().get("/api/v1/tickets/{id}", ticketOfKarim)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.then().statusCode(404)          // on ne révèle pas l'existence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.body("code", equalTo("TICKET_NOT_FOUND"));</w:t>
      </w:r>
    </w:p>
    <w:p>
      <w:pPr>
        <w:spacing w:after="120"/>
      </w:pPr>
    </w:p>
    <w:p>
      <w:pPr>
        <w:pStyle w:val="Heading3"/>
      </w:pPr>
      <w:r>
        <w:t xml:space="preserve">ArchUnit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d'architecture sur les couches hexagonales.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Garantit automatiquement que le domaine ne dépend ni de Spring ni de JPA.</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noClasses().that().resideInAPackage("..domain..")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.should().dependOnClassesThat()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.resideInAnyPackage("org.springframework..", "jakarta.persistence..")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.check(classes);</w:t>
      </w:r>
    </w:p>
    <w:p>
      <w:pPr>
        <w:spacing w:after="120"/>
      </w:pPr>
    </w:p>
    <w:p>
      <w:pPr>
        <w:pStyle w:val="Heading3"/>
      </w:pPr>
      <w:r>
        <w:t xml:space="preserve">Vitest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unitaires des composants et services Angular.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Lanceur de tests par défaut des versions récentes d'Angular ; rapide et moderne. Karma, cité dans la proposition initiale, est déprécié.</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pStyle w:val="Heading3"/>
      </w:pPr>
      <w:r>
        <w:t xml:space="preserve">Playwright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de bout en bout dans un vrai navigateur, sur les parcours du cahier fonctionnel.</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Fiable (attentes automatiques), multi-navigateur, et capable d'exécuter un audit d'accessibilité avec axe-core. Utilisé aussi pour les tests de fumée après chaque déploiement.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test('Sophie déclare un incident', async ({ page }) =&gt;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await loginAs(page, 'sophie');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await page.getByRole('button', { name: 'Nouveau ticket' }).click();</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await page.getByLabel('Titre').fill('PC ne démarre plus');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await expect(page.getByText(/INC-2026-\d{6}/)).toBeVisible();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3"/>
      </w:pPr>
      <w:r>
        <w:t xml:space="preserve">k6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de charge.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Scripts en JavaScript, seuils de performance déclarés dans le script : le test échoue si l'exigence ENF-01 n'est pas tenue.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export const options =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vus: 20, duration: '2m',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thresholds: { http_req_duration: ['p(95)&lt;300'] },</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3"/>
      </w:pPr>
      <w:r>
        <w:t xml:space="preserve">SonarQube Cloud et JaCoCo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Analyse de la qualité du code (bugs, mauvaises pratiques, duplication, couverture).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JaCoCo mesure la couverture des tests ; SonarQube Cloud l'agrège avec l'analyse statique et applique un contrôle qualité bloquant sur le nouveau code. Gratuit pour les dépôts publics.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pStyle w:val="Heading3"/>
      </w:pPr>
      <w:r>
        <w:t xml:space="preserve">Spotless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Formatage automatique du code Java.</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Supprime les débats de style en revue. Le pipeline échoue si le code n'est pas formaté.</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./mvnw spotless:apply   # formate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./mvnw spotless:check   # vérifie (pipeline)</w:t>
      </w:r>
    </w:p>
    <w:p>
      <w:pPr>
        <w:spacing w:after="120"/>
      </w:pPr>
    </w:p>
    <w:p>
      <w:pPr>
        <w:pStyle w:val="Heading1"/>
        <w:pageBreakBefore/>
      </w:pPr>
      <w:r>
        <w:t xml:space="preserve">11. Outils : sécurité et chaîne d'approvisionnement</w:t>
      </w:r>
    </w:p>
    <w:p>
      <w:pPr>
        <w:pStyle w:val="Heading3"/>
      </w:pPr>
      <w:r>
        <w:t xml:space="preserve">Gitleaks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Détection de secrets (mots de passe, clés) dans le code et l'historique Git.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secret poussé sur un dépôt public est compromis en quelques minutes. Gitleaks bloque le pipeline et peut s'exécuter avant chaque commit.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gitleaks git --verbose        # analyse tout l'historique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gitleaks dir . --redact        # analyse les fichiers courants</w:t>
      </w:r>
    </w:p>
    <w:p>
      <w:pPr>
        <w:spacing w:after="120"/>
      </w:pPr>
    </w:p>
    <w:p>
      <w:pPr>
        <w:pStyle w:val="Heading3"/>
      </w:pPr>
      <w:r>
        <w:t xml:space="preserve">Dependabot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Mise à jour automatique des dépendances et des images de base par Pull Request.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Intégré à GitHub, sans installation. Chaque mise à jour passe par le pipeline complet : on sait immédiatement si elle casse quelque chose.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Renovate : plus configurable, utile sur de grands projets ; Dependabot suffit ici.</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pStyle w:val="Heading3"/>
      </w:pPr>
      <w:r>
        <w:t xml:space="preserve">Trivy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Recherche de vulnérabilités dans les images Docker, les dépendances et les fichiers d'infrastructure.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seul outil pour les images, Terraform et Kubernetes. Le pipeline échoue en cas de vulnérabilité critique corrigeable.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trivy image --severity CRITICAL,HIGH --ignore-unfixed \</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--exit-code 1 ghcr.io/&lt;compte&gt;/itsm-backend:sha-3f2a1c9</w:t>
      </w:r>
    </w:p>
    <w:p>
      <w:pPr>
        <w:spacing w:after="120"/>
      </w:pPr>
    </w:p>
    <w:p>
      <w:pPr>
        <w:pStyle w:val="Heading3"/>
      </w:pPr>
      <w:r>
        <w:t xml:space="preserve">CodeQL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Analyse statique de sécurité (SAST) du code Java et TypeScript.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Détecte les injections, les failles de désérialisation ou les fuites de données. Gratuit pour les dépôts publics et intégré à GitHub.</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pStyle w:val="Heading3"/>
      </w:pPr>
      <w:r>
        <w:t xml:space="preserve">OWASP ZAP (analyse de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 de sécurité dynamique (DAST) de l'application en fonctionnement.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Vérifie ce que voit un attaquant : en-têtes de sécurité, cookies, fuites d'informations. Exécuté contre l'environnement en ligne après déploiement.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I7</w:t>
            </w:r>
          </w:p>
        </w:tc>
      </w:tr>
    </w:tbl>
    <w:p>
      <w:pPr>
        <w:spacing w:after="120"/>
      </w:pPr>
    </w:p>
    <w:p>
      <w:pPr>
        <w:pStyle w:val="Heading1"/>
        <w:pageBreakBefore/>
      </w:pPr>
      <w:r>
        <w:t xml:space="preserve">12. Outils : conteneurs, CI/CD et infrastructure</w:t>
      </w:r>
    </w:p>
    <w:p>
      <w:pPr>
        <w:pStyle w:val="Heading3"/>
      </w:pPr>
      <w:r>
        <w:t xml:space="preserve">Docker et Docker Compose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Construction des images et orchestration locale ; orchestration en ligne jusqu'à I5.</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Même image du poste de développement à la production. Compose suffit tant que l'architecture n'est pas stabilisée ; Kubernetes arrive ensuite, sans changer les images.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Dockerfile backend (multi-étapes, utilisateur non root)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FROM eclipse-temurin:25-jdk AS build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WORKDIR /src</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COPY .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RUN ./mvnw -q -DskipTests package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FROM eclipse-temurin:25-jre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RUN useradd --system app</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USER app</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COPY --from=build /src/target/itsm-backend.jar /app/app.jar</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ENTRYPOINT ["java", "-XX:MaxRAMPercentage=70", "-jar", "/app/app.jar"]</w:t>
      </w:r>
    </w:p>
    <w:p>
      <w:pPr>
        <w:spacing w:after="120"/>
      </w:pPr>
    </w:p>
    <w:p>
      <w:pPr>
        <w:pStyle w:val="Heading3"/>
      </w:pPr>
      <w:r>
        <w:t xml:space="preserve">Docker Buildx (images multi-architecture)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Construit une même image pour amd64 (poste, CI) et arm64 (VM Ampere).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 VM gratuite est en architecture ARM. Une image amd64 seule ne démarrerait pas. Les deux variantes sont publiées sous un même nom.</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docker buildx build --platform linux/amd64,linux/arm64 \</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 ghcr.io/&lt;compte&gt;/itsm-backend:sha-3f2a1c9 --push backend/</w:t>
      </w:r>
    </w:p>
    <w:p>
      <w:pPr>
        <w:spacing w:after="120"/>
      </w:pPr>
    </w:p>
    <w:p>
      <w:pPr>
        <w:pStyle w:val="Heading3"/>
      </w:pPr>
      <w:r>
        <w:t xml:space="preserve">GitHub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Pipeline d'intégration et de déploiement continus.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Intégré au dépôt, gratuit pour les dépôts publics, très répandu. Les workflows sont des fichiers YAML versionnés.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Jenkins : très présent en entreprise mais nécessite un serveur à héberger et maintenir. GitLab CI : implique de quitter GitHub.</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.github/workflows/ci.yml (extrait)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on: { pull_request: {}, push: { branches: [main] }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jobs: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backend: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runs-on: ubuntu-latest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steps: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 uses: actions/checkout@v4</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 uses: actions/setup-java@v4</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with: { distribution: temurin, java-version: '25', cache: maven }</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 run: ./mvnw -B verify</w:t>
      </w:r>
    </w:p>
    <w:p>
      <w:pPr>
        <w:spacing w:after="120"/>
      </w:pPr>
    </w:p>
    <w:p>
      <w:pPr>
        <w:pStyle w:val="Heading3"/>
      </w:pPr>
      <w:r>
        <w:t xml:space="preserve">GitHub Container Registry (GHCR)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Registre des images Docker.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Intégré à GitHub, authentification par le jeton du pipeline, gratuit pour les images publiques. Chaque image est étiquetée avec le hash du commit : on sait exactement quel code tourne en ligne.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pStyle w:val="Heading3"/>
      </w:pPr>
      <w:r>
        <w:t xml:space="preserve">Caddy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Reverse proxy en ligne et obtention automatique des certificats HTTPS.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HTTPS automatique avec Let's Encrypt en trois lignes de configuration, très faible consommation mémoire. Remplacé par l'Ingress de k3s en I6.</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Nginx avec Certbot : plus de configuration et de renouvellement à gérer.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itsm-nordal.duckdns.org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encode gzip</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handle /api/* { reverse_proxy backend:8080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handle /auth/* { reverse_proxy keycloak:8080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handle { reverse_proxy frontend:80 }</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3"/>
      </w:pPr>
      <w:r>
        <w:t xml:space="preserve">k3s (en ligne) et kind (en local)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Kubernetes à partir de l'incrément I6.</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k3s est une distribution Kubernetes certifiée et légère, adaptée à une VM de 12 Go et utilisée en production réelle. En local, kind crée un cluster jetable dans Docker pour s'entraîner sans risque.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Alternatives écartées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Minikube : pensé pour le poste de travail uniquement. OKE (Kubernetes géré par Oracle) : intéressant mais masque une partie de ce qu'on veut apprendre.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I6</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kind create cluster --name itsm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kubectl get pods -n itsm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kubectl describe pod backend-7c9d8 -n itsm</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kubectl logs deploy/backend -n itsm --since=10m</w:t>
      </w:r>
    </w:p>
    <w:p>
      <w:pPr>
        <w:spacing w:after="120"/>
      </w:pPr>
    </w:p>
    <w:p>
      <w:pPr>
        <w:pStyle w:val="Heading3"/>
      </w:pPr>
      <w:r>
        <w:t xml:space="preserve">Helm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Paquetage et paramétrage du déploiement Kubernetes.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seul chart paramétré par fichier de valeurs pour le local et l'en ligne ; retour arrière en une commande.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I6</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helm upgrade --install itsm ./deploy/helm/itsm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-n itsm -f deploy/helm/values-online.yaml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--set backend.image.tag=sha-3f2a1c9 --atomic</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helm rollback itsm 1 -n itsm</w:t>
      </w:r>
    </w:p>
    <w:p>
      <w:pPr>
        <w:spacing w:after="120"/>
      </w:pPr>
    </w:p>
    <w:p>
      <w:pPr>
        <w:pStyle w:val="Heading3"/>
      </w:pPr>
      <w:r>
        <w:t xml:space="preserve">Terraform (fournisseur OCI)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Description en code de l'infrastructure Oracle Cloud : réseau, VM, règles de pare-feu, base, stockage.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Si les conditions gratuites changent ou si le compte doit être recréé, l'infrastructure se reconstruit en une commande. Tout changement d'infrastructure passe par une Pull Request.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I6</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terraform init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terraform plan -out plan.tfplan</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terraform apply plan.tfplan</w:t>
      </w:r>
    </w:p>
    <w:p>
      <w:pPr>
        <w:spacing w:after="120"/>
      </w:pPr>
    </w:p>
    <w:p>
      <w:pPr>
        <w:pStyle w:val="Heading1"/>
        <w:pageBreakBefore/>
      </w:pPr>
      <w:r>
        <w:t xml:space="preserve">13. Outils : observabilité</w:t>
      </w:r>
    </w:p>
    <w:p>
      <w:pPr>
        <w:pStyle w:val="Heading3"/>
      </w:pPr>
      <w:r>
        <w:t xml:space="preserve">Spring Boot Actuator et Micrometer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Points de santé (liveness, readiness), métriques applicatives et métier.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Intégrés à Spring Boot. Micrometer est une façade neutre : on instrumente une fois, on exporte vers n'importe quel système.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Métrique métier : tickets créés par priorité</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meterRegistry.counter("itsm.tickets.created",</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"priority", ticket.priority().name()).increment();</w:t>
      </w:r>
    </w:p>
    <w:p>
      <w:pPr>
        <w:spacing w:after="120"/>
      </w:pPr>
    </w:p>
    <w:p>
      <w:pPr>
        <w:pStyle w:val="Heading3"/>
      </w:pPr>
      <w:r>
        <w:t xml:space="preserve">OpenTelemetry et son collecteur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Production et acheminement des traces, métriques et logs.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Standard ouvert et indépendant des fournisseurs. Le collecteur découple l'application de la destination : en local vers la pile Grafana, en ligne vers Grafana Cloud, sans modifier le code.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 (logs corrélés), I5 (complet)</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otel-collector.yaml (extrait)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receivers: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otlp: { protocols: { grpc: {}, http: {} }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processors: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batch: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memory_limiter: { check_interval: 1s, limit_mib: 200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exporters: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otlphttp: { endpoint: ${GRAFANA_OTLP_ENDPOINT}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service: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pipelines: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traces: { receivers: [otlp], processors: [memory_limiter, batch],</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exporters: [otlphttp] }</w:t>
      </w:r>
    </w:p>
    <w:p>
      <w:pPr>
        <w:spacing w:after="120"/>
      </w:pPr>
    </w:p>
    <w:p>
      <w:pPr>
        <w:pStyle w:val="Heading3"/>
      </w:pPr>
      <w:r>
        <w:t xml:space="preserve">Prometheus, Loki, Tempo et Grafana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Stockage des métriques (Prometheus), des logs (Loki), des traces (Tempo) et visualisation (Grafana).</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Pile open source cohérente et très demandée. Grafana relie les trois : depuis un pic d'erreurs sur un graphique, on ouvre les logs correspondants puis la trace de la requête fautive. En local, on commence par l'image tout-en-un grafana/otel-lgtm, puis on sépare les composants en I5 pour apprendre à les configurer.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I5</w:t>
            </w:r>
          </w:p>
        </w:tc>
      </w:tr>
    </w:tbl>
    <w:p>
      <w:pPr>
        <w:spacing w:after="120"/>
      </w:pPr>
    </w:p>
    <w:p>
      <w:pPr>
        <w:spacing w:after="120"/>
        <w:jc w:val="both"/>
      </w:pPr>
      <w:r>
        <w:rPr>
          <w:i/>
          <w:iCs/>
        </w:rPr>
        <w:t xml:space="preserve">Exemple d'utilisation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Requête Prometheus : taux d'erreurs 5xx sur 5 minutes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sum(rate(http_server_requests_seconds_count{status=~"5.."}[5m]))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 sum(rate(http_server_requests_seconds_count[5m]))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Requête Loki : erreurs du backend liées à une trace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{service_name="itsm-backend"} | json | level="ERROR" | trace_id="4bf92f..."</w:t>
      </w:r>
    </w:p>
    <w:p>
      <w:pPr>
        <w:spacing w:after="120"/>
      </w:pPr>
    </w:p>
    <w:p>
      <w:pPr>
        <w:pStyle w:val="Heading3"/>
      </w:pPr>
      <w:r>
        <w:t xml:space="preserve">Grafana Cloud (offre gratuite)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Rôle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Destination de la télémétrie de l'environnement en ligne.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Pourquoi ce choix</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Évite de consommer environ 2 Go de la VM pour l'observabilité. Les compétences (PromQL, LogQL, tableaux de bord, alertes) sont exactement les mêmes qu'avec la pile auto-hébergée.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Introduit en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I5</w:t>
            </w:r>
          </w:p>
        </w:tc>
      </w:tr>
    </w:tbl>
    <w:p>
      <w:pPr>
        <w:spacing w:after="120"/>
      </w:pPr>
    </w:p>
    <w:p>
      <w:pPr>
        <w:pStyle w:val="Heading1"/>
        <w:pageBreakBefore/>
      </w:pPr>
      <w:r>
        <w:t xml:space="preserve">14. Conventions</w:t>
      </w:r>
    </w:p>
    <w:p>
      <w:pPr>
        <w:pStyle w:val="Heading2"/>
      </w:pPr>
      <w:r>
        <w:t xml:space="preserve">14.1 Structure du dépôt</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itsm/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backend/                 application Spring Boot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src/main/java/.../ticket/{domain,application,adapter}/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src/main/java/.../sla/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src/main/resources/db/migration/   scripts Flyway</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frontend/                application Angular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e2e/                     tests Playwright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api/                     collections Bruno, contrat OpenAPI de référence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deploy/</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compose/               docker-compose.yml, profils, Caddyfile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helm/                  chart Kubernetes (I6)</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terraform/             infrastructure OCI (I6)</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observability/         configuration collecteur, tableaux de bord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docs/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01-cahier-des-charges-fonctionnel.docx</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02-cahier-des-charges-technique.docx</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adr/                   0001-monorepo.md, 0002-...</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runbooks/              une procédure par alerte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journal/               rétrospectives d'incrément</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.github/                 workflows, modèles d'issue et de PR, dependabot.yml</w:t>
      </w:r>
    </w:p>
    <w:p>
      <w:pPr>
        <w:spacing w:after="120"/>
      </w:pPr>
    </w:p>
    <w:p>
      <w:pPr>
        <w:pStyle w:val="Heading2"/>
      </w:pPr>
      <w:r>
        <w:t xml:space="preserve">14.2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Élément</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Convention</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Langue</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Code, API, noms de tables et messages de commit en anglais. Documentation en français.</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Paquetages Java</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fr.nordal.itsm.&lt;module&gt;.&lt;couche&gt;</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Tables Oracle</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Majuscules au singulier : TICKET, TICKET_COMMENT. Contraintes nommées : PK_, FK_, UK_, CK_, IX_</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Formatage</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Automatique (Spotless, Prettier). Aucun débat de style en revue.</w:t>
            </w:r>
          </w:p>
        </w:tc>
      </w:tr>
    </w:tbl>
    <w:p>
      <w:pPr>
        <w:spacing w:after="120"/>
      </w:pPr>
    </w:p>
    <w:p>
      <w:pPr>
        <w:pStyle w:val="Heading2"/>
      </w:pPr>
      <w:r>
        <w:t xml:space="preserve">14.3 API 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Sujet</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Convention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Versionnement</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Préfixe /api/v1. Une évolution incompatible crée /api/v2.</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Ressources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Noms au pluriel : /tickets, /tickets/{id}/comments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Actions métier</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Les transitions sont des ressources explicites plutôt qu'un PATCH générique du statut : POST /tickets/{id}/resolution, POST /tickets/{id}/assignment. Chaque action a ses propres règles et sa propre validation.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Suppression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 DELETE sur les tickets (règle RG-10) : l'annulation est POST /tickets/{id}/cancellation.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Pagination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Paramètres page et size (100 au maximum) ; réponse avec content, page, size, totalElements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Filtres et tri</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Paramètres nommés : status=NEW,ASSIGNED ; sort=slaDueAt,asc</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Dates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ISO 8601 en UTC : 2026-09-24T07:10:00Z. La conversion en heure de Paris se fait à l'affichage.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Idempotence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En-tête Idempotency-Key accepté sur les POST de création : une requête rejouée ne crée pas de doublon.</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Concurrence</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En-tête ETag en réponse, If-Match exigé sur les modifications ; conflit : 412</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Corrélation</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En-tête X-Correlation-Id propagé ; le traceId OpenTelemetry figure dans chaque réponse d'erreur.</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Erreurs</w:t>
            </w:r>
          </w:p>
        </w:tc>
        <w:tc>
          <w:tcPr>
            <w:tcW w:type="dxa" w:w="77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Format unique (Problem Details, RFC 9457) complété d'un code métier stable.</w:t>
            </w:r>
          </w:p>
        </w:tc>
      </w:tr>
    </w:tbl>
    <w:p>
      <w:pPr>
        <w:spacing w:after="120"/>
      </w:pPr>
    </w:p>
    <w:p>
      <w:pPr>
        <w:spacing w:after="120"/>
        <w:jc w:val="both"/>
      </w:pPr>
      <w:r>
        <w:rPr>
          <w:i/>
          <w:iCs/>
        </w:rPr>
        <w:t xml:space="preserve">Exemple de réponse d'erreur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HTTP/1.1 409 Conflict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Content-Type: application/problem+json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"type": "https://itsm-nordal.duckdns.org/errors/invalid-status-transition",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"title": "Invalid status transition",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"status": 409,</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"code": "INVALID_STATUS_TRANSITION",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"detail": "A ticket in status NEW cannot be resolved",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"instance": "/api/v1/tickets/42/resolution",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"traceId": "4bf92f3577b34da6a3ce929d0e0e4736"</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w:t>
      </w:r>
    </w:p>
    <w:p>
      <w:pPr>
        <w:spacing w:after="120"/>
      </w:pPr>
    </w:p>
    <w:p>
      <w:pPr>
        <w:pStyle w:val="Heading2"/>
      </w:pPr>
      <w:r>
        <w:t xml:space="preserve">14.4 Git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Sujet</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Convention</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Branches</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main protégée ; branches courtes feat/, fix/, chore/, docs/</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Commits</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Conventional Commits : feat(ticket): ..., fix(sla): ..., docs(adr): ...</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Fusion</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Squash merge : un commit propre par Pull Request</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Versions</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Étiquettes SemVer à chaque fin d'incrément : v0.1.0 pour I1, v0.2.0 pour I2...</w:t>
            </w:r>
          </w:p>
        </w:tc>
      </w:tr>
    </w:tbl>
    <w:p>
      <w:pPr>
        <w:spacing w:after="120"/>
      </w:pPr>
    </w:p>
    <w:p>
      <w:pPr>
        <w:pStyle w:val="Heading1"/>
        <w:pageBreakBefore/>
      </w:pPr>
      <w:r>
        <w:t xml:space="preserve">15. Pipeline CI/CD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77"/>
        <w:gridCol w:w="3452"/>
        <w:gridCol w:w="2301"/>
        <w:gridCol w:w="1008"/>
      </w:tblGrid>
      <w:tr>
        <w:trPr>
          <w:tblHeader/>
        </w:trP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Étape</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Outils</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Bloquante</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Depuis</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Compilation et formatage</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Maven, Spotless, npm, ESLint</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unitaires et d'architecture</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JUnit, ArchUnit, Spring Modulith, Vitest</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d'intégration</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Testcontainers, REST Assured</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Qualité</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JaCoCo, SonarQube Cloud</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 (contrôle qualité)</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Secrets</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Gitleaks</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Sécurité du code</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CodeQL</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 sur sévérité haute</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Contrat d'API</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Comparaison OpenAPI avec main</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 si changement incompatible</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Images</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Docker Buildx (amd64 et arm64)</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Scan des images</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Trivy</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 sur critique corrigeable</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Publication</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GHCR, étiquette sha-&lt;commit&gt;</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Déploiement</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SSH et Compose (I0 à I5), Helm (I6 et plus)</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Uniquement sur main</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Vérification</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de fumée Playwright, sonde de santé</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Oui : retour arrière automatique en cas d'échec</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Charge (hebdomadaire)</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k6</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 rapport</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r>
      <w:tr>
        <w:tc>
          <w:tcPr>
            <w:tcW w:type="dxa" w:w="287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Sécurité dynamique (hebdomadaire)</w:t>
            </w:r>
          </w:p>
        </w:tc>
        <w:tc>
          <w:tcPr>
            <w:tcW w:type="dxa" w:w="34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OWASP ZAP</w:t>
            </w:r>
          </w:p>
        </w:tc>
        <w:tc>
          <w:tcPr>
            <w:tcW w:type="dxa" w:w="23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Non, rapport</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I7</w:t>
            </w:r>
          </w:p>
        </w:tc>
      </w:tr>
    </w:tbl>
    <w:p>
      <w:pPr>
        <w:spacing w:after="120"/>
      </w:pPr>
    </w:p>
    <w:p>
      <w:pPr>
        <w:spacing w:after="120"/>
        <w:jc w:val="both"/>
      </w:pPr>
      <w:r>
        <w:rPr>
          <w:b/>
          <w:bCs/>
        </w:rPr>
        <w:t xml:space="preserve">Retour arrière</w:t>
      </w:r>
      <w:r>
        <w:t xml:space="preserve"> : la version précédente est connue par son étiquette d'image. Si les vérifications échouent après un déploiement, le pipeline redéploie l'étiquette précédente et signale l'échec.</w:t>
      </w:r>
    </w:p>
    <w:p>
      <w:pPr>
        <w:spacing w:after="120"/>
        <w:jc w:val="both"/>
      </w:pPr>
      <w:r>
        <w:rPr>
          <w:b/>
          <w:bCs/>
        </w:rPr>
        <w:t xml:space="preserve">Secrets</w:t>
      </w:r>
      <w:r>
        <w:t xml:space="preserve"> : ils sont stockés dans les secrets chiffrés de GitHub Actions et transmis à la VM au moment du déploiement dans un fichier </w:t>
      </w:r>
      <w:r>
        <w:rPr>
          <w:rFonts w:ascii="Courier New" w:cs="Courier New" w:eastAsia="Courier New" w:hAnsi="Courier New"/>
          <w:sz w:val="22"/>
          <w:szCs w:val="22"/>
        </w:rPr>
        <w:t xml:space="preserve">.env</w:t>
      </w:r>
      <w:r>
        <w:t xml:space="preserve"> lisible uniquement par l'utilisateur de déploiement. À partir de I6, ils deviennent des secrets Kubernetes créés par le pipeline.</w:t>
      </w:r>
    </w:p>
    <w:p>
      <w:pPr>
        <w:pStyle w:val="Heading1"/>
        <w:pageBreakBefore/>
      </w:pPr>
      <w:r>
        <w:t xml:space="preserve">16. Stratégie de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4130"/>
        <w:gridCol w:w="1654"/>
      </w:tblGrid>
      <w:tr>
        <w:trPr>
          <w:tblHeader/>
        </w:trP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Niveau</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Outils</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Ce qui est vérifié</w:t>
            </w:r>
          </w:p>
        </w:tc>
        <w:tc>
          <w:tcPr>
            <w:tcW w:type="dxa" w:w="1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Proportion visée</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Unitaire (domaine)</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JUnit, AssertJ</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Règles de gestion, matrice de priorité, machine à états, calcul SLA</w:t>
            </w:r>
          </w:p>
        </w:tc>
        <w:tc>
          <w:tcPr>
            <w:tcW w:type="dxa" w:w="1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 majorité</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Unitaire (application)</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JUnit, Mockito</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Orchestration des cas d'usage, autorisations métier</w:t>
            </w:r>
          </w:p>
        </w:tc>
        <w:tc>
          <w:tcPr>
            <w:tcW w:type="dxa" w:w="1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Nombreux</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Architecture</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ArchUnit, Spring Modulith</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Frontières entre modules et couches</w:t>
            </w:r>
          </w:p>
        </w:tc>
        <w:tc>
          <w:tcPr>
            <w:tcW w:type="dxa" w:w="1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Quelques tests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Intégration</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Testcontainers</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Persistance Oracle, migrations, outbox, Kafka</w:t>
            </w:r>
          </w:p>
        </w:tc>
        <w:tc>
          <w:tcPr>
            <w:tcW w:type="dxa" w:w="1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Ciblés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API</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REST Assured</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Contrat, codes HTTP, erreurs, droits par rôle</w:t>
            </w:r>
          </w:p>
        </w:tc>
        <w:tc>
          <w:tcPr>
            <w:tcW w:type="dxa" w:w="1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par règle de droit</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Frontend</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Vitest</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Composants, services, formulaires</w:t>
            </w:r>
          </w:p>
        </w:tc>
        <w:tc>
          <w:tcPr>
            <w:tcW w:type="dxa" w:w="1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Ciblés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Bout en bout</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Playwright, axe-core</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Parcours 1 à 4 du cahier fonctionnel, accessibilité</w:t>
            </w:r>
          </w:p>
        </w:tc>
        <w:tc>
          <w:tcPr>
            <w:tcW w:type="dxa" w:w="1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Peu, mais essentiels</w:t>
            </w:r>
          </w:p>
        </w:tc>
      </w:tr>
      <w:tr>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Charge</w:t>
            </w:r>
          </w:p>
        </w:tc>
        <w:tc>
          <w:tcPr>
            <w:tcW w:type="dxa" w:w="192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k6</w:t>
            </w:r>
          </w:p>
        </w:tc>
        <w:tc>
          <w:tcPr>
            <w:tcW w:type="dxa" w:w="413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ENF-01</w:t>
            </w:r>
          </w:p>
        </w:tc>
        <w:tc>
          <w:tcPr>
            <w:tcW w:type="dxa" w:w="16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scénario</w:t>
            </w:r>
          </w:p>
        </w:tc>
      </w:tr>
    </w:tbl>
    <w:p>
      <w:pPr>
        <w:spacing w:after="120"/>
      </w:pPr>
    </w:p>
    <w:p>
      <w:pPr>
        <w:spacing w:after="120"/>
        <w:jc w:val="both"/>
      </w:pPr>
      <w:r>
        <w:t xml:space="preserve">Règles : un bug corrigé est d'abord reproduit par un test ; aucun test ne dépend d'un autre ; les données de test sont créées par le test lui-même ; la couverture visée (80 %) porte sur les couches domaine et application, pas sur l'ensemble du code.</w:t>
      </w:r>
    </w:p>
    <w:p>
      <w:pPr>
        <w:pStyle w:val="Heading1"/>
        <w:pageBreakBefore/>
      </w:pPr>
      <w:r>
        <w:t xml:space="preserve">17.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Domaine</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Mesures</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Authentification</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OpenID Connect avec Keycloak, flux Authorization Code avec PKCE. Jetons d'accès courts (5 minutes). Le backend valide signature, émetteur, audience et expiration.</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Autorisation</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Rôles issus du jeton pour les droits généraux ; règles de visibilité (RG-12) vérifiées dans les cas d'usage, jamais seulement dans l'interface. Un ticket non visible renvoie 404 pour ne pas révéler son existence.</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Secrets</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Jamais dans Git. Variables d'environnement, secrets GitHub, puis secrets Kubernetes. Gitleaks bloquant. Rotation documentée dans un runbook.</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Transport</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HTTPS uniquement, HSTS, redirection de HTTP vers HTTPS.</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En-têtes</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Content-Security-Policy, X-Content-Type-Options, Referrer-Policy, protection contre l'intégration en iframe.</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Entrées</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Validation systématique ; requêtes SQL paramétrées uniquement ; pièces jointes contrôlées par type réel (et non par extension) et par taille.</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Base de données</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Deux comptes : ITSM_OWNER propriétaire du schéma (utilisé par Flyway), ITSM_APP avec les seuls droits nécessaires (utilisé par l'application).</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Chaîne d'approvisionnement</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Dependabot, Trivy, CodeQL ; images de base officielles ; conteneurs exécutés sans droits root.</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Protection de l'API</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Limitation de débit par utilisateur (I7) ; taille maximale des requêtes.</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Journalisation</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 jeton, mot de passe ni contenu de ticket dans les logs ; seul l'identifiant de l'utilisateur apparaît.</w:t>
            </w:r>
          </w:p>
        </w:tc>
      </w:tr>
      <w:tr>
        <w:tc>
          <w:tcPr>
            <w:tcW w:type="dxa" w:w="19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Référentiel</w:t>
            </w:r>
          </w:p>
        </w:tc>
        <w:tc>
          <w:tcPr>
            <w:tcW w:type="dxa" w:w="7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OWASP ASVS niveau 1, vérifié par une checklist à chaque incrément.</w:t>
            </w:r>
          </w:p>
        </w:tc>
      </w:tr>
    </w:tbl>
    <w:p>
      <w:pPr>
        <w:spacing w:after="120"/>
      </w:pPr>
    </w:p>
    <w:p>
      <w:pPr>
        <w:pStyle w:val="Heading1"/>
        <w:pageBreakBefore/>
      </w:pPr>
      <w:r>
        <w:t xml:space="preserve">18. Observabilité et exploitation</w:t>
      </w:r>
    </w:p>
    <w:p>
      <w:pPr>
        <w:pStyle w:val="Heading2"/>
      </w:pPr>
      <w:r>
        <w:t xml:space="preserve">18.1 Logs</w:t>
      </w:r>
    </w:p>
    <w:p>
      <w:pPr>
        <w:spacing w:after="120"/>
        <w:jc w:val="both"/>
      </w:pPr>
      <w:r>
        <w:t xml:space="preserve">Les logs sont écrits en JSON sur la sortie standard, avec des champs stables permettant de filtrer et de corréler.</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{"timestamp":"2026-09-24T07:10:03.512Z","level":"ERROR",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"service":"itsm-backend","traceId":"4bf92f3577b34da6a3ce929d0e0e4736",</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"spanId":"00f067aa0ba902b7","userId":"b7c1...","module":"ticket",</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"message":"Failed to persist ticket","error":"ORA-00001: unique constraint violated"}</w:t>
      </w:r>
    </w:p>
    <w:p>
      <w:pPr>
        <w:spacing w:after="120"/>
      </w:pPr>
    </w:p>
    <w:p>
      <w:pPr>
        <w:pStyle w:val="Heading2"/>
      </w:pPr>
      <w:r>
        <w:t xml:space="preserve">18.2 Métriques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Type</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Exemples</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Techniques (RED)</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Débit, taux d'erreurs et durée des requêtes HTTP ; pool de connexions ; mémoire de la JVM</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Métier</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Tickets créés par priorité ; tickets à risque ; tickets en dépassement ; durée de résolution</w:t>
            </w:r>
          </w:p>
        </w:tc>
      </w:tr>
      <w:tr>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Messagerie</w:t>
            </w:r>
          </w:p>
        </w:tc>
        <w:tc>
          <w:tcPr>
            <w:tcW w:type="dxa" w:w="48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Retard des consommateurs Kafka ; taille de l'outbox en attente ; messages en dead-letter</w:t>
            </w:r>
          </w:p>
        </w:tc>
      </w:tr>
    </w:tbl>
    <w:p>
      <w:pPr>
        <w:spacing w:after="120"/>
      </w:pPr>
    </w:p>
    <w:p>
      <w:pPr>
        <w:pStyle w:val="Heading2"/>
      </w:pPr>
      <w:r>
        <w:t xml:space="preserve">18.3 Indicateurs de niveau de service (SLI et SLO)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2753"/>
        <w:gridCol w:w="4591"/>
      </w:tblGrid>
      <w:tr>
        <w:trPr>
          <w:tblHeader/>
        </w:trP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SLI</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SLO</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Mesure</w:t>
            </w:r>
          </w:p>
        </w:tc>
      </w:tr>
      <w:t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Disponibilité de l'API</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99 % sur 30 jours</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Requêtes non 5xx divisées par le total des requêtes</w:t>
            </w:r>
          </w:p>
        </w:tc>
      </w:tr>
      <w:t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Latence des lectures</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95 % des requêtes en moins de 300 ms</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Histogramme des durées HTTP</w:t>
            </w:r>
          </w:p>
        </w:tc>
      </w:tr>
      <w:tr>
        <w:tc>
          <w:tcPr>
            <w:tcW w:type="dxa" w:w="229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Fraîcheur des notifications</w:t>
            </w:r>
          </w:p>
        </w:tc>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99 % envoyées en moins de 2 minutes</w:t>
            </w:r>
          </w:p>
        </w:tc>
        <w:tc>
          <w:tcPr>
            <w:tcW w:type="dxa" w:w="459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Écart entre création de l'événement et envoi</w:t>
            </w:r>
          </w:p>
        </w:tc>
      </w:tr>
    </w:tbl>
    <w:p>
      <w:pPr>
        <w:spacing w:after="120"/>
      </w:pPr>
    </w:p>
    <w:p>
      <w:pPr>
        <w:pStyle w:val="Heading2"/>
      </w:pPr>
      <w:r>
        <w:t xml:space="preserve">18.4 Alertes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5"/>
        <w:gridCol w:w="5354"/>
        <w:gridCol w:w="1429"/>
      </w:tblGrid>
      <w:tr>
        <w:trPr>
          <w:tblHeader/>
        </w:trP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Alerte</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Condition</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Runbook</w:t>
            </w:r>
          </w:p>
        </w:tc>
      </w:tr>
      <w:t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Taux d'erreurs élevé</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Plus de 5 % de 5xx pendant 5 minutes</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RB-01</w:t>
            </w:r>
          </w:p>
        </w:tc>
      </w:tr>
      <w:t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Base indisponible</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Sonde readiness en échec</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RB-02</w:t>
            </w:r>
          </w:p>
        </w:tc>
      </w:tr>
      <w:t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Retard de consommation</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Retard Kafka croissant pendant 10 minutes</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RB-03</w:t>
            </w:r>
          </w:p>
        </w:tc>
      </w:tr>
      <w:t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Outbox bloquée</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Événements non publiés depuis plus de 5 minutes</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RB-04</w:t>
            </w:r>
          </w:p>
        </w:tc>
      </w:tr>
      <w:t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Mémoire</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Tas JVM au-dessus de 90 % pendant 10 minutes</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RB-05</w:t>
            </w:r>
          </w:p>
        </w:tc>
      </w:tr>
      <w:tr>
        <w:tc>
          <w:tcPr>
            <w:tcW w:type="dxa" w:w="285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Budget d'erreur</w:t>
            </w:r>
          </w:p>
        </w:tc>
        <w:tc>
          <w:tcPr>
            <w:tcW w:type="dxa" w:w="53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Consommation rapide du budget du SLO de disponibilité</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RB-06</w:t>
            </w:r>
          </w:p>
        </w:tc>
      </w:tr>
    </w:tbl>
    <w:p>
      <w:pPr>
        <w:spacing w:after="120"/>
      </w:pPr>
    </w:p>
    <w:p>
      <w:pPr>
        <w:spacing w:after="120"/>
        <w:jc w:val="both"/>
      </w:pPr>
      <w:r>
        <w:t xml:space="preserve">Chaque runbook décrit : les symptômes, l'impact pour les utilisateurs, les vérifications à faire dans l'ordre, les actions correctives et la façon de confirmer le retour à la normale.</w:t>
      </w:r>
    </w:p>
    <w:p>
      <w:pPr>
        <w:pStyle w:val="Heading2"/>
      </w:pPr>
      <w:r>
        <w:t xml:space="preserve">18.5 Simulations d'incidents (I8)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3614"/>
        <w:gridCol w:w="3916"/>
      </w:tblGrid>
      <w:tr>
        <w:trPr>
          <w:tblHeader/>
        </w:trPr>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Scénario</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Comment le provoquer</w:t>
            </w:r>
          </w:p>
        </w:tc>
        <w:tc>
          <w:tcPr>
            <w:tcW w:type="dxa" w:w="3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Ce qu'on doit observer</w:t>
            </w:r>
          </w:p>
        </w:tc>
      </w:tr>
      <w:tr>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Base indisponible</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Arrêter la connexion à la base ou saturer le pool</w:t>
            </w:r>
          </w:p>
        </w:tc>
        <w:tc>
          <w:tcPr>
            <w:tcW w:type="dxa" w:w="3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Erreurs 5xx, trace en échec, alerte RB-02</w:t>
            </w:r>
          </w:p>
        </w:tc>
      </w:tr>
      <w:tr>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Consommateur arrêté</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Arrêter le module de notification</w:t>
            </w:r>
          </w:p>
        </w:tc>
        <w:tc>
          <w:tcPr>
            <w:tcW w:type="dxa" w:w="3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Retard Kafka croissant, alerte RB-03, rattrapage au redémarrage</w:t>
            </w:r>
          </w:p>
        </w:tc>
      </w:tr>
      <w:tr>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Requête lente</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Supprimer un index en local</w:t>
            </w:r>
          </w:p>
        </w:tc>
        <w:tc>
          <w:tcPr>
            <w:tcW w:type="dxa" w:w="3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Latence dégradée, plan d'exécution modifié</w:t>
            </w:r>
          </w:p>
        </w:tc>
      </w:tr>
      <w:tr>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Fuite mémoire</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Activer un défaut volontaire derrière un paramètre</w:t>
            </w:r>
          </w:p>
        </w:tc>
        <w:tc>
          <w:tcPr>
            <w:tcW w:type="dxa" w:w="3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Croissance du tas, alerte RB-05</w:t>
            </w:r>
          </w:p>
        </w:tc>
      </w:tr>
      <w:tr>
        <w:tc>
          <w:tcPr>
            <w:tcW w:type="dxa" w:w="210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Déploiement défectueux</w:t>
            </w:r>
          </w:p>
        </w:tc>
        <w:tc>
          <w:tcPr>
            <w:tcW w:type="dxa" w:w="36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Livrer une version qui échoue à la sonde</w:t>
            </w:r>
          </w:p>
        </w:tc>
        <w:tc>
          <w:tcPr>
            <w:tcW w:type="dxa" w:w="39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Retour arrière automatique</w:t>
            </w:r>
          </w:p>
        </w:tc>
      </w:tr>
    </w:tbl>
    <w:p>
      <w:pPr>
        <w:spacing w:after="120"/>
      </w:pPr>
    </w:p>
    <w:p>
      <w:pPr>
        <w:pStyle w:val="Heading1"/>
        <w:pageBreakBefore/>
      </w:pPr>
      <w:r>
        <w:t xml:space="preserve">19. Stratégie Oracle</w:t>
      </w:r>
    </w:p>
    <w:p>
      <w:pPr>
        <w:spacing w:after="120"/>
        <w:jc w:val="both"/>
      </w:pPr>
      <w:r>
        <w:t xml:space="preserve">La base n'est pas un simple lieu de stockage. Pour chaque règle, on se demande où elle doit vivre. Le principe général : </w:t>
      </w:r>
      <w:r>
        <w:rPr>
          <w:b/>
          <w:bCs/>
        </w:rPr>
        <w:t xml:space="preserve">les règles métier évolutives vivent dans le domaine Java</w:t>
      </w:r>
      <w:r>
        <w:t xml:space="preserve">, testables sans base ; </w:t>
      </w:r>
      <w:r>
        <w:rPr>
          <w:b/>
          <w:bCs/>
        </w:rPr>
        <w:t xml:space="preserve">l'intégrité des données et les traitements ensemblistes vivent dans Oracle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202"/>
        <w:gridCol w:w="4683"/>
      </w:tblGrid>
      <w:tr>
        <w:trPr>
          <w:tblHeader/>
        </w:trP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Besoin</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Emplacement</w:t>
            </w:r>
          </w:p>
        </w:tc>
        <w:tc>
          <w:tcPr>
            <w:tcW w:type="dxa" w:w="46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Justification</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Unicité, clés étrangères, valeurs autorisées</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Oracle (contraintes)</w:t>
            </w:r>
          </w:p>
        </w:tc>
        <w:tc>
          <w:tcPr>
            <w:tcW w:type="dxa" w:w="46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Dernier rempart : aucune application, script ou outil ne peut corrompre les données.</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Numéro de référence du ticket</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Oracle (séquence)</w:t>
            </w:r>
          </w:p>
        </w:tc>
        <w:tc>
          <w:tcPr>
            <w:tcW w:type="dxa" w:w="46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Unicité garantie même en cas d'exécution concurrente.</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Transitions de statut, calcul de priorité</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Java (domaine)</w:t>
            </w:r>
          </w:p>
        </w:tc>
        <w:tc>
          <w:tcPr>
            <w:tcW w:type="dxa" w:w="46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Règles métier qui évoluent, doivent être testées unitairement et expliquées à l'utilisateur.</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Calcul des échéances SLA</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Java (domaine)</w:t>
            </w:r>
          </w:p>
        </w:tc>
        <w:tc>
          <w:tcPr>
            <w:tcW w:type="dxa" w:w="46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Logique de calendrier complexe, plus lisible et testable en Java.</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Indicateurs du tableau de bord</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Oracle (vues, éventuellement vues matérialisées)</w:t>
            </w:r>
          </w:p>
        </w:tc>
        <w:tc>
          <w:tcPr>
            <w:tcW w:type="dxa" w:w="46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Agrégations sur de gros volumes : la base le fait mieux et plus vite.</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Anonymisation après 3 ans</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Oracle (package PL/SQL et DBMS_SCHEDULER)</w:t>
            </w:r>
          </w:p>
        </w:tc>
        <w:tc>
          <w:tcPr>
            <w:tcW w:type="dxa" w:w="46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Traitement ensembliste, indépendant de l'application, exécuté même si elle est arrêtée.</w:t>
            </w:r>
          </w:p>
        </w:tc>
      </w:tr>
      <w:tr>
        <w:tc>
          <w:tcPr>
            <w:tcW w:type="dxa" w:w="27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Historique d'audit</w:t>
            </w:r>
          </w:p>
        </w:tc>
        <w:tc>
          <w:tcPr>
            <w:tcW w:type="dxa" w:w="220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À trancher (ADR-010)</w:t>
            </w:r>
          </w:p>
        </w:tc>
        <w:tc>
          <w:tcPr>
            <w:tcW w:type="dxa" w:w="468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Trigger : exhaustif mais invisible. Application : explicite et testable, mais contournable.</w:t>
            </w:r>
          </w:p>
        </w:tc>
      </w:tr>
    </w:tbl>
    <w:p>
      <w:pPr>
        <w:spacing w:after="120"/>
      </w:pPr>
    </w:p>
    <w:p>
      <w:pPr>
        <w:spacing w:after="120"/>
        <w:jc w:val="both"/>
      </w:pPr>
      <w:r>
        <w:rPr>
          <w:i/>
          <w:iCs/>
        </w:rPr>
        <w:t xml:space="preserve">Exemple : vue alimentant le tableau de bord.</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CREATE OR REPLACE VIEW V_SLA_COMPLIANCE AS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SELECT t.ASSIGNED_GROUP_ID,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t.PRIORITY,</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TRUNC(t.RESOLVED_AT, 'MM')                           AS MONTH,</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COUNT(*)                                             AS RESOLVED_COUNT,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SUM(CASE WHEN t.RESOLVED_AT &lt;= t.RESOLUTION_DUE_AT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THEN 1 ELSE 0 END)                          AS ON_TIME_COUNT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FROM TICKET t</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WHERE t.RESOLVED_AT IS NOT NULL</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GROUP BY t.ASSIGNED_GROUP_ID, t.PRIORITY, TRUNC(t.RESOLVED_AT, 'MM');</w:t>
      </w:r>
    </w:p>
    <w:p>
      <w:pPr>
        <w:spacing w:after="120"/>
      </w:pPr>
    </w:p>
    <w:p>
      <w:pPr>
        <w:spacing w:after="120"/>
        <w:jc w:val="both"/>
      </w:pPr>
      <w:r>
        <w:rPr>
          <w:b/>
          <w:bCs/>
        </w:rPr>
        <w:t xml:space="preserve">Écart entre environnements</w:t>
      </w:r>
      <w:r>
        <w:t xml:space="preserve"> : l'environnement en ligne utilise Autonomous Database alors que le local et la CI utilisent Oracle Database Free. Les différences (connexion par wallet, certaines opérations d'administration interdites) sont recensées dans l'ADR-004, et les tests de fumée après déploiement vérifient que les migrations passent aussi sur Autonomous Database.</w:t>
      </w:r>
    </w:p>
    <w:p>
      <w:pPr>
        <w:pStyle w:val="Heading1"/>
        <w:pageBreakBefore/>
      </w:pPr>
      <w:r>
        <w:t xml:space="preserve">20.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1700"/>
        <w:gridCol w:w="4252"/>
        <w:gridCol w:w="2553"/>
      </w:tblGrid>
      <w:tr>
        <w:trPr>
          <w:tblHeader/>
        </w:trP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Catégorie</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Exigence</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Vérification</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Performance</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95 % des lectures d'API en moins de 300 ms à 20 requêtes par seconde</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k6 dans le pipeline</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Disponibilité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SLO de 99 % par mois en ligne</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Sonde synthétique, tableau de bord</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Sécurité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OWASP ASVS niveau 1</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Checklist par incrément</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Sécurité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 secret dans Git</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Gitleaks bloquant</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Sécurité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Aucune vulnérabilité critique corrigeable</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Trivy bloquant</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Observabilité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Logs JSON corrélés, métriques RED et métier, traces, sondes de santé</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Démonstration</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Qualité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Couverture de 80 % sur domaine et application ; contrôle qualité au vert</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SonarQube bloquant</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ENF-08</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Maintenabilité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Frontières de modules et de couches vérifiées</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d'architecture</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ENF-09</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Accessibilité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WCAG 2.1 AA sur les critères automatisables</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axe-core dans Playwright</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ENF-10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Portabilité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Images amd64 et arm64 ; environnement reconstruit de zéro en moins de 30 minutes</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Procédure testée à chaque fin d'incrément</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ENF-11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Exploitabilité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Chaque alerte renvoie à un runbook</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Revue</w:t>
            </w:r>
          </w:p>
        </w:tc>
      </w:tr>
      <w:tr>
        <w:tc>
          <w:tcPr>
            <w:tcW w:type="dxa" w:w="113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ENF-12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Sobriété</w:t>
            </w:r>
          </w:p>
        </w:tc>
        <w:tc>
          <w:tcPr>
            <w:tcW w:type="dxa" w:w="42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Chaque conteneur a une limite mémoire explicite</w:t>
            </w:r>
          </w:p>
        </w:tc>
        <w:tc>
          <w:tcPr>
            <w:tcW w:type="dxa" w:w="255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Revue des fichiers de déploiement</w:t>
            </w:r>
          </w:p>
        </w:tc>
      </w:tr>
    </w:tbl>
    <w:p>
      <w:pPr>
        <w:spacing w:after="120"/>
      </w:pPr>
    </w:p>
    <w:p>
      <w:pPr>
        <w:pStyle w:val="Heading1"/>
        <w:pageBreakBefore/>
      </w:pPr>
      <w:r>
        <w:t xml:space="preserve">21. Plan technique par incrément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9"/>
        <w:gridCol w:w="3078"/>
        <w:gridCol w:w="3480"/>
        <w:gridCol w:w="2411"/>
      </w:tblGrid>
      <w:tr>
        <w:trPr>
          <w:tblHeader/>
        </w:trP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Incr.</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Objectif technique</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Outils introduits</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Démonstration</w:t>
            </w:r>
          </w:p>
        </w:tc>
      </w:tr>
      <w:t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Walking skeleton : une page Angular affiche l'état du backend, lu depuis Oracle ; pipeline et déploiement automatiques</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Git, Maven, Angular, Spring Boot, Flyway, Oracle Free et ADB, Docker, Buildx, GitHub Actions, GHCR, Caddy, DuckDNS, Gitleaks, Trivy, CodeQL, SonarQube, Dependabot, Actuator</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Un commit sur main apparaît en ligne en HTTPS sans intervention manuelle</w:t>
            </w:r>
          </w:p>
        </w:tc>
      </w:tr>
      <w:t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Déclarer et consulter ; authentification ; conventions d'API</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Keycloak, OIDC, springdoc, Spring Modulith, ArchUnit, Testcontainers, REST Assured, MapStruct, Vitest, Playwright, Bruno</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Sophie se connecte et crée un ticket</w:t>
            </w:r>
          </w:p>
        </w:tc>
      </w:tr>
      <w:t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Traitement complet, historique, pièces jointes, droits fins</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Object Storage</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Parcours 1, 2 et 4 automatisés</w:t>
            </w:r>
          </w:p>
        </w:tc>
      </w:tr>
      <w:t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I3</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SLA, tableau de bord, administration</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Vues Oracle, PL/SQL, planificateur, k6</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Parcours 3 et tableau de bord</w:t>
            </w:r>
          </w:p>
        </w:tc>
      </w:tr>
      <w:t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Événements et notifications</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Kafka, outbox, Kafka UI, Mailpit</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Notification reçue ; relance après panne du consommateur</w:t>
            </w:r>
          </w:p>
        </w:tc>
      </w:tr>
      <w:t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I5</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Observabilité complète, SLO, alertes</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OpenTelemetry, collecteur, pile Grafana, Grafana Cloud</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D'une alerte à la ligne de log fautive via la trace</w:t>
            </w:r>
          </w:p>
        </w:tc>
      </w:tr>
      <w:t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I6</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Kubernetes et infrastructure en code</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kind, k3s, Helm, Terraform</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Reconstruction complète de l'environnement en ligne</w:t>
            </w:r>
          </w:p>
        </w:tc>
      </w:tr>
      <w:t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I7</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Résilience et sécurité avancée</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Resilience4j, limitation de débit, OWASP ZAP</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Service d'e-mail coupé sans impact utilisateur</w:t>
            </w:r>
          </w:p>
        </w:tc>
      </w:tr>
      <w:tr>
        <w:tc>
          <w:tcPr>
            <w:tcW w:type="dxa" w:w="6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I8</w:t>
            </w:r>
          </w:p>
        </w:tc>
        <w:tc>
          <w:tcPr>
            <w:tcW w:type="dxa" w:w="307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Exploitation : simulations d'incidents, post-mortems, documentation finale</w:t>
            </w:r>
          </w:p>
        </w:tc>
        <w:tc>
          <w:tcPr>
            <w:tcW w:type="dxa" w:w="3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Aucun nouvel outil</w:t>
            </w:r>
          </w:p>
        </w:tc>
        <w:tc>
          <w:tcPr>
            <w:tcW w:type="dxa" w:w="24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Diagnostic en direct d'une panne provoquée</w:t>
            </w:r>
          </w:p>
        </w:tc>
      </w:tr>
    </w:tbl>
    <w:p>
      <w:pPr>
        <w:spacing w:after="120"/>
      </w:pPr>
    </w:p>
    <w:p>
      <w:pPr>
        <w:pStyle w:val="Heading1"/>
        <w:pageBreakBefore/>
      </w:pPr>
      <w:r>
        <w:t xml:space="preserve">22. Décisions d'architecture (ADR) prévues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4"/>
        <w:gridCol w:w="6995"/>
        <w:gridCol w:w="1089"/>
      </w:tblGrid>
      <w:tr>
        <w:trPr>
          <w:tblHeader/>
        </w:trP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ID</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Décision</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Incr.</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ADR-001</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Monorepo plutôt que plusieurs dépôts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ADR-002</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Stratégie de branches et de versions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ADR-003</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Versions de la pile technique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ADR-004</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Hébergement en ligne : Oracle Cloud Always Free et Autonomous Database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ADR-005</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Outil de migration de schéma : Flyway</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ADR-006</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Monolithe modulaire et architecture hexagonale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ADR-007</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Délégation de l'identité à Keycloak</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ADR-008</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Conventions d'API : actions métier explicites, Problem Details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ADR-009</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Stockage des pièces jointes : BLOB Oracle ou Object Storage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ADR-010</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Historique d'audit : application ou trigger</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I2</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ADR-011</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Base de données de Keycloak en ligne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I1</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ADR-012</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Mode de déploiement et accès SSH</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I0</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ADR-013</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Kafka ou RabbitMQ, et outbox transactionnelle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ADR-014</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Envoi réel d'e-mails en ligne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I4</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ADR-015</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Observabilité : pile locale et Grafana Cloud en ligne</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I5</w:t>
            </w:r>
          </w:p>
        </w:tc>
      </w:tr>
      <w:tr>
        <w:tc>
          <w:tcPr>
            <w:tcW w:type="dxa" w:w="155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ADR-016</w:t>
            </w:r>
          </w:p>
        </w:tc>
        <w:tc>
          <w:tcPr>
            <w:tcW w:type="dxa" w:w="699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Distribution Kubernetes et packaging Helm</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I6</w:t>
            </w:r>
          </w:p>
        </w:tc>
      </w:tr>
    </w:tbl>
    <w:p>
      <w:pPr>
        <w:spacing w:after="120"/>
      </w:pPr>
    </w:p>
    <w:p>
      <w:pPr>
        <w:pStyle w:val="Heading1"/>
        <w:pageBreakBefore/>
      </w:pPr>
      <w:r>
        <w:t xml:space="preserve">23. Risques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6"/>
        <w:gridCol w:w="1628"/>
        <w:gridCol w:w="1085"/>
        <w:gridCol w:w="3939"/>
      </w:tblGrid>
      <w:tr>
        <w:trPr>
          <w:tblHeader/>
        </w:trPr>
        <w:tc>
          <w:tcPr>
            <w:tcW w:type="dxa" w:w="29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Risque</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Probabilité</w:t>
            </w:r>
          </w:p>
        </w:tc>
        <w:tc>
          <w:tcPr>
            <w:tcW w:type="dxa" w:w="10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Impact</w:t>
            </w:r>
          </w:p>
        </w:tc>
        <w:tc>
          <w:tcPr>
            <w:tcW w:type="dxa" w:w="39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bCs/>
                <w:sz w:val="22"/>
                <w:szCs w:val="22"/>
              </w:rPr>
              <w:t xml:space="preserve">Mitigation</w:t>
            </w:r>
          </w:p>
        </w:tc>
      </w:tr>
      <w:tr>
        <w:tc>
          <w:tcPr>
            <w:tcW w:type="dxa" w:w="29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Changement des conditions gratuites d'Oracle Cloud (précédent en juin 2026)</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Moyenne</w:t>
            </w:r>
          </w:p>
        </w:tc>
        <w:tc>
          <w:tcPr>
            <w:tcW w:type="dxa" w:w="10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Élevé</w:t>
            </w:r>
          </w:p>
        </w:tc>
        <w:tc>
          <w:tcPr>
            <w:tcW w:type="dxa" w:w="39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Infrastructure en code, images multi-architecture, sauvegardes régulières exportées hors d'Oracle Cloud</w:t>
            </w:r>
          </w:p>
        </w:tc>
      </w:tr>
      <w:tr>
        <w:tc>
          <w:tcPr>
            <w:tcW w:type="dxa" w:w="29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Capacité ARM indisponible dans la région</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Moyenne</w:t>
            </w:r>
          </w:p>
        </w:tc>
        <w:tc>
          <w:tcPr>
            <w:tcW w:type="dxa" w:w="10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w:t>
            </w:r>
          </w:p>
        </w:tc>
        <w:tc>
          <w:tcPr>
            <w:tcW w:type="dxa" w:w="39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Réessayer à différents moments ; plan B chez un autre fournisseur grâce à la portabilité</w:t>
            </w:r>
          </w:p>
        </w:tc>
      </w:tr>
      <w:tr>
        <w:tc>
          <w:tcPr>
            <w:tcW w:type="dxa" w:w="29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Mémoire insuffisante sur la VM</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Moyenne</w:t>
            </w:r>
          </w:p>
        </w:tc>
        <w:tc>
          <w:tcPr>
            <w:tcW w:type="dxa" w:w="10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w:t>
            </w:r>
          </w:p>
        </w:tc>
        <w:tc>
          <w:tcPr>
            <w:tcW w:type="dxa" w:w="39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Limites explicites, observabilité externalisée, Kafka à nœud unique</w:t>
            </w:r>
          </w:p>
        </w:tc>
      </w:tr>
      <w:tr>
        <w:tc>
          <w:tcPr>
            <w:tcW w:type="dxa" w:w="29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Mémoire insuffisante sur le poste</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Élevée</w:t>
            </w:r>
          </w:p>
        </w:tc>
        <w:tc>
          <w:tcPr>
            <w:tcW w:type="dxa" w:w="10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Faible</w:t>
            </w:r>
          </w:p>
        </w:tc>
        <w:tc>
          <w:tcPr>
            <w:tcW w:type="dxa" w:w="39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Profils Compose, lancement du backend depuis l'IDE</w:t>
            </w:r>
          </w:p>
        </w:tc>
      </w:tr>
      <w:tr>
        <w:tc>
          <w:tcPr>
            <w:tcW w:type="dxa" w:w="29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Écarts entre Oracle Free et Autonomous Database</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Moyenne</w:t>
            </w:r>
          </w:p>
        </w:tc>
        <w:tc>
          <w:tcPr>
            <w:tcW w:type="dxa" w:w="10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Moyen</w:t>
            </w:r>
          </w:p>
        </w:tc>
        <w:tc>
          <w:tcPr>
            <w:tcW w:type="dxa" w:w="39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Tests de fumée des migrations en ligne, ADR-004</w:t>
            </w:r>
          </w:p>
        </w:tc>
      </w:tr>
      <w:tr>
        <w:tc>
          <w:tcPr>
            <w:tcW w:type="dxa" w:w="29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Fuite d'un secret sur le dépôt public</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Faible</w:t>
            </w:r>
          </w:p>
        </w:tc>
        <w:tc>
          <w:tcPr>
            <w:tcW w:type="dxa" w:w="10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Élevé</w:t>
            </w:r>
          </w:p>
        </w:tc>
        <w:tc>
          <w:tcPr>
            <w:tcW w:type="dxa" w:w="39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Gitleaks avant commit et dans le pipeline ; rotation immédiate documentée</w:t>
            </w:r>
          </w:p>
        </w:tc>
      </w:tr>
      <w:tr>
        <w:tc>
          <w:tcPr>
            <w:tcW w:type="dxa" w:w="29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Complexité croissante et abandon</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Élevée</w:t>
            </w:r>
          </w:p>
        </w:tc>
        <w:tc>
          <w:tcPr>
            <w:tcW w:type="dxa" w:w="10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Élevé</w:t>
            </w:r>
          </w:p>
        </w:tc>
        <w:tc>
          <w:tcPr>
            <w:tcW w:type="dxa" w:w="39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Incréments courts et démontrables ; un outil n'arrive qu'avec le besoin</w:t>
            </w:r>
          </w:p>
        </w:tc>
      </w:tr>
      <w:tr>
        <w:tc>
          <w:tcPr>
            <w:tcW w:type="dxa" w:w="29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Dépendance au code généré par IA</w:t>
            </w:r>
          </w:p>
        </w:tc>
        <w:tc>
          <w:tcPr>
            <w:tcW w:type="dxa" w:w="162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Élevée</w:t>
            </w:r>
          </w:p>
        </w:tc>
        <w:tc>
          <w:tcPr>
            <w:tcW w:type="dxa" w:w="108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Élevé</w:t>
            </w:r>
          </w:p>
        </w:tc>
        <w:tc>
          <w:tcPr>
            <w:tcW w:type="dxa" w:w="39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pPr>
            <w:r>
              <w:rPr>
                <w:b w:val="false"/>
                <w:bCs w:val="false"/>
                <w:sz w:val="22"/>
                <w:szCs w:val="22"/>
              </w:rPr>
              <w:t xml:space="preserve">Règle « expliquer chaque ligne » ; revues centrées sur le pourquoi</w:t>
            </w:r>
          </w:p>
        </w:tc>
      </w:tr>
    </w:tbl>
    <w:p>
      <w:pPr>
        <w:spacing w:after="120"/>
      </w:pPr>
    </w:p>
    <w:p>
      <w:pPr>
        <w:pStyle w:val="Heading1"/>
        <w:pageBreakBefore/>
      </w:pPr>
      <w:r>
        <w:t xml:space="preserve">Annexe A : mise en route du poste de travail</w:t>
      </w:r>
    </w:p>
    <w:p>
      <w:pPr>
        <w:pStyle w:val="ListParagraph"/>
        <w:numPr>
          <w:ilvl w:val="0"/>
          <w:numId w:val="4"/>
        </w:numPr>
        <w:spacing w:after="80"/>
      </w:pPr>
      <w:r>
        <w:t xml:space="preserve">Sous Windows uniquement : installer WSL 2 avec Ubuntu, puis travailler exclusivement dans WSL.</w:t>
      </w:r>
    </w:p>
    <w:p>
      <w:pPr>
        <w:pStyle w:val="ListParagraph"/>
        <w:numPr>
          <w:ilvl w:val="0"/>
          <w:numId w:val="4"/>
        </w:numPr>
        <w:spacing w:after="80"/>
      </w:pPr>
      <w:r>
        <w:t xml:space="preserve">Installer Docker (Docker Desktop, ou Docker Engine sous Linux) et limiter sa mémoire à 10 Go.</w:t>
      </w:r>
    </w:p>
    <w:p>
      <w:pPr>
        <w:pStyle w:val="ListParagraph"/>
        <w:numPr>
          <w:ilvl w:val="0"/>
          <w:numId w:val="4"/>
        </w:numPr>
        <w:spacing w:after="80"/>
      </w:pPr>
      <w:r>
        <w:t xml:space="preserve">Installer Git et configurer son identité et une clé SSH pour GitHub.</w:t>
      </w:r>
    </w:p>
    <w:p>
      <w:pPr>
        <w:pStyle w:val="ListParagraph"/>
        <w:numPr>
          <w:ilvl w:val="0"/>
          <w:numId w:val="4"/>
        </w:numPr>
        <w:spacing w:after="80"/>
      </w:pPr>
      <w:r>
        <w:t xml:space="preserve">Installer SDKMAN puis Java 25 (Temurin).</w:t>
      </w:r>
    </w:p>
    <w:p>
      <w:pPr>
        <w:pStyle w:val="ListParagraph"/>
        <w:numPr>
          <w:ilvl w:val="0"/>
          <w:numId w:val="4"/>
        </w:numPr>
        <w:spacing w:after="80"/>
      </w:pPr>
      <w:r>
        <w:t xml:space="preserve">Installer nvm puis Node.js LTS, et l'outil en ligne de commande Angular.</w:t>
      </w:r>
    </w:p>
    <w:p>
      <w:pPr>
        <w:pStyle w:val="ListParagraph"/>
        <w:numPr>
          <w:ilvl w:val="0"/>
          <w:numId w:val="4"/>
        </w:numPr>
        <w:spacing w:after="80"/>
      </w:pPr>
      <w:r>
        <w:t xml:space="preserve">Installer IntelliJ IDEA, Visual Studio Code, SQLcl, Bruno et Gitleaks.</w:t>
      </w:r>
    </w:p>
    <w:p>
      <w:pPr>
        <w:pStyle w:val="ListParagraph"/>
        <w:numPr>
          <w:ilvl w:val="0"/>
          <w:numId w:val="4"/>
        </w:numPr>
        <w:spacing w:after="80"/>
      </w:pPr>
      <w:r>
        <w:t xml:space="preserve">Cloner le dépôt, copier le fichier d'exemple des variables d'environnement et renseigner les mots de passe locaux.</w:t>
      </w:r>
    </w:p>
    <w:p>
      <w:pPr>
        <w:pStyle w:val="ListParagraph"/>
        <w:numPr>
          <w:ilvl w:val="0"/>
          <w:numId w:val="4"/>
        </w:numPr>
        <w:spacing w:after="80"/>
      </w:pPr>
      <w:r>
        <w:t xml:space="preserve">Démarrer les services de base, puis lancer le backend et le frontend.</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Étapes 3 à 5</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git config --global user.name "Prénom Nom"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git config --global user.email "prenom.nom@example.com"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ssh-keygen -t ed25519 -C "prenom.nom@example.com"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curl -s "https://get.sdkman.io" | bash</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sdk install java 25.0.x-tem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nvm install --lts &amp;&amp; npm install -g @angular/cli</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Étapes 7 et 8</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git clone git@github.com:&lt;compte&gt;/itsm.git &amp;&amp; cd itsm</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cp deploy/compose/.env.example deploy/compose/.env   # jamais versionné</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docker compose -f deploy/compose/docker-compose.yml up -d</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cd backend &amp;&amp; ./mvnw spring-boot:run</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cd ../frontend &amp;&amp; npm ci &amp;&amp; npm start</w:t>
      </w:r>
    </w:p>
    <w:p>
      <w:pPr>
        <w:spacing w:after="120"/>
      </w:pPr>
    </w:p>
    <w:p>
      <w:pPr>
        <w:pStyle w:val="Heading1"/>
        <w:pageBreakBefore/>
      </w:pPr>
      <w:r>
        <w:t xml:space="preserve">Annexe B : modèle d'ADR</w:t>
      </w:r>
    </w:p>
    <w:p>
      <w:pPr>
        <w:spacing w:after="120"/>
        <w:jc w:val="both"/>
      </w:pPr>
      <w:r>
        <w:t xml:space="preserve">Chaque ADR est un court fichier Markdown dans </w:t>
      </w:r>
      <w:r>
        <w:rPr>
          <w:rFonts w:ascii="Courier New" w:cs="Courier New" w:eastAsia="Courier New" w:hAnsi="Courier New"/>
          <w:sz w:val="22"/>
          <w:szCs w:val="22"/>
        </w:rPr>
        <w:t xml:space="preserve">docs/adr/</w:t>
      </w:r>
      <w:r>
        <w:t xml:space="preserve">, numéroté et jamais supprimé. Si une décision change, un nouvel ADR remplace l'ancien, qui passe au statut « Remplacé ».</w:t>
      </w:r>
    </w:p>
    <w:p>
      <w:pPr>
        <w:keepNext/>
        <w:keepLines/>
        <w:pBdr>
          <w:top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ADR-013 : Kafka pour la diffusion des événements métier</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Statut : Accepté (remplace : aucun)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Date : 2026-xx-xx</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Contexte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Quels besoins et quelles contraintes imposent une décision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Options étudiées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1. Kafka : avantages, inconvénients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2. RabbitMQ : avantages, inconvénients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3. Appels synchrones : avantages, inconvénients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Décision</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L'option retenue, en une phrase.</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 Conséquences</w:t>
      </w:r>
    </w:p>
    <w:p>
      <w:pPr>
        <w:keepNext/>
        <w:keepLines/>
        <w:pBdr>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Ce qui devient plus simple, ce qui devient plus difficile,</w:t>
      </w:r>
    </w:p>
    <w:p>
      <w:pPr>
        <w:keepNext w:val="false"/>
        <w:keepLines/>
        <w:pBdr>
          <w:bottom w:val="single" w:color="000000" w:sz="4" w:space="4"/>
          <w:left w:val="single" w:color="000000" w:sz="4" w:space="4"/>
          <w:right w:val="single" w:color="000000" w:sz="4" w:space="4"/>
        </w:pBdr>
        <w:spacing w:after="0" w:line="240"/>
        <w:ind w:left="200" w:right="200"/>
      </w:pPr>
      <w:r>
        <w:rPr>
          <w:rFonts w:ascii="Courier New" w:cs="Courier New" w:eastAsia="Courier New" w:hAnsi="Courier New"/>
          <w:sz w:val="20"/>
          <w:szCs w:val="20"/>
        </w:rPr>
        <w:t xml:space="preserve">ce qu'il faudra surveiller.</w:t>
      </w:r>
    </w:p>
    <w:p>
      <w:pPr>
        <w:spacing w:after="120"/>
      </w:pPr>
    </w:p>
    <w:sectPr>
      <w:headerReference w:type="default" r:id="rId7"/>
      <w:footerReference w:type="default" r:id="rId8"/>
      <w:pgSz w:w="11906" w:h="16838" w:orient="portrait"/>
      <w:pgMar w:top="1134" w:right="1134" w:bottom="1134" w:left="1134"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18"/>
        <w:szCs w:val="18"/>
      </w:rPr>
      <w:t xml:space="preserve">Plateforme ITSM : cahier des charges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80"/>
      <w:outlineLvl w:val="1"/>
    </w:pPr>
    <w:rPr>
      <w:rFonts w:ascii="Arial" w:cs="Arial" w:eastAsia="Arial" w:hAnsi="Arial"/>
      <w:b/>
      <w:bCs/>
      <w:color w:val="000000"/>
      <w:sz w:val="24"/>
      <w:szCs w:val="24"/>
    </w:rPr>
  </w:style>
  <w:style w:type="paragraph" w:styleId="Heading3">
    <w:name w:val="Heading 3"/>
    <w:basedOn w:val="Normal"/>
    <w:next w:val="Normal"/>
    <w:qFormat/>
    <w:pPr>
      <w:keepNext/>
      <w:spacing w:after="100" w:before="200"/>
      <w:outlineLvl w:val="2"/>
    </w:pPr>
    <w:rPr>
      <w:rFonts w:ascii="Arial" w:cs="Arial" w:eastAsia="Arial" w:hAnsi="Arial"/>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ae9ef1137ab1b7000a87185186cc492475a21e.png"/><Relationship Id="rId10" Type="http://schemas.openxmlformats.org/officeDocument/2006/relationships/image" Target="media/b171a5c66875f792dafa5d512a65777d58a50f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ITSM : cahier des charges technique</dc:title>
  <dc:creator>Projet ITSM</dc:creator>
  <cp:lastModifiedBy>Un-named</cp:lastModifiedBy>
  <cp:revision>1</cp:revision>
  <dcterms:created xsi:type="dcterms:W3CDTF">2026-09-24T18:09:05.905Z</dcterms:created>
  <dcterms:modified xsi:type="dcterms:W3CDTF">2026-09-24T18:09:05.906Z</dcterms:modified>
</cp:coreProperties>
</file>

<file path=docProps/custom.xml><?xml version="1.0" encoding="utf-8"?>
<Properties xmlns="http://schemas.openxmlformats.org/officeDocument/2006/custom-properties" xmlns:vt="http://schemas.openxmlformats.org/officeDocument/2006/docPropsVTypes"/>
</file>