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VC-R-03 交付材料与系统设计说明</w:t>
      </w:r>
    </w:p>
    <w:p>
      <w:r>
        <w:t>退货对账与差异处理系统</w:t>
        <w:br/>
        <w:t>2026年10月13日  详细设计准备</w:t>
      </w:r>
    </w:p>
    <w:p>
      <w:pPr>
        <w:pStyle w:val="Heading2"/>
      </w:pPr>
      <w:r>
        <w:t>这份说明帮助你做什么</w:t>
      </w:r>
    </w:p>
    <w:p>
      <w:r>
        <w:t>这份说明面向准备完成课程大作业的学生，讲清需要交哪些材料、系统为何这样设计、接下来按什么顺序施工，以及怎样证明结果正确。它不是课程要求的《大作业报告》，不能代替根目录的大作业报告.docx。</w:t>
      </w:r>
    </w:p>
    <w:p>
      <w:r>
        <w:t>目前已经准备课程原件、UCI官方zip和xlsx，完成字段抽样证据与详细规格。本轮没有编写业务或测试实现，没有可运行网页，没有业务测试通过记录。Word排版检查只是文档质量检查。</w:t>
      </w:r>
    </w:p>
    <w:p>
      <w:pPr>
        <w:pStyle w:val="Heading2"/>
      </w:pPr>
      <w:r>
        <w:t>已经确认与仍需选择</w:t>
      </w:r>
    </w:p>
    <w:p>
      <w:r>
        <w:t>用户已确认Python FastAPI + SQLite + 服务端网页，并明确“前端用HTML,JS和CSS搭就行”。因此前端采用原生HTML、原生JS和CSS，通过同源Fetch调用JSON接口；不用React、Vue、Node构建器，也没有引入Jinja的必要。</w:t>
      </w:r>
    </w:p>
    <w:p>
      <w:r>
        <w:t>用户已询问配对含义并收到解释，但尚未选择配对策略。唯一候选保守方案和90天窗口仍是推荐待确认；四位金额单位与10k区间也是设计建议，不是UCI官方规则。当前只有两项真实用户技术选择，不补造第三项决定或用户理由。</w:t>
      </w:r>
    </w:p>
    <w:p>
      <w:pPr>
        <w:pStyle w:val="Heading2"/>
      </w:pPr>
      <w:r>
        <w:t>阅读入口</w:t>
      </w:r>
    </w:p>
    <w:p>
      <w:r>
        <w:t>先读根目录《要做什么》《怎么做》《怎么算做对》，再读文档/研究/文件结构与接口契约。未来执行端先读C00至C04，再按B00至B11施工。测试矩阵有48条具体计划用例，当前全部未执行。</w:t>
      </w:r>
    </w:p>
    <w:p>
      <w:r>
        <w:t>本文按交付要求、数据与规则、架构、网页、验证和施工组织，页数由内容自然排版决定。精确API参数及步骤留在Markdown契约和B文档；本文侧重设计思路、优势与局限。</w:t>
      </w:r>
    </w:p>
    <w:p>
      <w:pPr>
        <w:pStyle w:val="Heading1"/>
        <w:pageBreakBefore w:val="0"/>
      </w:pPr>
      <w:r>
        <w:t>一 课程需要交哪些材料</w:t>
      </w:r>
    </w:p>
    <w:p>
      <w:r>
        <w:t>软件编程中期材料须在2026年10月22日上课前交，最终材料在11月17日上机课前交。报告按课程十节模板写，中期3至5页，最终8至12页；没有完成的实现和测试应如实写待验。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材料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固定根名或来源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当前状态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报告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大作业报告.docx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未创建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汇报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中期汇报.pptx 可另PDF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未创建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存档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真实Git由老师脚本生成bundle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已初始化main 未stage/commit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工作记录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每日工作记录 按真实日期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仅当日准备 不达8天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三份说明书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要做什么 怎么做 怎么算做对.md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本轮设计草案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自查表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选题自查表.md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设计数与实测分栏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决定记录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决定记录.md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真实确认2项 策略待确认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项目规矩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CLAUDE.md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已写 未来命令不可用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材料清单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脚本生成09清单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本轮仅准备索引</w:t>
            </w:r>
          </w:p>
        </w:tc>
      </w:tr>
    </w:tbl>
    <w:p/>
    <w:p>
      <w:r>
        <w:t>老师工具按固定根名搜索，不能只把报告和规格放交付材料子目录。设计说明Word是学习用附件，不替代报告。空白报告模板已原样保留，也不算已完成报告。</w:t>
      </w:r>
    </w:p>
    <w:p>
      <w:r>
        <w:t>PPT固定封面加第1至9页：业务场景与用户、选题规模对照表、规格骨架、技术选型与决定记录、核心链路演示与数据准备、工程化控制物证、制度物证、失败与修复记录、剩余工作、风险与计划。</w:t>
      </w:r>
    </w:p>
    <w:p>
      <w:r>
        <w:t>通常每页正文不超过三行并配真实证据图。封面四行每行不超过20字；第2页七行指标表；第8页三张真实失败卡每张不超过40字并各配图；第9页四行。每页写证据出处，不编失败故事。</w:t>
      </w:r>
    </w:p>
    <w:p>
      <w:r>
        <w:t>正式说明书要求至少8天真实日记，样例说明写10天的冲突已记录，采用正式8天口径。至少10真实自动化用例、3真实用户决定、2反例及技能、Hook、子代理和审查证据都不能用计划数量替代。</w:t>
      </w:r>
    </w:p>
    <w:p>
      <w:pPr>
        <w:pStyle w:val="Heading1"/>
        <w:pageBreakBefore w:val="0"/>
      </w:pPr>
      <w:r>
        <w:t>二 唯一流水与两层行数验算</w:t>
      </w:r>
    </w:p>
    <w:p>
      <w:r>
        <w:t>官方数据是UCI Online Retail II。两张年度sheet分别是Year 2009-2010和Year 2010-2011；它们不是财务和仓库两套账。系统中的“两边”是同一真实流水的正向单视图和取消单视图。取消单没有真实原订单外键，所以对账只能给出规则推断。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实际列名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课程标准名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注意事项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Invoice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InvoiceNo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单号文本 C前缀取消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Price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UnitPrice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源数值串保留 不用float比较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Customer ID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CustomerID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缺失保留 不猜填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其他五列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原名保持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StockCode可含字母 描述不是匹配键</w:t>
            </w:r>
          </w:p>
        </w:tc>
      </w:tr>
    </w:tbl>
    <w:p/>
    <w:p>
      <w:r>
        <w:t>阶段一每表仅只读抽查前1000条。dimension推得两表数据行合计1067371，与官方页面相符，但这不是全量扫描计数。B02以后要完整读取真实值和源位置，确认每表最后含值行；内部空位置算空白源行，表头和仅格式尾行不算数据。</w:t>
      </w:r>
    </w:p>
    <w:p>
      <w:r>
        <w:t>建议初期快照选Year 2010-2011原Excel第2至10001行，恰10k源位置，不先过滤取消或异常、不随机补样、不先去重。每条保留源SHA、sheet和原行号。区间可能截断发票，必须标出风险，不能假称整张订单都在范围内。</w:t>
      </w:r>
    </w:p>
    <w:p>
      <w:pPr>
        <w:pStyle w:val="Heading2"/>
      </w:pPr>
      <w:r>
        <w:t>同时展示原文件分母与快照分母</w:t>
      </w:r>
    </w:p>
    <w:p>
      <w:r>
        <w:t>原文件扫描总行数 = 范围外 + 选中范围。选中输入 = 正向有效 + 取消有效 + 规则排除。两个差值都必须为0，界面分别显示原分母和快照分母，不能把1万切片叫整个原文件1万。</w:t>
      </w:r>
    </w:p>
    <w:p>
      <w:r>
        <w:t>每行裁决互斥穷尽：完全空白、公式、必需字段缺失、非法数值日期、非整数数量、非正价、超精度、零数量、符号冲突按顺序取一个主排除原因。客户号、描述和国家缺失保留并标质量flag。C前缀且负量才可用取消；非C且正量是正向。</w:t>
      </w:r>
    </w:p>
    <w:p>
      <w:r>
        <w:t>不同源行即便内容完全相同也不能无声删除。标记疑似重复并抑制相关自动配对，保留行数和追溯。原始zip/xlsx与课程原件永远不改；快照和库是另外的未来产物。</w:t>
      </w:r>
    </w:p>
    <w:p>
      <w:pPr>
        <w:pStyle w:val="Heading1"/>
        <w:pageBreakBefore w:val="0"/>
      </w:pPr>
      <w:r>
        <w:t>三 金额口径与保守配对</w:t>
      </w:r>
    </w:p>
    <w:p>
      <w:r>
        <w:t>实测源XML单价存在二进制浮点尾差，不能直接用float求相等或只比较界面两位小数。建议以Decimal读取源十进制串，按四位ROUND_HALF_UP得到候选价；只有距候选值不超过1e-9英镑才允许去尾差，否则排除PRICE_PRECISION_UNSUPPORTED。单价不大于0也排除计数。</w:t>
      </w:r>
    </w:p>
    <w:p>
      <w:r>
        <w:t>计算单位为£0.0001的整数price_units，金额为price_units乘整数quantity。显示再ROUND_HALF_UP到两位；显示精度不改变匹配结果。例如2.5499999999999998规范为25500单位；2.54995的真实更高精度不能静默丢弃。四位口径必须由B02全量精度核验支持，发现例外先报告修订版本。</w:t>
      </w:r>
    </w:p>
    <w:p>
      <w:r>
        <w:t>NaN/Infinity和单行数量、单价单位、行金额或取消绝对量超I64（有符号64位整数）边界时排除，主原因INVALID_NUMBER_OR_DATE；溢出另标NUMERIC_OVERFLOW。累计lot量或整次run金额超界则运行失败，不回写有效源行裁决来凑守恒。规则版本与输入hash固定。</w:t>
      </w:r>
    </w:p>
    <w:p>
      <w:pPr>
        <w:pStyle w:val="Heading2"/>
      </w:pPr>
      <w:r>
        <w:t>配对是什么 推荐策略待确认</w:t>
      </w:r>
    </w:p>
    <w:p>
      <w:r>
        <w:t>配对是让一条取消/退货记录寻找它可能对应的既往销售记录，不是人员配对。教学假设（不是官方交易证据）：同客户买5件后退2件，只有一个合格销售批次且剩余量足够，才自动分配2件；若有两个候选，转为差异供人工处理，不能猜最近一笔。</w:t>
      </w:r>
    </w:p>
    <w:p>
      <w:r>
        <w:t>销售lot由原发票、客户、商品、精确规范单价、发票时间组成，并保留全部源行与数量。取消按时间、sheet、原行号稳定处理。候选要求同客户、同商品、同精确单价，正向时间不晚于取消且在建议90天窗口内；双方国家非空且冲突时不得配对。描述不作键。</w:t>
      </w:r>
    </w:p>
    <w:p>
      <w:r>
        <w:t>只有一个干净候选lot且剩余量足够，才整笔分配绝对取消量。允许部分取消与多次取消，但累计不超售出量；不跨多个lot拆分，不按最近时间强猜。候选数也不能先按剩余量过滤，以免两个原lot耗尽一个后被伪装成唯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情况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主要结果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缺客户或疑似重复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生成对应差异 不猜填或去重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国家冲突或多个候选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报异常/歧义 不自动分配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唯一候选量不足或价差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数量不足/价差差异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范围中无候选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当前范围未找到候选 范围外可能有原单</w:t>
            </w:r>
          </w:p>
        </w:tc>
      </w:tr>
    </w:tbl>
    <w:p/>
    <w:p>
      <w:r>
        <w:t>每run每取消源行最多一条主要差异，其余质量问题作flags，候选证据可查看。同快照同规则重复对账返回已有run，不重复造工单。匹配结论与处理工单状态分离：关闭差异只是人工处理结束，不会使UNMATCHED变成MATCHED，不改原流水或allocation。</w:t>
      </w:r>
    </w:p>
    <w:p>
      <w:pPr>
        <w:pStyle w:val="Heading1"/>
        <w:pageBreakBefore w:val="0"/>
      </w:pPr>
      <w:r>
        <w:t>四 模块 数据流与存储</w:t>
      </w:r>
    </w:p>
    <w:p>
      <w:r>
        <w:t>设计主流程：导入与两层验算 → 推断配对 → 差异 → 主管派单 → 责任人开始 → 填说明关闭。M1成功batch供M2，M2差异供M3，M4读取前三模块做网页、审计与导出；这是设计示意，不是已运行成果。四模块不以页面数量充数。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模块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输入和输出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主要职责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M1导入验算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raw和快照 → batch与row裁决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身份 类型 金额 两分母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M2对账差异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成功batch → lot/run/分配/差异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固定规则 推断与歧义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M3派单权限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差异与会话 → assignment/状态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逐级流转 角色 版本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M4网页审计导出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前三模块 → 页面/JSON/CSV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查询 追溯 授权导出</w:t>
            </w:r>
          </w:p>
        </w:tc>
      </w:tr>
    </w:tbl>
    <w:p/>
    <w:p>
      <w:r>
        <w:t>浏览器调用FastAPI router，router调用services，后者协调domain纯规则与repositories持久化。domain无文件、HTTP或库IO，web不直接SQL，repository不决定匹配或状态；这样能独立测试，避免页面重复写业务规则。</w:t>
      </w:r>
    </w:p>
    <w:p>
      <w:r>
        <w:t>核心表包括source_files、snapshots、import_batches、import_rows、sale_lots、reconciliation_runs、match_allocations、differences、assignments、users、sessions、audit_events。完整主外键、数量约束、枚举和索引见文字契约，本轮不创建SQL或库。</w:t>
      </w:r>
    </w:p>
    <w:p>
      <w:pPr>
        <w:pStyle w:val="Heading2"/>
      </w:pPr>
      <w:r>
        <w:t>失败恢复与原子发布</w:t>
      </w:r>
    </w:p>
    <w:p>
      <w:r>
        <w:t>pipeline导入SUCCESS后，若对账运行失败，不回滚已成功导入的批次。错误保留batch_id/run_id/attempt及POST_RUNS恢复提示；以已有batch_id、同规则POST /runs重试同run_id，attempt+1，不再次上传。已完成run仅复用，不重新生成差异；RUNNING冲突不发布半成品。</w:t>
      </w:r>
    </w:p>
    <w:p>
      <w:pPr>
        <w:pStyle w:val="Heading2"/>
      </w:pPr>
      <w:r>
        <w:t>唯一与事务比按钮提示可靠</w:t>
      </w:r>
    </w:p>
    <w:p>
      <w:r>
        <w:t>成功批次、run、差异和assignment各有唯一身份约束，防止重复输入、工单或派单。每连接启用外键和非空约束，数量与金额验证SQLite整数边界；可用量在0至销售量之间，跨行累计由服务事务校验。</w:t>
      </w:r>
    </w:p>
    <w:p>
      <w:r>
        <w:t>导入失败回滚事实行。run完成一次事务发布lot、分配、差异、摘要和成功审计，不能暴露半成品。派单和流转带expected_version，成功变更与审计原子写；库忙有限重试后明确报错。成功审计失败回滚业务；拒绝日志独立事务，失败说明未留痕。操作审计不是历史归档系统。</w:t>
      </w:r>
    </w:p>
    <w:p>
      <w:pPr>
        <w:pStyle w:val="Heading1"/>
        <w:pageBreakBefore w:val="0"/>
      </w:pPr>
      <w:r>
        <w:t>五 原生网页和工单状态</w:t>
      </w:r>
    </w:p>
    <w:p>
      <w:r>
        <w:t>原生HTML/JS/CSS由FastAPI同源提供，SQLite持久化。Fetch使用相对/api/v1与same-origin会话，不用file方式打开或全开放CORS。普通API body用JSON；文件上传用FormData multipart，浏览器设置boundary；CSV下载不是JSON；登出成功204无正文。未知JSON/form/query字段422。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页面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主要操作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关键呈现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登录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POST auth/login GET auth/me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后端角色 会话失效回登录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导入校验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POST pipeline 或 imports再runs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hash 范围 两层验算 质量flags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对账结果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GET runs/id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推断局限 数量金额 规则版本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差异列表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分页筛选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处理人仅本人 后端强制范围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差异详情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assign start close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候选 责任人 version 两状态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验算面板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GET imports/id/counts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原N与10k分母 互斥排除 差0</w:t>
            </w:r>
          </w:p>
        </w:tc>
      </w:tr>
    </w:tbl>
    <w:p/>
    <w:p>
      <w:r>
        <w:t>工单初始待处理且未派单。仓库主管派有效处理人后仍待处理；责任人开始后变处理中；责任人填写去空白非空说明才能关闭。禁止直接关闭、倒退、重开、改派和二次派单。同人再次派单也拒绝并显示当前责任人。</w:t>
      </w:r>
    </w:p>
    <w:p>
      <w:r>
        <w:t>两种Cookie：HttpOnly的session只用于会话，JS可读的csrf_token用于写请求。两者SameSite=Strict、Path=/、无Domain；本机HTTP Secure=false，HTTPS为true。token整会话稳定，数据库仅存token_hash/csrf_hash，不存明文。每次写请求从Cookie读取CSRF token，后端验证该会话的hash与配置同源Origin，不只比客户端Cookie/header。</w:t>
      </w:r>
    </w:p>
    <w:p>
      <w:r>
        <w:t>login无需旧会话CSRF，但必须验证Origin；缺失、null、异源拒绝。login与me只返回user，me不恢复或轮换token，所以多HTML页导航、刷新、多标签不丢token。登出撤销会话并清两Cookie，停用/过期立即401。失效会话先401；有效请求按安全校验、角色、结构字段、对象范围、领域规则处理。</w:t>
      </w:r>
    </w:p>
    <w:p>
      <w:r>
        <w:t>角色由后端会话确定：财务导入、启动和看全部；主管派单和看全部；处理人只处理本人差异；管理员管理演示用户和看全局审计，不自动获得所有业务操作。客户端篡改role或筛选参数不能越权。</w:t>
      </w:r>
    </w:p>
    <w:p>
      <w:r>
        <w:t>写请求携带CSRF token和expected_version，服务复验Origin与对象权限。并发旧版本返回409，页面刷新显示当前人/版本但不自动重提；401回登录，403解释权限，422逐字段提示，503给重试信息并保留输入。</w:t>
      </w:r>
    </w:p>
    <w:p>
      <w:r>
        <w:t>错误响应包含稳定error.code、message、details和request_id，不泄露库路径或秘密。金额整数以字符串传输避免JS浮点失真；用户描述和说明用textContent显示，不拼innerHTML。CSV导出复用授权范围，并转义引号、换行和公式危险文本。</w:t>
      </w:r>
    </w:p>
    <w:p>
      <w:pPr>
        <w:pStyle w:val="Heading1"/>
        <w:pageBreakBefore w:val="0"/>
      </w:pPr>
      <w:r>
        <w:t>六 测试与性能怎样验</w:t>
      </w:r>
    </w:p>
    <w:p>
      <w:r>
        <w:t>根规格固定32条FR、10条CR、3条NFR和6条不做项；四业务模块有清晰输入输出。测试矩阵TC-01至TC-48逐条写给定输入、动作、期望数值或错误、层次和证据目录。当前全部未执行，不能把48条计划叫48条自动化通过。</w:t>
      </w:r>
    </w:p>
    <w:p>
      <w:pPr>
        <w:pStyle w:val="Heading2"/>
      </w:pPr>
      <w:r>
        <w:t>受控边界与真实数据分开</w:t>
      </w:r>
    </w:p>
    <w:p>
      <w:r>
        <w:t>F纯合成fixture用于明确标注的单元/集成/并发/API/浏览器边界测试与教学演示，绝不当真实R。未来仅小型controlled_cases.json为Git白名单，随消费测试提交以便clone/bundle复现；不含真实流水或凭据。本轮不创建。R验收/性能使用官方raw派生快照，核hash、原位置、扫描分母及截断风险；实际数量从运行得到。</w:t>
      </w:r>
    </w:p>
    <w:p>
      <w:r>
        <w:t>两条重要反例是：多个候选不能因为最近时间就判找到真实原单；两个lot各剩3而取消5不能跨lot拼量。数量示例lot10先取消3再取消7可累计10，第三取消1须数量不足，不能负剩余量。</w:t>
      </w:r>
    </w:p>
    <w:p>
      <w:pPr>
        <w:pStyle w:val="Heading2"/>
      </w:pPr>
      <w:r>
        <w:t>五秒指标不能偷换终点</w:t>
      </w:r>
    </w:p>
    <w:p>
      <w:r>
        <w:t>NFR-01用预生成真实10k原值快照，从导入请求开始读取解析，到规范裁决、写库、匹配、差异和审计持久化且摘要可读结束。至少3次独立空数据库冷数据运行，每次不超过5秒；不得把解析、裁决或配对预先计算，也不得用后台“已接受”作终点。</w:t>
      </w:r>
    </w:p>
    <w:p>
      <w:r>
        <w:t>下载、依赖安装、服务启动、百万xlsx首次扫描和快照抽取不计入此5秒，但必须另外记录耗时；全量导入另测不承诺5秒。记录硬件、OS、锁定版本、输入/规则hash、总耗时和分项。操作系统缓存未清也应如实注明。</w:t>
      </w:r>
    </w:p>
    <w:p>
      <w:r>
        <w:t>NFR-02在真实10k结果库中对首50列表和详情各测30次，每次不超过2秒，实际差异数与冷/热查询分别报告。NFR-03用独立连接真并发派单和关闭，只有一个成功、version只加1、唯一assignment和成功审计成立。顺序请求不叫并发。</w:t>
      </w:r>
    </w:p>
    <w:p>
      <w:r>
        <w:t>课程至少10真实自动化测试须由学生亲手复跑并留当日截图；独立测试agent全量问题清单、核心money/matching/workflow review也必须真实发生。48TC与子例均为计划未执行，包括非有限数/I64、失败恢复、安全及多页会话。失败保留，不为绿灯改断言；索引比较同输入/算法/环境。</w:t>
      </w:r>
    </w:p>
    <w:p>
      <w:pPr>
        <w:pStyle w:val="Heading1"/>
        <w:pageBreakBefore w:val="0"/>
      </w:pPr>
      <w:r>
        <w:t>七 按什么顺序施工和留证</w:t>
      </w:r>
    </w:p>
    <w:p>
      <w:r>
        <w:t>本轮只完成设计准备，不启动B施工。以后用户明确进入施工后普通授权范围内可逆工作由执行端自主做，不额外加逐文件审批门；越范围或不可逆动作按协调端与MARINA逐次审批，拒绝不绕过。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计划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施工产物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前置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B00总计划 B01环境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兼容Python/lock/真实入口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施工授权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B02数据 B03导入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全扫描manifest/10k快照/裁决库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原SHA一致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B04配对 B05状态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lot/run/差异/受控actor状态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配对策略确认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B06权限 B07网页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真实会话集成/原生页面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先定角色/对象契约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B08导出 B09测试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原子审计/授权CSV/实测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真实边界与输入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B10过程 B11交付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技能Hook/日记/报告PPT/现场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color w:val="000000"/>
                <w:sz w:val="22"/>
              </w:rPr>
              <w:t>真实运行与审核</w:t>
            </w:r>
          </w:p>
        </w:tc>
      </w:tr>
    </w:tbl>
    <w:p/>
    <w:p>
      <w:r>
        <w:t>B01施工后仍需真实核验node/npm/claude/python/git、终端/OS及课程provider的非秘密配置与认证状态，不打印密钥，不把MARINA可用当课程工具已配；前端无需Node/npm构建不等于免核课程环境。先固定身份/角色/对象契约，B05受控actor域/服务测试，B06独立实现会话后集成，不互相阻塞。</w:t>
      </w:r>
    </w:p>
    <w:p>
      <w:r>
        <w:t>建议施工授权后10月14日至16日完成环境、数据和导入，17日至19日配对、状态、权限与网页，20日至21日审计导出、测试和中期材料。若授权或配对选择晚到，要重排并说明缺项，不能照计划日期制造过去工作。中期之后补齐未过FR，11月9日至16日复测和最终报告，17日验收。</w:t>
      </w:r>
    </w:p>
    <w:p>
      <w:r>
        <w:t>C00至C04规定必读顺序、数据语义、编号接口变更、证据真实性和交接审阅。规则变化需同步根规格、B、TC、契约、自查和Word，保留原编号，不静默删数量或并发边界。</w:t>
      </w:r>
    </w:p>
    <w:p>
      <w:r>
        <w:t>日记只建真实当天，记录今天做了什么、当日真实提交记录和截图；没有提交或截图就明确缺项。至少8天三样完整不靠空目录凑。技能需重启后真调用，Hook在隔离可牺牲目标上真拦截，不能拿raw或用户文件做危险演示。</w:t>
      </w:r>
    </w:p>
    <w:p>
      <w:r>
        <w:t>Git已初始化main，本阶段无stage/commit。后续授权施工内普通本地提交按协调review推进，无需重复用户确认；保护diff，不改global identity或造历史。raw/processed/runtime不入Git，不塞交付正文；未来纯合成fixture白名单不是官方数据。bundle只含已提交历史，R按URL/hash另备。打包替换、推送、外发及不可逆/越范围仍守授权，本轮不运行课程工具或Bypass。</w:t>
      </w:r>
    </w:p>
    <w:p>
      <w:pPr>
        <w:pStyle w:val="Heading1"/>
        <w:pageBreakBefore w:val="0"/>
      </w:pPr>
      <w:r>
        <w:t>八 设计优势 取舍与来源</w:t>
      </w:r>
    </w:p>
    <w:p>
      <w:pPr>
        <w:pStyle w:val="Heading2"/>
      </w:pPr>
      <w:r>
        <w:t>为什么选择这些边界</w:t>
      </w:r>
    </w:p>
    <w:p>
      <w:r>
        <w:t>原生前端减少构建链，符合已确认用户选择；代价是页面状态与错误交互需要手动组织。FastAPI把接口验证、服务调用和测试入口集中；SQLite便于单机现场，但单写者限制要求短事务、唯一约束和乐观版本，不能宣称适合任意并发部署。</w:t>
      </w:r>
    </w:p>
    <w:p>
      <w:r>
        <w:t>数据追溯与两层分母有助于发现漏算和重复，但需完整扫描。整数金额避免显示舍入左右匹配；四位口径须全量验证，真实超精度要报例外。保守方案减少无证据猜配，但自动覆盖较低，也不能证明真实准确率。状态与匹配分离、原子审计和乐观版本必须用真实失败注入和并发测试证明。</w:t>
      </w:r>
    </w:p>
    <w:p>
      <w:pPr>
        <w:pStyle w:val="Heading2"/>
      </w:pPr>
      <w:r>
        <w:t>当前完成与下一步</w:t>
      </w:r>
    </w:p>
    <w:p>
      <w:r>
        <w:t>当前已备原始材料、raw、详细规格、12份B、5份C、48TC计划、材料指南和本文。业务源码、全扫描、快照、库、网页、测试性能、技能Hook、8真实天日记、报告PPT和bundle尚未完成。两项技术选择真实确认，配对含义已解释、策略待选。下一步先获施工授权，确认策略并核验数据，再按依赖实施与留真实证据。</w:t>
      </w:r>
    </w:p>
    <w:p>
      <w:pPr>
        <w:pStyle w:val="Heading2"/>
      </w:pPr>
      <w:r>
        <w:t>主要参考</w:t>
      </w:r>
    </w:p>
    <w:p>
      <w:r>
        <w:t>课程原件：1-大作业说明书第三/四节、3-大作业选题库VC-R-03、4-数据说明与准备第二/六节。技术资料访问日2026年10月13日；只整理结论，不复制网页全文。</w:t>
      </w:r>
    </w:p>
    <w:p>
      <w:r>
        <w:t>UCI Online Retail II：https://archive.ics.uci.edu/dataset/502/online+retail+ii</w:t>
        <w:br/>
        <w:t>引用Chen, D. (2012)：https://doi.org/10.24432/C5CG6D</w:t>
        <w:br/>
        <w:t>CC BY4.0：https://creativecommons.org/licenses/by/4.0/；捐赠日不替代引用年。</w:t>
      </w:r>
    </w:p>
    <w:p>
      <w:r>
        <w:t>Python Decimal：https://docs.python.org/3/library/decimal.html</w:t>
        <w:br/>
        <w:t>SQLite事务：https://www.sqlite.org/lang_transaction.html</w:t>
        <w:br/>
        <w:t>SQLite约束：https://www.sqlite.org/lang_createtable.html</w:t>
      </w:r>
    </w:p>
    <w:p>
      <w:r>
        <w:t>FastAPI测试：https://fastapi.tiangolo.com/tutorial/testing/</w:t>
        <w:br/>
        <w:t>FastAPI静态服务：https://fastapi.tiangolo.com/tutorial/static-files/</w:t>
        <w:br/>
        <w:t>openpyxl只读：https://openpyxl.readthedocs.io/en/stable/optimized.html</w:t>
      </w:r>
    </w:p>
    <w:p>
      <w:r>
        <w:t>依赖版本施工时选兼容组合、锁定并实测，不凭“最新”假定可运行。阅读根README找到完整规格和来源manifest，后续修订本文也必须重新渲染逐页检查。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VC-R-03 交付材料与系统设计说明</dc:title>
  <dc:subject>学生交付指南与详细设计准备</dc:subject>
  <dc:creator>VC-R-03 项目设计准备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