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2A4A"/>
          <w:sz w:val="96"/>
          <w:szCs w:val="96"/>
        </w:rPr>
        <w:t xml:space="preserve">E-UNI</w:t>
      </w:r>
    </w:p>
    <w:p>
      <w:pPr>
        <w:spacing w:after="400"/>
        <w:jc w:val="center"/>
      </w:pPr>
      <w:r>
        <w:rPr>
          <w:b/>
          <w:bCs/>
          <w:color w:val="2E6F9E"/>
          <w:sz w:val="36"/>
          <w:szCs w:val="36"/>
        </w:rPr>
        <w:t xml:space="preserve">Espace Numérique Universitaire</w:t>
      </w:r>
    </w:p>
    <w:p>
      <w:pPr>
        <w:spacing w:after="200" w:before="800"/>
        <w:jc w:val="center"/>
      </w:pPr>
      <w:r>
        <w:rPr>
          <w:b/>
          <w:bCs/>
          <w:color w:val="24272B"/>
          <w:sz w:val="32"/>
          <w:szCs w:val="32"/>
        </w:rPr>
        <w:t xml:space="preserve">MANUEL D'UTILISATION</w:t>
      </w:r>
    </w:p>
    <w:p>
      <w:pPr>
        <w:spacing w:after="2000"/>
        <w:jc w:val="center"/>
      </w:pPr>
      <w:r>
        <w:rPr>
          <w:i/>
          <w:iCs/>
          <w:color w:val="5A6472"/>
          <w:sz w:val="24"/>
          <w:szCs w:val="24"/>
        </w:rPr>
        <w:t xml:space="preserve">Guide destiné aux étudiants, enseignants et administrateurs</w:t>
      </w:r>
    </w:p>
    <w:p>
      <w:pPr>
        <w:spacing w:before="3500"/>
        <w:jc w:val="center"/>
      </w:pPr>
      <w:r>
        <w:rPr>
          <w:color w:val="5A6472"/>
          <w:sz w:val="22"/>
          <w:szCs w:val="22"/>
        </w:rPr>
        <w:t xml:space="preserve">Infinity Code — Port-au-Prince, Haïti</w:t>
      </w:r>
    </w:p>
    <w:p>
      <w:pPr>
        <w:spacing w:before="200"/>
        <w:jc w:val="center"/>
      </w:pPr>
      <w:r>
        <w:rPr>
          <w:color w:val="5A6472"/>
          <w:sz w:val="22"/>
          <w:szCs w:val="22"/>
        </w:rPr>
        <w:t xml:space="preserve">Version 1.0 — Août 2026</w:t>
      </w:r>
    </w:p>
    <w:p>
      <w:pPr>
        <w:sectPr>
          <w:pgSz w:w="11906" w:h="16838" w:orient="portrait"/>
          <w:pgMar w:top="1440" w:right="1440" w:bottom="1440" w:left="1440" w:header="708" w:footer="708" w:gutter="0"/>
          <w:pgNumType/>
          <w:docGrid w:linePitch="360"/>
        </w:sectPr>
      </w:pPr>
    </w:p>
    <w:p>
      <w:pPr>
        <w:pStyle w:val="Heading1"/>
        <w:pBdr>
          <w:bottom w:val="single" w:color="2E6F9E" w:sz="6" w:space="4"/>
        </w:pBdr>
        <w:spacing w:after="200" w:before="400"/>
      </w:pPr>
      <w:r>
        <w:rPr>
          <w:b/>
          <w:bCs/>
          <w:color w:val="1B2A4A"/>
          <w:sz w:val="30"/>
          <w:szCs w:val="30"/>
        </w:rPr>
        <w:t xml:space="preserve">Table des matières</w:t>
      </w:r>
    </w:p>
    <w:p>
      <w:pPr>
        <w:spacing w:after="160"/>
      </w:pPr>
      <w:r>
        <w:rPr>
          <w:color w:val="24272B"/>
          <w:sz w:val="24"/>
          <w:szCs w:val="24"/>
        </w:rPr>
        <w:t xml:space="preserve">1. Introduction</w:t>
      </w:r>
    </w:p>
    <w:p>
      <w:pPr>
        <w:spacing w:after="160"/>
      </w:pPr>
      <w:r>
        <w:rPr>
          <w:color w:val="24272B"/>
          <w:sz w:val="24"/>
          <w:szCs w:val="24"/>
        </w:rPr>
        <w:t xml:space="preserve">2. Connexion à la plateforme</w:t>
      </w:r>
    </w:p>
    <w:p>
      <w:pPr>
        <w:spacing w:after="160"/>
      </w:pPr>
      <w:r>
        <w:rPr>
          <w:color w:val="24272B"/>
          <w:sz w:val="24"/>
          <w:szCs w:val="24"/>
        </w:rPr>
        <w:t xml:space="preserve">3. Le tableau de bord</w:t>
      </w:r>
    </w:p>
    <w:p>
      <w:pPr>
        <w:spacing w:after="160"/>
      </w:pPr>
      <w:r>
        <w:rPr>
          <w:color w:val="24272B"/>
          <w:sz w:val="24"/>
          <w:szCs w:val="24"/>
        </w:rPr>
        <w:t xml:space="preserve">4. Module Cours et programmes académiques</w:t>
      </w:r>
    </w:p>
    <w:p>
      <w:pPr>
        <w:spacing w:after="160"/>
      </w:pPr>
      <w:r>
        <w:rPr>
          <w:color w:val="24272B"/>
          <w:sz w:val="24"/>
          <w:szCs w:val="24"/>
        </w:rPr>
        <w:t xml:space="preserve">5. Module Notes et évaluations</w:t>
      </w:r>
    </w:p>
    <w:p>
      <w:pPr>
        <w:spacing w:after="160"/>
      </w:pPr>
      <w:r>
        <w:rPr>
          <w:color w:val="24272B"/>
          <w:sz w:val="24"/>
          <w:szCs w:val="24"/>
        </w:rPr>
        <w:t xml:space="preserve">6. Module Paiement des frais académiques (MonCash)</w:t>
      </w:r>
    </w:p>
    <w:p>
      <w:pPr>
        <w:spacing w:after="160"/>
      </w:pPr>
      <w:r>
        <w:rPr>
          <w:color w:val="24272B"/>
          <w:sz w:val="24"/>
          <w:szCs w:val="24"/>
        </w:rPr>
        <w:t xml:space="preserve">7. Module Communication</w:t>
      </w:r>
    </w:p>
    <w:p>
      <w:pPr>
        <w:spacing w:after="160"/>
      </w:pPr>
      <w:r>
        <w:rPr>
          <w:color w:val="24272B"/>
          <w:sz w:val="24"/>
          <w:szCs w:val="24"/>
        </w:rPr>
        <w:t xml:space="preserve">8. Module Bibliothèque / Ressources numériques</w:t>
      </w:r>
    </w:p>
    <w:p>
      <w:pPr>
        <w:spacing w:after="160"/>
      </w:pPr>
      <w:r>
        <w:rPr>
          <w:color w:val="24272B"/>
          <w:sz w:val="24"/>
          <w:szCs w:val="24"/>
        </w:rPr>
        <w:t xml:space="preserve">9. Foire aux questions (FAQ)</w:t>
      </w:r>
    </w:p>
    <w:p>
      <w:pPr>
        <w:spacing w:after="160"/>
      </w:pPr>
      <w:r>
        <w:rPr>
          <w:color w:val="24272B"/>
          <w:sz w:val="24"/>
          <w:szCs w:val="24"/>
        </w:rPr>
        <w:t xml:space="preserve">10. Support technique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F9E" w:sz="6" w:space="4"/>
        </w:pBdr>
        <w:spacing w:after="200" w:before="400"/>
      </w:pPr>
      <w:r>
        <w:rPr>
          <w:b/>
          <w:bCs/>
          <w:color w:val="1B2A4A"/>
          <w:sz w:val="30"/>
          <w:szCs w:val="30"/>
        </w:rPr>
        <w:t xml:space="preserve">1. Introduction</w:t>
      </w:r>
    </w:p>
    <w:p>
      <w:pPr>
        <w:spacing w:after="150" w:line="300"/>
      </w:pPr>
      <w:r>
        <w:rPr>
          <w:color w:val="24272B"/>
          <w:sz w:val="22"/>
          <w:szCs w:val="22"/>
        </w:rPr>
        <w:t xml:space="preserve">Bienvenue sur E-UNI, l'Espace Numérique Universitaire. Cette plateforme vous permet de consulter vos cours et programmes académiques, suivre vos notes et évaluations, régler vos frais académiques via MonCash, communiquer avec l'administration et vos enseignants, et accéder à une bibliothèque de ressources numériques.</w:t>
      </w:r>
    </w:p>
    <w:p>
      <w:pPr>
        <w:spacing w:after="150" w:line="300"/>
      </w:pPr>
      <w:r>
        <w:rPr>
          <w:color w:val="24272B"/>
          <w:sz w:val="22"/>
          <w:szCs w:val="22"/>
        </w:rPr>
        <w:t xml:space="preserve">Ce manuel s'adresse à tous les utilisateurs de la plateforme : étudiants, enseignants et personnel administratif.</w:t>
      </w:r>
    </w:p>
    <w:p>
      <w:pPr>
        <w:pStyle w:val="Heading1"/>
        <w:pBdr>
          <w:bottom w:val="single" w:color="2E6F9E" w:sz="6" w:space="4"/>
        </w:pBdr>
        <w:spacing w:after="200" w:before="400"/>
      </w:pPr>
      <w:r>
        <w:rPr>
          <w:b/>
          <w:bCs/>
          <w:color w:val="1B2A4A"/>
          <w:sz w:val="30"/>
          <w:szCs w:val="30"/>
        </w:rPr>
        <w:t xml:space="preserve">2. Connexion à la plateforme</w:t>
      </w:r>
    </w:p>
    <w:p>
      <w:pPr>
        <w:pStyle w:val="ListParagraph"/>
        <w:numPr>
          <w:ilvl w:val="0"/>
          <w:numId w:val="2"/>
        </w:numPr>
        <w:spacing w:after="80"/>
      </w:pPr>
      <w:r>
        <w:rPr>
          <w:sz w:val="22"/>
          <w:szCs w:val="22"/>
        </w:rPr>
        <w:t xml:space="preserve">Ouvrez votre navigateur et accédez à l'adresse de la plateforme E-UNI fournie par votre institution.</w:t>
      </w:r>
    </w:p>
    <w:p>
      <w:pPr>
        <w:pStyle w:val="ListParagraph"/>
        <w:numPr>
          <w:ilvl w:val="0"/>
          <w:numId w:val="2"/>
        </w:numPr>
        <w:spacing w:after="80"/>
      </w:pPr>
      <w:r>
        <w:rPr>
          <w:sz w:val="22"/>
          <w:szCs w:val="22"/>
        </w:rPr>
        <w:t xml:space="preserve">Cliquez sur « Se connecter ».</w:t>
      </w:r>
    </w:p>
    <w:p>
      <w:pPr>
        <w:pStyle w:val="ListParagraph"/>
        <w:numPr>
          <w:ilvl w:val="0"/>
          <w:numId w:val="2"/>
        </w:numPr>
        <w:spacing w:after="80"/>
      </w:pPr>
      <w:r>
        <w:rPr>
          <w:sz w:val="22"/>
          <w:szCs w:val="22"/>
        </w:rPr>
        <w:t xml:space="preserve">Saisissez votre adresse e-mail et votre mot de passe.</w:t>
      </w:r>
    </w:p>
    <w:p>
      <w:pPr>
        <w:pStyle w:val="ListParagraph"/>
        <w:numPr>
          <w:ilvl w:val="0"/>
          <w:numId w:val="2"/>
        </w:numPr>
        <w:spacing w:after="80"/>
      </w:pPr>
      <w:r>
        <w:rPr>
          <w:sz w:val="22"/>
          <w:szCs w:val="22"/>
        </w:rPr>
        <w:t xml:space="preserve">Cliquez sur « Connexion » pour accéder à votre tableau de bord.</w:t>
      </w:r>
    </w:p>
    <w:p>
      <w:pPr>
        <w:pBdr>
          <w:left w:val="single" w:color="2E6F9E" w:sz="24"/>
        </w:pBdr>
        <w:shd w:fill="EAF1F8" w:val="clear"/>
        <w:spacing w:after="200" w:before="100"/>
        <w:ind w:left="200"/>
      </w:pPr>
      <w:r>
        <w:rPr>
          <w:b/>
          <w:bCs/>
          <w:color w:val="1B2A4A"/>
          <w:sz w:val="21"/>
          <w:szCs w:val="21"/>
        </w:rPr>
        <w:t xml:space="preserve">Astuce : </w:t>
      </w:r>
      <w:r>
        <w:rPr>
          <w:color w:val="24272B"/>
          <w:sz w:val="21"/>
          <w:szCs w:val="21"/>
        </w:rPr>
        <w:t xml:space="preserve">Si vous avez oublié votre mot de passe, utilisez le lien « Mot de passe oublié » sur la page de connexion.</w:t>
      </w:r>
    </w:p>
    <w:p>
      <w:pPr>
        <w:pStyle w:val="Heading1"/>
        <w:pBdr>
          <w:bottom w:val="single" w:color="2E6F9E" w:sz="6" w:space="4"/>
        </w:pBdr>
        <w:spacing w:after="200" w:before="400"/>
      </w:pPr>
      <w:r>
        <w:rPr>
          <w:b/>
          <w:bCs/>
          <w:color w:val="1B2A4A"/>
          <w:sz w:val="30"/>
          <w:szCs w:val="30"/>
        </w:rPr>
        <w:t xml:space="preserve">3. Le tableau de bord</w:t>
      </w:r>
    </w:p>
    <w:p>
      <w:pPr>
        <w:spacing w:after="150" w:line="300"/>
      </w:pPr>
      <w:r>
        <w:rPr>
          <w:color w:val="24272B"/>
          <w:sz w:val="22"/>
          <w:szCs w:val="22"/>
        </w:rPr>
        <w:t xml:space="preserve">Après connexion, vous arrivez sur votre tableau de bord personnel. Son contenu varie selon votre rôle :</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6606"/>
      </w:tblGrid>
      <w:tr>
        <w:trPr>
          <w:tblHeader/>
        </w:trPr>
        <w:tc>
          <w:tcPr>
            <w:tcW w:type="dxa" w:w="2600"/>
            <w:shd w:fill="1B2A4A" w:val="clear"/>
            <w:tcMar>
              <w:top w:type="dxa" w:w="80"/>
              <w:left w:type="dxa" w:w="100"/>
              <w:bottom w:type="dxa" w:w="80"/>
              <w:right w:type="dxa" w:w="100"/>
            </w:tcMar>
            <w:vAlign w:val="center"/>
          </w:tcPr>
          <w:p>
            <w:r>
              <w:rPr>
                <w:b/>
                <w:bCs/>
                <w:color w:val="FFFFFF"/>
                <w:sz w:val="20"/>
                <w:szCs w:val="20"/>
              </w:rPr>
              <w:t xml:space="preserve">Rôle</w:t>
            </w:r>
          </w:p>
        </w:tc>
        <w:tc>
          <w:tcPr>
            <w:tcW w:type="dxa" w:w="6606"/>
            <w:shd w:fill="1B2A4A" w:val="clear"/>
            <w:tcMar>
              <w:top w:type="dxa" w:w="80"/>
              <w:left w:type="dxa" w:w="100"/>
              <w:bottom w:type="dxa" w:w="80"/>
              <w:right w:type="dxa" w:w="100"/>
            </w:tcMar>
            <w:vAlign w:val="center"/>
          </w:tcPr>
          <w:p>
            <w:r>
              <w:rPr>
                <w:b/>
                <w:bCs/>
                <w:color w:val="FFFFFF"/>
                <w:sz w:val="20"/>
                <w:szCs w:val="20"/>
              </w:rPr>
              <w:t xml:space="preserve">Aperçu du tableau de bord</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Étudiant</w:t>
            </w:r>
          </w:p>
        </w:tc>
        <w:tc>
          <w:tcPr>
            <w:tcW w:type="dxa" w:w="6606"/>
            <w:tcMar>
              <w:top w:type="dxa" w:w="80"/>
              <w:left w:type="dxa" w:w="100"/>
              <w:bottom w:type="dxa" w:w="80"/>
              <w:right w:type="dxa" w:w="100"/>
            </w:tcMar>
            <w:vAlign w:val="center"/>
          </w:tcPr>
          <w:p>
            <w:r>
              <w:rPr>
                <w:b w:val="false"/>
                <w:bCs w:val="false"/>
                <w:color w:val="24272B"/>
                <w:sz w:val="20"/>
                <w:szCs w:val="20"/>
              </w:rPr>
              <w:t xml:space="preserve">Cours inscrits, dernières notes, frais à payer, messages et notifications récentes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Enseignant</w:t>
            </w:r>
          </w:p>
        </w:tc>
        <w:tc>
          <w:tcPr>
            <w:tcW w:type="dxa" w:w="6606"/>
            <w:tcMar>
              <w:top w:type="dxa" w:w="80"/>
              <w:left w:type="dxa" w:w="100"/>
              <w:bottom w:type="dxa" w:w="80"/>
              <w:right w:type="dxa" w:w="100"/>
            </w:tcMar>
            <w:vAlign w:val="center"/>
          </w:tcPr>
          <w:p>
            <w:r>
              <w:rPr>
                <w:b w:val="false"/>
                <w:bCs w:val="false"/>
                <w:color w:val="24272B"/>
                <w:sz w:val="20"/>
                <w:szCs w:val="20"/>
              </w:rPr>
              <w:t xml:space="preserve">Cours enseignés, évaluations à corriger, messages des étudiants</w:t>
            </w:r>
          </w:p>
        </w:tc>
      </w:tr>
      <w:tr>
        <w:tc>
          <w:tcPr>
            <w:tcW w:type="dxa" w:w="2600"/>
            <w:tcMar>
              <w:top w:type="dxa" w:w="80"/>
              <w:left w:type="dxa" w:w="100"/>
              <w:bottom w:type="dxa" w:w="80"/>
              <w:right w:type="dxa" w:w="100"/>
            </w:tcMar>
            <w:vAlign w:val="center"/>
          </w:tcPr>
          <w:p>
            <w:r>
              <w:rPr>
                <w:b w:val="false"/>
                <w:bCs w:val="false"/>
                <w:color w:val="24272B"/>
                <w:sz w:val="20"/>
                <w:szCs w:val="20"/>
              </w:rPr>
              <w:t xml:space="preserve">Administrateur</w:t>
            </w:r>
          </w:p>
        </w:tc>
        <w:tc>
          <w:tcPr>
            <w:tcW w:type="dxa" w:w="6606"/>
            <w:tcMar>
              <w:top w:type="dxa" w:w="80"/>
              <w:left w:type="dxa" w:w="100"/>
              <w:bottom w:type="dxa" w:w="80"/>
              <w:right w:type="dxa" w:w="100"/>
            </w:tcMar>
            <w:vAlign w:val="center"/>
          </w:tcPr>
          <w:p>
            <w:r>
              <w:rPr>
                <w:b w:val="false"/>
                <w:bCs w:val="false"/>
                <w:color w:val="24272B"/>
                <w:sz w:val="20"/>
                <w:szCs w:val="20"/>
              </w:rPr>
              <w:t xml:space="preserve">Vue d'ensemble des programmes, statistiques des paiements, gestion des comptes</w:t>
            </w:r>
          </w:p>
        </w:tc>
      </w:tr>
    </w:tbl>
    <w:p>
      <w:pPr>
        <w:pStyle w:val="Heading1"/>
        <w:pBdr>
          <w:bottom w:val="single" w:color="2E6F9E" w:sz="6" w:space="4"/>
        </w:pBdr>
        <w:spacing w:after="200" w:before="400"/>
      </w:pPr>
      <w:r>
        <w:rPr>
          <w:b/>
          <w:bCs/>
          <w:color w:val="1B2A4A"/>
          <w:sz w:val="30"/>
          <w:szCs w:val="30"/>
        </w:rPr>
        <w:t xml:space="preserve">4. Module Cours et programmes académiques</w:t>
      </w:r>
    </w:p>
    <w:p>
      <w:pPr>
        <w:pStyle w:val="Heading2"/>
        <w:spacing w:after="150" w:before="300"/>
      </w:pPr>
      <w:r>
        <w:rPr>
          <w:b/>
          <w:bCs/>
          <w:color w:val="2E6F9E"/>
          <w:sz w:val="24"/>
          <w:szCs w:val="24"/>
        </w:rPr>
        <w:t xml:space="preserve">4.1 Consulter les cours</w:t>
      </w:r>
    </w:p>
    <w:p>
      <w:pPr>
        <w:pStyle w:val="ListParagraph"/>
        <w:numPr>
          <w:ilvl w:val="0"/>
          <w:numId w:val="3"/>
        </w:numPr>
        <w:spacing w:after="80"/>
      </w:pPr>
      <w:r>
        <w:rPr>
          <w:sz w:val="22"/>
          <w:szCs w:val="22"/>
        </w:rPr>
        <w:t xml:space="preserve">Dans le menu principal, cliquez sur « Cours ».</w:t>
      </w:r>
    </w:p>
    <w:p>
      <w:pPr>
        <w:pStyle w:val="ListParagraph"/>
        <w:numPr>
          <w:ilvl w:val="0"/>
          <w:numId w:val="3"/>
        </w:numPr>
        <w:spacing w:after="80"/>
      </w:pPr>
      <w:r>
        <w:rPr>
          <w:sz w:val="22"/>
          <w:szCs w:val="22"/>
        </w:rPr>
        <w:t xml:space="preserve">Parcourez la liste des cours disponibles pour votre programme.</w:t>
      </w:r>
    </w:p>
    <w:p>
      <w:pPr>
        <w:pStyle w:val="ListParagraph"/>
        <w:numPr>
          <w:ilvl w:val="0"/>
          <w:numId w:val="3"/>
        </w:numPr>
        <w:spacing w:after="80"/>
      </w:pPr>
      <w:r>
        <w:rPr>
          <w:sz w:val="22"/>
          <w:szCs w:val="22"/>
        </w:rPr>
        <w:t xml:space="preserve">Cliquez sur un cours pour voir sa description, l'enseignant responsable, les crédits et le semestre.</w:t>
      </w:r>
    </w:p>
    <w:p>
      <w:pPr>
        <w:pStyle w:val="Heading2"/>
        <w:spacing w:after="150" w:before="300"/>
      </w:pPr>
      <w:r>
        <w:rPr>
          <w:b/>
          <w:bCs/>
          <w:color w:val="2E6F9E"/>
          <w:sz w:val="24"/>
          <w:szCs w:val="24"/>
        </w:rPr>
        <w:t xml:space="preserve">4.2 Pour les enseignants et administrateurs</w:t>
      </w:r>
    </w:p>
    <w:p>
      <w:pPr>
        <w:pStyle w:val="ListParagraph"/>
        <w:numPr>
          <w:ilvl w:val="0"/>
          <w:numId w:val="4"/>
        </w:numPr>
        <w:spacing w:after="80"/>
      </w:pPr>
      <w:r>
        <w:rPr>
          <w:sz w:val="22"/>
          <w:szCs w:val="22"/>
        </w:rPr>
        <w:t xml:space="preserve">Créer un nouveau cours et l'associer à un programme académique.</w:t>
      </w:r>
    </w:p>
    <w:p>
      <w:pPr>
        <w:pStyle w:val="ListParagraph"/>
        <w:numPr>
          <w:ilvl w:val="0"/>
          <w:numId w:val="4"/>
        </w:numPr>
        <w:spacing w:after="80"/>
      </w:pPr>
      <w:r>
        <w:rPr>
          <w:sz w:val="22"/>
          <w:szCs w:val="22"/>
        </w:rPr>
        <w:t xml:space="preserve">Modifier les informations d'un cours existant (intitulé, crédits, semestre).</w:t>
      </w:r>
    </w:p>
    <w:p>
      <w:pPr>
        <w:pStyle w:val="ListParagraph"/>
        <w:numPr>
          <w:ilvl w:val="0"/>
          <w:numId w:val="4"/>
        </w:numPr>
        <w:spacing w:after="80"/>
      </w:pPr>
      <w:r>
        <w:rPr>
          <w:sz w:val="22"/>
          <w:szCs w:val="22"/>
        </w:rPr>
        <w:t xml:space="preserve">Consulter la liste des étudiants inscrits à un cours.</w:t>
      </w:r>
    </w:p>
    <w:p>
      <w:pPr>
        <w:pStyle w:val="Heading1"/>
        <w:pBdr>
          <w:bottom w:val="single" w:color="2E6F9E" w:sz="6" w:space="4"/>
        </w:pBdr>
        <w:spacing w:after="200" w:before="400"/>
      </w:pPr>
      <w:r>
        <w:rPr>
          <w:b/>
          <w:bCs/>
          <w:color w:val="1B2A4A"/>
          <w:sz w:val="30"/>
          <w:szCs w:val="30"/>
        </w:rPr>
        <w:t xml:space="preserve">5. Module Notes et évaluations</w:t>
      </w:r>
    </w:p>
    <w:p>
      <w:pPr>
        <w:pStyle w:val="Heading2"/>
        <w:spacing w:after="150" w:before="300"/>
      </w:pPr>
      <w:r>
        <w:rPr>
          <w:b/>
          <w:bCs/>
          <w:color w:val="2E6F9E"/>
          <w:sz w:val="24"/>
          <w:szCs w:val="24"/>
        </w:rPr>
        <w:t xml:space="preserve">5.1 Pour les étudiants</w:t>
      </w:r>
    </w:p>
    <w:p>
      <w:pPr>
        <w:pStyle w:val="ListParagraph"/>
        <w:numPr>
          <w:ilvl w:val="0"/>
          <w:numId w:val="5"/>
        </w:numPr>
        <w:spacing w:after="80"/>
      </w:pPr>
      <w:r>
        <w:rPr>
          <w:sz w:val="22"/>
          <w:szCs w:val="22"/>
        </w:rPr>
        <w:t xml:space="preserve">Cliquez sur « Notes » dans le menu principal.</w:t>
      </w:r>
    </w:p>
    <w:p>
      <w:pPr>
        <w:pStyle w:val="ListParagraph"/>
        <w:numPr>
          <w:ilvl w:val="0"/>
          <w:numId w:val="5"/>
        </w:numPr>
        <w:spacing w:after="80"/>
      </w:pPr>
      <w:r>
        <w:rPr>
          <w:sz w:val="22"/>
          <w:szCs w:val="22"/>
        </w:rPr>
        <w:t xml:space="preserve">Sélectionnez le cours souhaité pour afficher le détail de vos évaluations.</w:t>
      </w:r>
    </w:p>
    <w:p>
      <w:pPr>
        <w:pStyle w:val="ListParagraph"/>
        <w:numPr>
          <w:ilvl w:val="0"/>
          <w:numId w:val="5"/>
        </w:numPr>
        <w:spacing w:after="80"/>
      </w:pPr>
      <w:r>
        <w:rPr>
          <w:sz w:val="22"/>
          <w:szCs w:val="22"/>
        </w:rPr>
        <w:t xml:space="preserve">Consultez votre note pour chaque évaluation ainsi que votre moyenne du cours.</w:t>
      </w:r>
    </w:p>
    <w:p>
      <w:pPr>
        <w:pStyle w:val="Heading2"/>
        <w:spacing w:after="150" w:before="300"/>
      </w:pPr>
      <w:r>
        <w:rPr>
          <w:b/>
          <w:bCs/>
          <w:color w:val="2E6F9E"/>
          <w:sz w:val="24"/>
          <w:szCs w:val="24"/>
        </w:rPr>
        <w:t xml:space="preserve">5.2 Pour les enseignants</w:t>
      </w:r>
    </w:p>
    <w:p>
      <w:pPr>
        <w:pStyle w:val="ListParagraph"/>
        <w:numPr>
          <w:ilvl w:val="0"/>
          <w:numId w:val="6"/>
        </w:numPr>
        <w:spacing w:after="80"/>
      </w:pPr>
      <w:r>
        <w:rPr>
          <w:sz w:val="22"/>
          <w:szCs w:val="22"/>
        </w:rPr>
        <w:t xml:space="preserve">Accédez à « Évaluations » puis sélectionnez un cours.</w:t>
      </w:r>
    </w:p>
    <w:p>
      <w:pPr>
        <w:pStyle w:val="ListParagraph"/>
        <w:numPr>
          <w:ilvl w:val="0"/>
          <w:numId w:val="6"/>
        </w:numPr>
        <w:spacing w:after="80"/>
      </w:pPr>
      <w:r>
        <w:rPr>
          <w:sz w:val="22"/>
          <w:szCs w:val="22"/>
        </w:rPr>
        <w:t xml:space="preserve">Créez une évaluation (examen, devoir, contrôle) en précisant sa date et son coefficient.</w:t>
      </w:r>
    </w:p>
    <w:p>
      <w:pPr>
        <w:pStyle w:val="ListParagraph"/>
        <w:numPr>
          <w:ilvl w:val="0"/>
          <w:numId w:val="6"/>
        </w:numPr>
        <w:spacing w:after="80"/>
      </w:pPr>
      <w:r>
        <w:rPr>
          <w:sz w:val="22"/>
          <w:szCs w:val="22"/>
        </w:rPr>
        <w:t xml:space="preserve">Saisissez les notes des étudiants une fois l'évaluation corrigée.</w:t>
      </w:r>
    </w:p>
    <w:p>
      <w:pPr>
        <w:pBdr>
          <w:left w:val="single" w:color="2E6F9E" w:sz="24"/>
        </w:pBdr>
        <w:shd w:fill="EAF1F8" w:val="clear"/>
        <w:spacing w:after="200" w:before="100"/>
        <w:ind w:left="200"/>
      </w:pPr>
      <w:r>
        <w:rPr>
          <w:b/>
          <w:bCs/>
          <w:color w:val="1B2A4A"/>
          <w:sz w:val="21"/>
          <w:szCs w:val="21"/>
        </w:rPr>
        <w:t xml:space="preserve">Astuce : </w:t>
      </w:r>
      <w:r>
        <w:rPr>
          <w:color w:val="24272B"/>
          <w:sz w:val="21"/>
          <w:szCs w:val="21"/>
        </w:rPr>
        <w:t xml:space="preserve">Vérifiez toujours les notes saisies avant de valider, car les étudiants y ont accès immédiatement après enregistrement.</w:t>
      </w:r>
    </w:p>
    <w:p>
      <w:pPr>
        <w:pStyle w:val="Heading1"/>
        <w:pBdr>
          <w:bottom w:val="single" w:color="2E6F9E" w:sz="6" w:space="4"/>
        </w:pBdr>
        <w:spacing w:after="200" w:before="400"/>
      </w:pPr>
      <w:r>
        <w:rPr>
          <w:b/>
          <w:bCs/>
          <w:color w:val="1B2A4A"/>
          <w:sz w:val="30"/>
          <w:szCs w:val="30"/>
        </w:rPr>
        <w:t xml:space="preserve">6. Module Paiement des frais académiques (MonCash)</w:t>
      </w:r>
    </w:p>
    <w:p>
      <w:pPr>
        <w:pStyle w:val="Heading2"/>
        <w:spacing w:after="150" w:before="300"/>
      </w:pPr>
      <w:r>
        <w:rPr>
          <w:b/>
          <w:bCs/>
          <w:color w:val="2E6F9E"/>
          <w:sz w:val="24"/>
          <w:szCs w:val="24"/>
        </w:rPr>
        <w:t xml:space="preserve">6.1 Consulter ses frais</w:t>
      </w:r>
    </w:p>
    <w:p>
      <w:pPr>
        <w:pStyle w:val="ListParagraph"/>
        <w:numPr>
          <w:ilvl w:val="0"/>
          <w:numId w:val="7"/>
        </w:numPr>
        <w:spacing w:after="80"/>
      </w:pPr>
      <w:r>
        <w:rPr>
          <w:sz w:val="22"/>
          <w:szCs w:val="22"/>
        </w:rPr>
        <w:t xml:space="preserve">Cliquez sur « Paiements » dans le menu principal.</w:t>
      </w:r>
    </w:p>
    <w:p>
      <w:pPr>
        <w:pStyle w:val="ListParagraph"/>
        <w:numPr>
          <w:ilvl w:val="0"/>
          <w:numId w:val="7"/>
        </w:numPr>
        <w:spacing w:after="80"/>
      </w:pPr>
      <w:r>
        <w:rPr>
          <w:sz w:val="22"/>
          <w:szCs w:val="22"/>
        </w:rPr>
        <w:t xml:space="preserve">La liste de vos frais académiques s'affiche avec le montant dû et la date d'échéance.</w:t>
      </w:r>
    </w:p>
    <w:p>
      <w:pPr>
        <w:pStyle w:val="Heading2"/>
        <w:spacing w:after="150" w:before="300"/>
      </w:pPr>
      <w:r>
        <w:rPr>
          <w:b/>
          <w:bCs/>
          <w:color w:val="2E6F9E"/>
          <w:sz w:val="24"/>
          <w:szCs w:val="24"/>
        </w:rPr>
        <w:t xml:space="preserve">6.2 Payer un frais avec MonCash</w:t>
      </w:r>
    </w:p>
    <w:p>
      <w:pPr>
        <w:pStyle w:val="ListParagraph"/>
        <w:numPr>
          <w:ilvl w:val="0"/>
          <w:numId w:val="8"/>
        </w:numPr>
        <w:spacing w:after="80"/>
      </w:pPr>
      <w:r>
        <w:rPr>
          <w:sz w:val="22"/>
          <w:szCs w:val="22"/>
        </w:rPr>
        <w:t xml:space="preserve">Sélectionnez le frais que vous souhaitez régler.</w:t>
      </w:r>
    </w:p>
    <w:p>
      <w:pPr>
        <w:pStyle w:val="ListParagraph"/>
        <w:numPr>
          <w:ilvl w:val="0"/>
          <w:numId w:val="8"/>
        </w:numPr>
        <w:spacing w:after="80"/>
      </w:pPr>
      <w:r>
        <w:rPr>
          <w:sz w:val="22"/>
          <w:szCs w:val="22"/>
        </w:rPr>
        <w:t xml:space="preserve">Cliquez sur « Payer avec MonCash ».</w:t>
      </w:r>
    </w:p>
    <w:p>
      <w:pPr>
        <w:pStyle w:val="ListParagraph"/>
        <w:numPr>
          <w:ilvl w:val="0"/>
          <w:numId w:val="8"/>
        </w:numPr>
        <w:spacing w:after="80"/>
      </w:pPr>
      <w:r>
        <w:rPr>
          <w:sz w:val="22"/>
          <w:szCs w:val="22"/>
        </w:rPr>
        <w:t xml:space="preserve">Vous êtes redirigé vers la page de paiement MonCash : confirmez le paiement avec votre numéro MonCash et votre code.</w:t>
      </w:r>
    </w:p>
    <w:p>
      <w:pPr>
        <w:pStyle w:val="ListParagraph"/>
        <w:numPr>
          <w:ilvl w:val="0"/>
          <w:numId w:val="8"/>
        </w:numPr>
        <w:spacing w:after="80"/>
      </w:pPr>
      <w:r>
        <w:rPr>
          <w:sz w:val="22"/>
          <w:szCs w:val="22"/>
        </w:rPr>
        <w:t xml:space="preserve">Une fois le paiement confirmé, vous êtes redirigé vers E-UNI et le statut du frais passe à « Payé ».</w:t>
      </w:r>
    </w:p>
    <w:p>
      <w:pPr>
        <w:pBdr>
          <w:left w:val="single" w:color="2E6F9E" w:sz="24"/>
        </w:pBdr>
        <w:shd w:fill="EAF1F8" w:val="clear"/>
        <w:spacing w:after="200" w:before="100"/>
        <w:ind w:left="200"/>
      </w:pPr>
      <w:r>
        <w:rPr>
          <w:b/>
          <w:bCs/>
          <w:color w:val="1B2A4A"/>
          <w:sz w:val="21"/>
          <w:szCs w:val="21"/>
        </w:rPr>
        <w:t xml:space="preserve">Astuce : </w:t>
      </w:r>
      <w:r>
        <w:rPr>
          <w:color w:val="24272B"/>
          <w:sz w:val="21"/>
          <w:szCs w:val="21"/>
        </w:rPr>
        <w:t xml:space="preserve">Conservez la référence de transaction MonCash affichée après paiement ; elle sert de preuve en cas de besoin de support.</w:t>
      </w:r>
    </w:p>
    <w:p>
      <w:pPr>
        <w:pStyle w:val="Heading1"/>
        <w:pBdr>
          <w:bottom w:val="single" w:color="2E6F9E" w:sz="6" w:space="4"/>
        </w:pBdr>
        <w:spacing w:after="200" w:before="400"/>
      </w:pPr>
      <w:r>
        <w:rPr>
          <w:b/>
          <w:bCs/>
          <w:color w:val="1B2A4A"/>
          <w:sz w:val="30"/>
          <w:szCs w:val="30"/>
        </w:rPr>
        <w:t xml:space="preserve">7. Module Communication</w:t>
      </w:r>
    </w:p>
    <w:p>
      <w:pPr>
        <w:pStyle w:val="Heading2"/>
        <w:spacing w:after="150" w:before="300"/>
      </w:pPr>
      <w:r>
        <w:rPr>
          <w:b/>
          <w:bCs/>
          <w:color w:val="2E6F9E"/>
          <w:sz w:val="24"/>
          <w:szCs w:val="24"/>
        </w:rPr>
        <w:t xml:space="preserve">7.1 Messagerie</w:t>
      </w:r>
    </w:p>
    <w:p>
      <w:pPr>
        <w:pStyle w:val="ListParagraph"/>
        <w:numPr>
          <w:ilvl w:val="0"/>
          <w:numId w:val="9"/>
        </w:numPr>
        <w:spacing w:after="80"/>
      </w:pPr>
      <w:r>
        <w:rPr>
          <w:sz w:val="22"/>
          <w:szCs w:val="22"/>
        </w:rPr>
        <w:t xml:space="preserve">Cliquez sur « Messages » dans le menu principal.</w:t>
      </w:r>
    </w:p>
    <w:p>
      <w:pPr>
        <w:pStyle w:val="ListParagraph"/>
        <w:numPr>
          <w:ilvl w:val="0"/>
          <w:numId w:val="9"/>
        </w:numPr>
        <w:spacing w:after="80"/>
      </w:pPr>
      <w:r>
        <w:rPr>
          <w:sz w:val="22"/>
          <w:szCs w:val="22"/>
        </w:rPr>
        <w:t xml:space="preserve">Cliquez sur « Nouveau message », choisissez le destinataire (enseignant, étudiant ou administration) et rédigez votre message.</w:t>
      </w:r>
    </w:p>
    <w:p>
      <w:pPr>
        <w:pStyle w:val="ListParagraph"/>
        <w:numPr>
          <w:ilvl w:val="0"/>
          <w:numId w:val="9"/>
        </w:numPr>
        <w:spacing w:after="80"/>
      </w:pPr>
      <w:r>
        <w:rPr>
          <w:sz w:val="22"/>
          <w:szCs w:val="22"/>
        </w:rPr>
        <w:t xml:space="preserve">Consultez vos conversations précédentes dans la liste de gauche.</w:t>
      </w:r>
    </w:p>
    <w:p>
      <w:pPr>
        <w:pStyle w:val="Heading2"/>
        <w:spacing w:after="150" w:before="300"/>
      </w:pPr>
      <w:r>
        <w:rPr>
          <w:b/>
          <w:bCs/>
          <w:color w:val="2E6F9E"/>
          <w:sz w:val="24"/>
          <w:szCs w:val="24"/>
        </w:rPr>
        <w:t xml:space="preserve">7.2 Notifications</w:t>
      </w:r>
    </w:p>
    <w:p>
      <w:pPr>
        <w:spacing w:after="150" w:line="300"/>
      </w:pPr>
      <w:r>
        <w:rPr>
          <w:color w:val="24272B"/>
          <w:sz w:val="22"/>
          <w:szCs w:val="22"/>
        </w:rPr>
        <w:t xml:space="preserve">L'icône de notification (cloche) en haut de l'écran vous signale les nouveautés : nouvelles notes, échéances de paiement, messages non lus ou annonces de l'administration.</w:t>
      </w:r>
    </w:p>
    <w:p>
      <w:pPr>
        <w:pStyle w:val="Heading1"/>
        <w:pBdr>
          <w:bottom w:val="single" w:color="2E6F9E" w:sz="6" w:space="4"/>
        </w:pBdr>
        <w:spacing w:after="200" w:before="400"/>
      </w:pPr>
      <w:r>
        <w:rPr>
          <w:b/>
          <w:bCs/>
          <w:color w:val="1B2A4A"/>
          <w:sz w:val="30"/>
          <w:szCs w:val="30"/>
        </w:rPr>
        <w:t xml:space="preserve">8. Module Bibliothèque / Ressources numériques</w:t>
      </w:r>
    </w:p>
    <w:p>
      <w:pPr>
        <w:pStyle w:val="ListParagraph"/>
        <w:numPr>
          <w:ilvl w:val="0"/>
          <w:numId w:val="10"/>
        </w:numPr>
        <w:spacing w:after="80"/>
      </w:pPr>
      <w:r>
        <w:rPr>
          <w:sz w:val="22"/>
          <w:szCs w:val="22"/>
        </w:rPr>
        <w:t xml:space="preserve">Cliquez sur « Bibliothèque » dans le menu principal.</w:t>
      </w:r>
    </w:p>
    <w:p>
      <w:pPr>
        <w:pStyle w:val="ListParagraph"/>
        <w:numPr>
          <w:ilvl w:val="0"/>
          <w:numId w:val="10"/>
        </w:numPr>
        <w:spacing w:after="80"/>
      </w:pPr>
      <w:r>
        <w:rPr>
          <w:sz w:val="22"/>
          <w:szCs w:val="22"/>
        </w:rPr>
        <w:t xml:space="preserve">Recherchez une ressource par cours, par mot-clé ou par catégorie.</w:t>
      </w:r>
    </w:p>
    <w:p>
      <w:pPr>
        <w:pStyle w:val="ListParagraph"/>
        <w:numPr>
          <w:ilvl w:val="0"/>
          <w:numId w:val="10"/>
        </w:numPr>
        <w:spacing w:after="80"/>
      </w:pPr>
      <w:r>
        <w:rPr>
          <w:sz w:val="22"/>
          <w:szCs w:val="22"/>
        </w:rPr>
        <w:t xml:space="preserve">Cliquez sur une ressource pour la consulter ou la télécharger.</w:t>
      </w:r>
    </w:p>
    <w:p>
      <w:pPr>
        <w:pBdr>
          <w:left w:val="single" w:color="2E6F9E" w:sz="24"/>
        </w:pBdr>
        <w:shd w:fill="EAF1F8" w:val="clear"/>
        <w:spacing w:after="200" w:before="100"/>
        <w:ind w:left="200"/>
      </w:pPr>
      <w:r>
        <w:rPr>
          <w:b/>
          <w:bCs/>
          <w:color w:val="1B2A4A"/>
          <w:sz w:val="21"/>
          <w:szCs w:val="21"/>
        </w:rPr>
        <w:t xml:space="preserve">Astuce : </w:t>
      </w:r>
      <w:r>
        <w:rPr>
          <w:color w:val="24272B"/>
          <w:sz w:val="21"/>
          <w:szCs w:val="21"/>
        </w:rPr>
        <w:t xml:space="preserve">Les enseignants peuvent ajouter des ressources directement depuis la page de leur cours.</w:t>
      </w:r>
    </w:p>
    <w:p>
      <w:pPr>
        <w:pStyle w:val="Heading1"/>
        <w:pBdr>
          <w:bottom w:val="single" w:color="2E6F9E" w:sz="6" w:space="4"/>
        </w:pBdr>
        <w:spacing w:after="200" w:before="400"/>
      </w:pPr>
      <w:r>
        <w:rPr>
          <w:b/>
          <w:bCs/>
          <w:color w:val="1B2A4A"/>
          <w:sz w:val="30"/>
          <w:szCs w:val="30"/>
        </w:rPr>
        <w:t xml:space="preserve">9. Foire aux questions (FAQ)</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600"/>
        <w:gridCol w:w="5606"/>
      </w:tblGrid>
      <w:tr>
        <w:trPr>
          <w:tblHeader/>
        </w:trPr>
        <w:tc>
          <w:tcPr>
            <w:tcW w:type="dxa" w:w="3600"/>
            <w:shd w:fill="1B2A4A" w:val="clear"/>
            <w:tcMar>
              <w:top w:type="dxa" w:w="80"/>
              <w:left w:type="dxa" w:w="100"/>
              <w:bottom w:type="dxa" w:w="80"/>
              <w:right w:type="dxa" w:w="100"/>
            </w:tcMar>
            <w:vAlign w:val="center"/>
          </w:tcPr>
          <w:p>
            <w:r>
              <w:rPr>
                <w:b/>
                <w:bCs/>
                <w:color w:val="FFFFFF"/>
                <w:sz w:val="20"/>
                <w:szCs w:val="20"/>
              </w:rPr>
              <w:t xml:space="preserve">Question</w:t>
            </w:r>
          </w:p>
        </w:tc>
        <w:tc>
          <w:tcPr>
            <w:tcW w:type="dxa" w:w="5606"/>
            <w:shd w:fill="1B2A4A" w:val="clear"/>
            <w:tcMar>
              <w:top w:type="dxa" w:w="80"/>
              <w:left w:type="dxa" w:w="100"/>
              <w:bottom w:type="dxa" w:w="80"/>
              <w:right w:type="dxa" w:w="100"/>
            </w:tcMar>
            <w:vAlign w:val="center"/>
          </w:tcPr>
          <w:p>
            <w:r>
              <w:rPr>
                <w:b/>
                <w:bCs/>
                <w:color w:val="FFFFFF"/>
                <w:sz w:val="20"/>
                <w:szCs w:val="20"/>
              </w:rPr>
              <w:t xml:space="preserve">Réponse</w:t>
            </w:r>
          </w:p>
        </w:tc>
      </w:tr>
      <w:tr>
        <w:tc>
          <w:tcPr>
            <w:tcW w:type="dxa" w:w="3600"/>
            <w:tcMar>
              <w:top w:type="dxa" w:w="80"/>
              <w:left w:type="dxa" w:w="100"/>
              <w:bottom w:type="dxa" w:w="80"/>
              <w:right w:type="dxa" w:w="100"/>
            </w:tcMar>
            <w:vAlign w:val="center"/>
          </w:tcPr>
          <w:p>
            <w:r>
              <w:rPr>
                <w:b w:val="false"/>
                <w:bCs w:val="false"/>
                <w:color w:val="24272B"/>
                <w:sz w:val="20"/>
                <w:szCs w:val="20"/>
              </w:rPr>
              <w:t xml:space="preserve">Je n'arrive pas à me connecter.</w:t>
            </w:r>
          </w:p>
        </w:tc>
        <w:tc>
          <w:tcPr>
            <w:tcW w:type="dxa" w:w="5606"/>
            <w:tcMar>
              <w:top w:type="dxa" w:w="80"/>
              <w:left w:type="dxa" w:w="100"/>
              <w:bottom w:type="dxa" w:w="80"/>
              <w:right w:type="dxa" w:w="100"/>
            </w:tcMar>
            <w:vAlign w:val="center"/>
          </w:tcPr>
          <w:p>
            <w:r>
              <w:rPr>
                <w:b w:val="false"/>
                <w:bCs w:val="false"/>
                <w:color w:val="24272B"/>
                <w:sz w:val="20"/>
                <w:szCs w:val="20"/>
              </w:rPr>
              <w:t xml:space="preserve">Vérifiez votre e-mail et votre mot de passe, ou utilisez « Mot de passe oublié ». Si le problème persiste, contactez le support.</w:t>
            </w:r>
          </w:p>
        </w:tc>
      </w:tr>
      <w:tr>
        <w:tc>
          <w:tcPr>
            <w:tcW w:type="dxa" w:w="3600"/>
            <w:tcMar>
              <w:top w:type="dxa" w:w="80"/>
              <w:left w:type="dxa" w:w="100"/>
              <w:bottom w:type="dxa" w:w="80"/>
              <w:right w:type="dxa" w:w="100"/>
            </w:tcMar>
            <w:vAlign w:val="center"/>
          </w:tcPr>
          <w:p>
            <w:r>
              <w:rPr>
                <w:b w:val="false"/>
                <w:bCs w:val="false"/>
                <w:color w:val="24272B"/>
                <w:sz w:val="20"/>
                <w:szCs w:val="20"/>
              </w:rPr>
              <w:t xml:space="preserve">Mon paiement MonCash n'apparaît pas comme confirmé.</w:t>
            </w:r>
          </w:p>
        </w:tc>
        <w:tc>
          <w:tcPr>
            <w:tcW w:type="dxa" w:w="5606"/>
            <w:tcMar>
              <w:top w:type="dxa" w:w="80"/>
              <w:left w:type="dxa" w:w="100"/>
              <w:bottom w:type="dxa" w:w="80"/>
              <w:right w:type="dxa" w:w="100"/>
            </w:tcMar>
            <w:vAlign w:val="center"/>
          </w:tcPr>
          <w:p>
            <w:r>
              <w:rPr>
                <w:b w:val="false"/>
                <w:bCs w:val="false"/>
                <w:color w:val="24272B"/>
                <w:sz w:val="20"/>
                <w:szCs w:val="20"/>
              </w:rPr>
              <w:t xml:space="preserve">Attendez quelques minutes ; en cas de blocage prolongé, contactez le support avec la référence de la transaction.</w:t>
            </w:r>
          </w:p>
        </w:tc>
      </w:tr>
      <w:tr>
        <w:tc>
          <w:tcPr>
            <w:tcW w:type="dxa" w:w="3600"/>
            <w:tcMar>
              <w:top w:type="dxa" w:w="80"/>
              <w:left w:type="dxa" w:w="100"/>
              <w:bottom w:type="dxa" w:w="80"/>
              <w:right w:type="dxa" w:w="100"/>
            </w:tcMar>
            <w:vAlign w:val="center"/>
          </w:tcPr>
          <w:p>
            <w:r>
              <w:rPr>
                <w:b w:val="false"/>
                <w:bCs w:val="false"/>
                <w:color w:val="24272B"/>
                <w:sz w:val="20"/>
                <w:szCs w:val="20"/>
              </w:rPr>
              <w:t xml:space="preserve">Je ne vois pas un cours auquel je suis inscrit.</w:t>
            </w:r>
          </w:p>
        </w:tc>
        <w:tc>
          <w:tcPr>
            <w:tcW w:type="dxa" w:w="5606"/>
            <w:tcMar>
              <w:top w:type="dxa" w:w="80"/>
              <w:left w:type="dxa" w:w="100"/>
              <w:bottom w:type="dxa" w:w="80"/>
              <w:right w:type="dxa" w:w="100"/>
            </w:tcMar>
            <w:vAlign w:val="center"/>
          </w:tcPr>
          <w:p>
            <w:r>
              <w:rPr>
                <w:b w:val="false"/>
                <w:bCs w:val="false"/>
                <w:color w:val="24272B"/>
                <w:sz w:val="20"/>
                <w:szCs w:val="20"/>
              </w:rPr>
              <w:t xml:space="preserve">Contactez l'administration : votre inscription doit être validée dans le système.</w:t>
            </w:r>
          </w:p>
        </w:tc>
      </w:tr>
      <w:tr>
        <w:tc>
          <w:tcPr>
            <w:tcW w:type="dxa" w:w="3600"/>
            <w:tcMar>
              <w:top w:type="dxa" w:w="80"/>
              <w:left w:type="dxa" w:w="100"/>
              <w:bottom w:type="dxa" w:w="80"/>
              <w:right w:type="dxa" w:w="100"/>
            </w:tcMar>
            <w:vAlign w:val="center"/>
          </w:tcPr>
          <w:p>
            <w:r>
              <w:rPr>
                <w:b w:val="false"/>
                <w:bCs w:val="false"/>
                <w:color w:val="24272B"/>
                <w:sz w:val="20"/>
                <w:szCs w:val="20"/>
              </w:rPr>
              <w:t xml:space="preserve">Comment changer mon mot de passe ?</w:t>
            </w:r>
          </w:p>
        </w:tc>
        <w:tc>
          <w:tcPr>
            <w:tcW w:type="dxa" w:w="5606"/>
            <w:tcMar>
              <w:top w:type="dxa" w:w="80"/>
              <w:left w:type="dxa" w:w="100"/>
              <w:bottom w:type="dxa" w:w="80"/>
              <w:right w:type="dxa" w:w="100"/>
            </w:tcMar>
            <w:vAlign w:val="center"/>
          </w:tcPr>
          <w:p>
            <w:r>
              <w:rPr>
                <w:b w:val="false"/>
                <w:bCs w:val="false"/>
                <w:color w:val="24272B"/>
                <w:sz w:val="20"/>
                <w:szCs w:val="20"/>
              </w:rPr>
              <w:t xml:space="preserve">Rendez-vous dans « Profil » puis « Sécurité » et choisissez « Modifier le mot de passe ».</w:t>
            </w:r>
          </w:p>
        </w:tc>
      </w:tr>
    </w:tbl>
    <w:p>
      <w:pPr>
        <w:pStyle w:val="Heading1"/>
        <w:pBdr>
          <w:bottom w:val="single" w:color="2E6F9E" w:sz="6" w:space="4"/>
        </w:pBdr>
        <w:spacing w:after="200" w:before="400"/>
      </w:pPr>
      <w:r>
        <w:rPr>
          <w:b/>
          <w:bCs/>
          <w:color w:val="1B2A4A"/>
          <w:sz w:val="30"/>
          <w:szCs w:val="30"/>
        </w:rPr>
        <w:t xml:space="preserve">10. Support technique</w:t>
      </w:r>
    </w:p>
    <w:p>
      <w:pPr>
        <w:spacing w:after="150" w:line="300"/>
      </w:pPr>
      <w:r>
        <w:rPr>
          <w:color w:val="24272B"/>
          <w:sz w:val="22"/>
          <w:szCs w:val="22"/>
        </w:rPr>
        <w:t xml:space="preserve">Pour toute difficulté rencontrée sur la plateforme E-UNI, contactez l'équipe technique de votre institution ou l'équipe Infinity Code en précisant :</w:t>
      </w:r>
    </w:p>
    <w:p>
      <w:pPr>
        <w:pStyle w:val="ListParagraph"/>
        <w:numPr>
          <w:ilvl w:val="0"/>
          <w:numId w:val="4"/>
        </w:numPr>
        <w:spacing w:after="80"/>
      </w:pPr>
      <w:r>
        <w:rPr>
          <w:sz w:val="22"/>
          <w:szCs w:val="22"/>
        </w:rPr>
        <w:t xml:space="preserve">Votre nom complet et votre rôle (étudiant, enseignant, administrateur).</w:t>
      </w:r>
    </w:p>
    <w:p>
      <w:pPr>
        <w:pStyle w:val="ListParagraph"/>
        <w:numPr>
          <w:ilvl w:val="0"/>
          <w:numId w:val="4"/>
        </w:numPr>
        <w:spacing w:after="80"/>
      </w:pPr>
      <w:r>
        <w:rPr>
          <w:sz w:val="22"/>
          <w:szCs w:val="22"/>
        </w:rPr>
        <w:t xml:space="preserve">Une description précise du problème rencontré.</w:t>
      </w:r>
    </w:p>
    <w:p>
      <w:pPr>
        <w:pStyle w:val="ListParagraph"/>
        <w:numPr>
          <w:ilvl w:val="0"/>
          <w:numId w:val="4"/>
        </w:numPr>
        <w:spacing w:after="80"/>
      </w:pPr>
      <w:r>
        <w:rPr>
          <w:sz w:val="22"/>
          <w:szCs w:val="22"/>
        </w:rPr>
        <w:t xml:space="preserve">Si possible, une capture d'écran du message d'erreur.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E-UNI — Manuel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abstractNum w:abstractNumId="5" w15:restartNumberingAfterBreak="0">
    <w:multiLevelType w:val="hybridMultilevel"/>
    <w:lvl w:ilvl="0" w15:tentative="1">
      <w:start w:val="1"/>
      <w:numFmt w:val="decimal"/>
      <w:lvlText w:val="%1."/>
      <w:lvlJc w:val="left"/>
      <w:pPr>
        <w:ind w:left="450" w:hanging="260"/>
      </w:pPr>
    </w:lvl>
  </w:abstractNum>
  <w:abstractNum w:abstractNumId="6" w15:restartNumberingAfterBreak="0">
    <w:multiLevelType w:val="hybridMultilevel"/>
    <w:lvl w:ilvl="0" w15:tentative="1">
      <w:start w:val="1"/>
      <w:numFmt w:val="decimal"/>
      <w:lvlText w:val="%1."/>
      <w:lvlJc w:val="left"/>
      <w:pPr>
        <w:ind w:left="450" w:hanging="260"/>
      </w:pPr>
    </w:lvl>
  </w:abstractNum>
  <w:abstractNum w:abstractNumId="7" w15:restartNumberingAfterBreak="0">
    <w:multiLevelType w:val="hybridMultilevel"/>
    <w:lvl w:ilvl="0" w15:tentative="1">
      <w:start w:val="1"/>
      <w:numFmt w:val="decimal"/>
      <w:lvlText w:val="%1."/>
      <w:lvlJc w:val="left"/>
      <w:pPr>
        <w:ind w:left="450" w:hanging="260"/>
      </w:pPr>
    </w:lvl>
  </w:abstractNum>
  <w:abstractNum w:abstractNumId="8" w15:restartNumberingAfterBreak="0">
    <w:multiLevelType w:val="hybridMultilevel"/>
    <w:lvl w:ilvl="0" w15:tentative="1">
      <w:start w:val="1"/>
      <w:numFmt w:val="decimal"/>
      <w:lvlText w:val="%1."/>
      <w:lvlJc w:val="left"/>
      <w:pPr>
        <w:ind w:left="450" w:hanging="260"/>
      </w:pPr>
    </w:lvl>
  </w:abstractNum>
  <w:abstractNum w:abstractNumId="9" w15:restartNumberingAfterBreak="0">
    <w:multiLevelType w:val="hybridMultilevel"/>
    <w:lvl w:ilvl="0" w15:tentative="1">
      <w:start w:val="1"/>
      <w:numFmt w:val="decimal"/>
      <w:lvlText w:val="%1."/>
      <w:lvlJc w:val="left"/>
      <w:pPr>
        <w:ind w:left="450" w:hanging="260"/>
      </w:pPr>
    </w:lvl>
  </w:abstractNum>
  <w:abstractNum w:abstractNumId="10"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2026-08-10T17:08:51.139Z</dcterms:created>
  <dcterms:modified xsi:type="dcterms:W3CDTF">2026-08-10T17:08:51.139Z</dcterms:modified>
</cp:coreProperties>
</file>

<file path=docProps/custom.xml><?xml version="1.0" encoding="utf-8"?>
<Properties xmlns="http://schemas.openxmlformats.org/officeDocument/2006/custom-properties" xmlns:vt="http://schemas.openxmlformats.org/officeDocument/2006/docPropsVTypes"/>
</file>