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黑体" w:hAnsi="黑体" w:eastAsia="黑体"/>
          <w:b/>
          <w:sz w:val="40"/>
        </w:rPr>
        <w:t>党建工作台账应用</w:t>
      </w:r>
    </w:p>
    <w:p>
      <w:pPr>
        <w:jc w:val="center"/>
      </w:pPr>
      <w:r>
        <w:rPr>
          <w:rFonts w:ascii="黑体" w:hAnsi="黑体" w:eastAsia="黑体"/>
          <w:b/>
          <w:sz w:val="32"/>
        </w:rPr>
        <w:t>V3.5.3</w:t>
      </w:r>
    </w:p>
    <w:p>
      <w:pPr>
        <w:jc w:val="center"/>
      </w:pPr>
      <w:r>
        <w:rPr>
          <w:rFonts w:ascii="黑体" w:hAnsi="黑体" w:eastAsia="黑体"/>
          <w:b/>
          <w:sz w:val="36"/>
        </w:rPr>
        <w:t>使 用 说 明 书</w:t>
      </w:r>
    </w:p>
    <w:p/>
    <w:p/>
    <w:p>
      <w:pPr>
        <w:spacing w:before="320" w:after="160"/>
      </w:pPr>
      <w:r>
        <w:rPr>
          <w:rFonts w:ascii="黑体" w:hAnsi="黑体" w:eastAsia="黑体"/>
          <w:b/>
          <w:sz w:val="30"/>
        </w:rPr>
        <w:t>一、软件概述</w:t>
      </w:r>
    </w:p>
    <w:p>
      <w:pPr>
        <w:spacing w:before="200" w:after="120"/>
      </w:pPr>
      <w:r>
        <w:rPr>
          <w:rFonts w:ascii="黑体" w:hAnsi="黑体" w:eastAsia="黑体"/>
          <w:b/>
          <w:sz w:val="25"/>
        </w:rPr>
        <w:t>1.1 软件简介</w:t>
      </w:r>
    </w:p>
    <w:p>
      <w:pPr>
        <w:ind w:firstLine="440"/>
      </w:pPr>
      <w:r>
        <w:rPr>
          <w:rFonts w:ascii="宋体" w:hAnsi="宋体" w:eastAsia="宋体"/>
          <w:sz w:val="22"/>
        </w:rPr>
        <w:t>党建工作台账应用（以下简称"本软件"）是一款面向基层党组织日常党务工作的台账管理软件。本软件围绕党员（组织人员）信息、党内会议记录、谈心谈话记录三类核心台账数据，提供信息录入与维护、出勤统计、数据看板可视化、组织架构展示、台账导出、数据备份与恢复、多端数据融合等能力，帮助基层党务工作者规范台账记录、减少手工统计、保证统计口径的一致与可追溯。</w:t>
      </w:r>
    </w:p>
    <w:p>
      <w:pPr>
        <w:ind w:firstLine="440"/>
      </w:pPr>
      <w:r>
        <w:rPr>
          <w:rFonts w:ascii="宋体" w:hAnsi="宋体" w:eastAsia="宋体"/>
          <w:sz w:val="22"/>
        </w:rPr>
        <w:t>本软件采用桌面应用形态发布，支持 Windows 操作系统，数据保存在本机，无需部署服务器，适用于党支部、党总支等基层党组织开展"三会一课"、主题党日活动、组织生活会、民主评议、谈心谈话等日常工作的记录与统计。</w:t>
      </w:r>
    </w:p>
    <w:p>
      <w:pPr>
        <w:spacing w:before="200" w:after="120"/>
      </w:pPr>
      <w:r>
        <w:rPr>
          <w:rFonts w:ascii="黑体" w:hAnsi="黑体" w:eastAsia="黑体"/>
          <w:b/>
          <w:sz w:val="25"/>
        </w:rPr>
        <w:t>1.2 主要功能</w:t>
      </w:r>
    </w:p>
    <w:p>
      <w:pPr>
        <w:pStyle w:val="ListBullet"/>
        <w:spacing w:after="40"/>
        <w:ind w:left="440"/>
      </w:pPr>
      <w:r>
        <w:rPr>
          <w:rFonts w:ascii="宋体" w:hAnsi="宋体" w:eastAsia="宋体"/>
          <w:sz w:val="22"/>
        </w:rPr>
        <w:t>人员管理：党员信息的新增、编辑、删除、批量导入、查重与检索；党小组划分、支委职务、党小组组长标记；人员状态（在职/调离/借调/离职）及状态变更历史管理。</w:t>
      </w:r>
    </w:p>
    <w:p>
      <w:pPr>
        <w:pStyle w:val="ListBullet"/>
        <w:spacing w:after="40"/>
        <w:ind w:left="440"/>
      </w:pPr>
      <w:r>
        <w:rPr>
          <w:rFonts w:ascii="宋体" w:hAnsi="宋体" w:eastAsia="宋体"/>
          <w:sz w:val="22"/>
        </w:rPr>
        <w:t>会议管理：支部党员大会、支部委员会、党小组会、党课、组织生活会、民主生活会、主题党日活动、青年理论学习小组学习会、其他会议等会议类型的记录；参会人员智能识别；出勤（出席/请假/缺席/列席）管理；年度台账导出。</w:t>
      </w:r>
    </w:p>
    <w:p>
      <w:pPr>
        <w:pStyle w:val="ListBullet"/>
        <w:spacing w:after="40"/>
        <w:ind w:left="440"/>
      </w:pPr>
      <w:r>
        <w:rPr>
          <w:rFonts w:ascii="宋体" w:hAnsi="宋体" w:eastAsia="宋体"/>
          <w:sz w:val="22"/>
        </w:rPr>
        <w:t>谈心谈话：个别谈话、集体谈话、组织约谈三种谈话方式的记录管理，"五必谈"标记，台账导出。</w:t>
      </w:r>
    </w:p>
    <w:p>
      <w:pPr>
        <w:pStyle w:val="ListBullet"/>
        <w:spacing w:after="40"/>
        <w:ind w:left="440"/>
      </w:pPr>
      <w:r>
        <w:rPr>
          <w:rFonts w:ascii="宋体" w:hAnsi="宋体" w:eastAsia="宋体"/>
          <w:sz w:val="22"/>
        </w:rPr>
        <w:t>数据看板：按年度统计关键指标（会议总数、平均出勤率、在职党员总数、本月会议数），并以图表展示会议类型分布、月度会议趋势、党员出勤率排行、出勤对比、月度谈心谈话趋势；支持导出 Word 统计报告。</w:t>
      </w:r>
    </w:p>
    <w:p>
      <w:pPr>
        <w:pStyle w:val="ListBullet"/>
        <w:spacing w:after="40"/>
        <w:ind w:left="440"/>
      </w:pPr>
      <w:r>
        <w:rPr>
          <w:rFonts w:ascii="宋体" w:hAnsi="宋体" w:eastAsia="宋体"/>
          <w:sz w:val="22"/>
        </w:rPr>
        <w:t>组织架构：以树状图展示支部委员会与党小组的当前组织架构，随人员管理数据实时更新，支持查看各党小组成员及人数统计。</w:t>
      </w:r>
    </w:p>
    <w:p>
      <w:pPr>
        <w:pStyle w:val="ListBullet"/>
        <w:spacing w:after="40"/>
        <w:ind w:left="440"/>
      </w:pPr>
      <w:r>
        <w:rPr>
          <w:rFonts w:ascii="宋体" w:hAnsi="宋体" w:eastAsia="宋体"/>
          <w:sz w:val="22"/>
        </w:rPr>
        <w:t>操作日志：记录人员、会议、谈话、导出、备份、恢复、融合等关键操作，支持按类型与时间检索。</w:t>
      </w:r>
    </w:p>
    <w:p>
      <w:pPr>
        <w:pStyle w:val="ListBullet"/>
        <w:spacing w:after="40"/>
        <w:ind w:left="440"/>
      </w:pPr>
      <w:r>
        <w:rPr>
          <w:rFonts w:ascii="宋体" w:hAnsi="宋体" w:eastAsia="宋体"/>
          <w:sz w:val="22"/>
        </w:rPr>
        <w:t>数据管理：JSON / Excel 双格式备份与恢复、跨端数据融合、定时自动备份与自动融合、数据重置。</w:t>
      </w:r>
    </w:p>
    <w:p>
      <w:pPr>
        <w:spacing w:before="200" w:after="120"/>
      </w:pPr>
      <w:r>
        <w:rPr>
          <w:rFonts w:ascii="黑体" w:hAnsi="黑体" w:eastAsia="黑体"/>
          <w:b/>
          <w:sz w:val="25"/>
        </w:rPr>
        <w:t>1.3 运行环境</w:t>
      </w:r>
    </w:p>
    <w:p>
      <w:pPr>
        <w:ind w:firstLine="440"/>
      </w:pPr>
      <w:r>
        <w:rPr>
          <w:rFonts w:ascii="宋体" w:hAnsi="宋体" w:eastAsia="宋体"/>
          <w:sz w:val="22"/>
        </w:rPr>
        <w:t>本软件为桌面应用，运行环境要求如下：</w:t>
      </w:r>
    </w:p>
    <w:p>
      <w:pPr>
        <w:pStyle w:val="ListBullet"/>
        <w:spacing w:after="40"/>
        <w:ind w:left="440"/>
      </w:pPr>
      <w:r>
        <w:rPr>
          <w:rFonts w:ascii="宋体" w:hAnsi="宋体" w:eastAsia="宋体"/>
          <w:sz w:val="22"/>
        </w:rPr>
        <w:t>运行平台／操作系统：Windows 10 / Windows 11（64 位）。</w:t>
      </w:r>
    </w:p>
    <w:p>
      <w:pPr>
        <w:pStyle w:val="ListBullet"/>
        <w:spacing w:after="40"/>
        <w:ind w:left="440"/>
      </w:pPr>
      <w:r>
        <w:rPr>
          <w:rFonts w:ascii="宋体" w:hAnsi="宋体" w:eastAsia="宋体"/>
          <w:sz w:val="22"/>
        </w:rPr>
        <w:t>运行硬件环境：x86_64 架构通用个人计算机；建议内存 4GB 及以上，磁盘剩余空间 500MB 及以上。</w:t>
      </w:r>
    </w:p>
    <w:p>
      <w:pPr>
        <w:pStyle w:val="ListBullet"/>
        <w:spacing w:after="40"/>
        <w:ind w:left="440"/>
      </w:pPr>
      <w:r>
        <w:rPr>
          <w:rFonts w:ascii="宋体" w:hAnsi="宋体" w:eastAsia="宋体"/>
          <w:sz w:val="22"/>
        </w:rPr>
        <w:t>软件运行支撑环境／支持软件：无需额外安装数据库或中间件，软件内置本地数据存储；台账导出 Word / Excel 文件时，建议本机安装有可打开 .docx / .xlsx 的办公软件。</w:t>
      </w:r>
    </w:p>
    <w:p>
      <w:pPr>
        <w:pStyle w:val="ListBullet"/>
        <w:spacing w:after="40"/>
        <w:ind w:left="440"/>
      </w:pPr>
      <w:r>
        <w:rPr>
          <w:rFonts w:ascii="宋体" w:hAnsi="宋体" w:eastAsia="宋体"/>
          <w:sz w:val="22"/>
        </w:rPr>
        <w:t>开发环境／开发工具：Node.js 20、TypeScript、Vite、Electron、electron-builder 等。</w:t>
      </w:r>
    </w:p>
    <w:p>
      <w:pPr>
        <w:pStyle w:val="ListBullet"/>
        <w:spacing w:after="40"/>
        <w:ind w:left="440"/>
      </w:pPr>
      <w:r>
        <w:rPr>
          <w:rFonts w:ascii="宋体" w:hAnsi="宋体" w:eastAsia="宋体"/>
          <w:sz w:val="22"/>
        </w:rPr>
        <w:t>编程语言：TypeScript（JavaScript 超集）、CSS、HTML。</w:t>
      </w:r>
    </w:p>
    <w:p>
      <w:pPr>
        <w:spacing w:before="200" w:after="120"/>
      </w:pPr>
      <w:r>
        <w:rPr>
          <w:rFonts w:ascii="黑体" w:hAnsi="黑体" w:eastAsia="黑体"/>
          <w:b/>
          <w:sz w:val="25"/>
        </w:rPr>
        <w:t>1.4 技术特点</w:t>
      </w:r>
    </w:p>
    <w:p>
      <w:pPr>
        <w:pStyle w:val="ListBullet"/>
        <w:spacing w:after="40"/>
        <w:ind w:left="440"/>
      </w:pPr>
      <w:r>
        <w:rPr>
          <w:rFonts w:ascii="宋体" w:hAnsi="宋体" w:eastAsia="宋体"/>
          <w:sz w:val="22"/>
        </w:rPr>
        <w:t>桌面应用形态，数据本地存储，无需服务器部署，便于基层单位独立使用与数据保管。</w:t>
      </w:r>
    </w:p>
    <w:p>
      <w:pPr>
        <w:pStyle w:val="ListBullet"/>
        <w:spacing w:after="40"/>
        <w:ind w:left="440"/>
      </w:pPr>
      <w:r>
        <w:rPr>
          <w:rFonts w:ascii="宋体" w:hAnsi="宋体" w:eastAsia="宋体"/>
          <w:sz w:val="22"/>
        </w:rPr>
        <w:t>出勤统计采用"按会议日期时点判定在职"的口径，依据人员状态变更历史自动追溯，调离、借调、离职期间不计入考勤，回归后自动恢复，保证跨年度统计准确。</w:t>
      </w:r>
    </w:p>
    <w:p>
      <w:pPr>
        <w:pStyle w:val="ListBullet"/>
        <w:spacing w:after="40"/>
        <w:ind w:left="440"/>
      </w:pPr>
      <w:r>
        <w:rPr>
          <w:rFonts w:ascii="宋体" w:hAnsi="宋体" w:eastAsia="宋体"/>
          <w:sz w:val="22"/>
        </w:rPr>
        <w:t>会议总数按"套会拆开"计次（一条记录包含多个会议类型时分别计次），使会议总数与各类型次数之和保持一致。</w:t>
      </w:r>
    </w:p>
    <w:p>
      <w:pPr>
        <w:pStyle w:val="ListBullet"/>
        <w:spacing w:after="40"/>
        <w:ind w:left="440"/>
      </w:pPr>
      <w:r>
        <w:rPr>
          <w:rFonts w:ascii="宋体" w:hAnsi="宋体" w:eastAsia="宋体"/>
          <w:sz w:val="22"/>
        </w:rPr>
        <w:t>参会记录的部门、部室、党小组以快照方式保存，人员后续调动不会改写历史统计结果。</w:t>
      </w:r>
    </w:p>
    <w:p>
      <w:pPr>
        <w:pStyle w:val="ListBullet"/>
        <w:spacing w:after="40"/>
        <w:ind w:left="440"/>
      </w:pPr>
      <w:r>
        <w:rPr>
          <w:rFonts w:ascii="宋体" w:hAnsi="宋体" w:eastAsia="宋体"/>
          <w:sz w:val="22"/>
        </w:rPr>
        <w:t>支持 JSON 与 Excel 双格式备份与恢复，并具备跨版本数据自动迁移能力，保障历史数据可用。</w:t>
      </w:r>
    </w:p>
    <w:p>
      <w:pPr>
        <w:pStyle w:val="ListBullet"/>
        <w:spacing w:after="40"/>
        <w:ind w:left="440"/>
      </w:pPr>
      <w:r>
        <w:rPr>
          <w:rFonts w:ascii="宋体" w:hAnsi="宋体" w:eastAsia="宋体"/>
          <w:sz w:val="22"/>
        </w:rPr>
        <w:t>支持多端数据融合：可将党小组组长导出的台账或备份文件合并到管理端，按记录标识去重，不覆盖已有数据。</w:t>
      </w:r>
    </w:p>
    <w:p>
      <w:pPr>
        <w:spacing w:before="200" w:after="120"/>
      </w:pPr>
      <w:r>
        <w:rPr>
          <w:rFonts w:ascii="黑体" w:hAnsi="黑体" w:eastAsia="黑体"/>
          <w:b/>
          <w:sz w:val="25"/>
        </w:rPr>
        <w:t>1.5 功能结构一览</w:t>
      </w:r>
    </w:p>
    <w:p>
      <w:pPr>
        <w:ind w:firstLine="440"/>
      </w:pPr>
      <w:r>
        <w:rPr>
          <w:rFonts w:ascii="宋体" w:hAnsi="宋体" w:eastAsia="宋体"/>
          <w:sz w:val="22"/>
        </w:rPr>
        <w:t>本软件按功能划分为七个主页面（栏目），各栏目主要功能如下表所示。</w:t>
      </w:r>
    </w:p>
    <w:tbl>
      <w:tblPr>
        <w:tblStyle w:val="TableGrid"/>
        <w:tblW w:type="auto" w:w="0"/>
        <w:tblLook w:firstColumn="1" w:firstRow="1" w:lastColumn="0" w:lastRow="0" w:noHBand="0" w:noVBand="1" w:val="04A0"/>
      </w:tblPr>
      <w:tblGrid>
        <w:gridCol w:w="2986"/>
        <w:gridCol w:w="2986"/>
        <w:gridCol w:w="2986"/>
      </w:tblGrid>
      <w:tr>
        <w:tc>
          <w:tcPr>
            <w:tcW w:type="dxa" w:w="794"/>
          </w:tcPr>
          <w:p>
            <w:pPr>
              <w:jc w:val="center"/>
            </w:pPr>
            <w:r/>
            <w:r>
              <w:rPr>
                <w:rFonts w:ascii="宋体" w:hAnsi="宋体" w:eastAsia="宋体"/>
                <w:b/>
                <w:sz w:val="20"/>
              </w:rPr>
              <w:t>序号</w:t>
            </w:r>
          </w:p>
        </w:tc>
        <w:tc>
          <w:tcPr>
            <w:tcW w:type="dxa" w:w="1474"/>
          </w:tcPr>
          <w:p>
            <w:pPr>
              <w:jc w:val="center"/>
            </w:pPr>
            <w:r/>
            <w:r>
              <w:rPr>
                <w:rFonts w:ascii="宋体" w:hAnsi="宋体" w:eastAsia="宋体"/>
                <w:b/>
                <w:sz w:val="20"/>
              </w:rPr>
              <w:t>栏目</w:t>
            </w:r>
          </w:p>
        </w:tc>
        <w:tc>
          <w:tcPr>
            <w:tcW w:type="dxa" w:w="6576"/>
          </w:tcPr>
          <w:p>
            <w:pPr>
              <w:jc w:val="center"/>
            </w:pPr>
            <w:r/>
            <w:r>
              <w:rPr>
                <w:rFonts w:ascii="宋体" w:hAnsi="宋体" w:eastAsia="宋体"/>
                <w:b/>
                <w:sz w:val="20"/>
              </w:rPr>
              <w:t>主要功能</w:t>
            </w:r>
          </w:p>
        </w:tc>
      </w:tr>
      <w:tr>
        <w:tc>
          <w:tcPr>
            <w:tcW w:type="dxa" w:w="794"/>
          </w:tcPr>
          <w:p>
            <w:r/>
            <w:r>
              <w:rPr>
                <w:rFonts w:ascii="宋体" w:hAnsi="宋体" w:eastAsia="宋体"/>
                <w:sz w:val="20"/>
              </w:rPr>
              <w:t>1</w:t>
            </w:r>
          </w:p>
        </w:tc>
        <w:tc>
          <w:tcPr>
            <w:tcW w:type="dxa" w:w="1474"/>
          </w:tcPr>
          <w:p>
            <w:r/>
            <w:r>
              <w:rPr>
                <w:rFonts w:ascii="宋体" w:hAnsi="宋体" w:eastAsia="宋体"/>
                <w:sz w:val="20"/>
              </w:rPr>
              <w:t>数据看板</w:t>
            </w:r>
          </w:p>
        </w:tc>
        <w:tc>
          <w:tcPr>
            <w:tcW w:type="dxa" w:w="6576"/>
          </w:tcPr>
          <w:p>
            <w:r/>
            <w:r>
              <w:rPr>
                <w:rFonts w:ascii="宋体" w:hAnsi="宋体" w:eastAsia="宋体"/>
                <w:sz w:val="20"/>
              </w:rPr>
              <w:t>按年度查看关键指标（会议总数、平均出勤率、在职党员总数、本月会议数）；会议类型分布、月度会议趋势、党员出勤率排行、出勤对比（党小组/部室/部门·支部）、月度谈心谈话趋势等图表；导出 Word 统计报告</w:t>
            </w:r>
          </w:p>
        </w:tc>
      </w:tr>
      <w:tr>
        <w:tc>
          <w:tcPr>
            <w:tcW w:type="dxa" w:w="794"/>
          </w:tcPr>
          <w:p>
            <w:r/>
            <w:r>
              <w:rPr>
                <w:rFonts w:ascii="宋体" w:hAnsi="宋体" w:eastAsia="宋体"/>
                <w:sz w:val="20"/>
              </w:rPr>
              <w:t>2</w:t>
            </w:r>
          </w:p>
        </w:tc>
        <w:tc>
          <w:tcPr>
            <w:tcW w:type="dxa" w:w="1474"/>
          </w:tcPr>
          <w:p>
            <w:r/>
            <w:r>
              <w:rPr>
                <w:rFonts w:ascii="宋体" w:hAnsi="宋体" w:eastAsia="宋体"/>
                <w:sz w:val="20"/>
              </w:rPr>
              <w:t>组织架构</w:t>
            </w:r>
          </w:p>
        </w:tc>
        <w:tc>
          <w:tcPr>
            <w:tcW w:type="dxa" w:w="6576"/>
          </w:tcPr>
          <w:p>
            <w:r/>
            <w:r>
              <w:rPr>
                <w:rFonts w:ascii="宋体" w:hAnsi="宋体" w:eastAsia="宋体"/>
                <w:sz w:val="20"/>
              </w:rPr>
              <w:t>树状图展示支部书记、副书记、支部委员会与党小组的当前组织架构；展开党小组查看成员及所在部室、组长标记；显示各党小组人数统计</w:t>
            </w:r>
          </w:p>
        </w:tc>
      </w:tr>
      <w:tr>
        <w:tc>
          <w:tcPr>
            <w:tcW w:type="dxa" w:w="794"/>
          </w:tcPr>
          <w:p>
            <w:r/>
            <w:r>
              <w:rPr>
                <w:rFonts w:ascii="宋体" w:hAnsi="宋体" w:eastAsia="宋体"/>
                <w:sz w:val="20"/>
              </w:rPr>
              <w:t>3</w:t>
            </w:r>
          </w:p>
        </w:tc>
        <w:tc>
          <w:tcPr>
            <w:tcW w:type="dxa" w:w="1474"/>
          </w:tcPr>
          <w:p>
            <w:r/>
            <w:r>
              <w:rPr>
                <w:rFonts w:ascii="宋体" w:hAnsi="宋体" w:eastAsia="宋体"/>
                <w:sz w:val="20"/>
              </w:rPr>
              <w:t>人员管理</w:t>
            </w:r>
          </w:p>
        </w:tc>
        <w:tc>
          <w:tcPr>
            <w:tcW w:type="dxa" w:w="6576"/>
          </w:tcPr>
          <w:p>
            <w:r/>
            <w:r>
              <w:rPr>
                <w:rFonts w:ascii="宋体" w:hAnsi="宋体" w:eastAsia="宋体"/>
                <w:sz w:val="20"/>
              </w:rPr>
              <w:t>党员信息的新增、编辑、删除、批量删除；批量导入与同名查重；状态与状态变更历史维护；党小组、支委职务、党小组组长设置；按条件检索</w:t>
            </w:r>
          </w:p>
        </w:tc>
      </w:tr>
      <w:tr>
        <w:tc>
          <w:tcPr>
            <w:tcW w:type="dxa" w:w="794"/>
          </w:tcPr>
          <w:p>
            <w:r/>
            <w:r>
              <w:rPr>
                <w:rFonts w:ascii="宋体" w:hAnsi="宋体" w:eastAsia="宋体"/>
                <w:sz w:val="20"/>
              </w:rPr>
              <w:t>4</w:t>
            </w:r>
          </w:p>
        </w:tc>
        <w:tc>
          <w:tcPr>
            <w:tcW w:type="dxa" w:w="1474"/>
          </w:tcPr>
          <w:p>
            <w:r/>
            <w:r>
              <w:rPr>
                <w:rFonts w:ascii="宋体" w:hAnsi="宋体" w:eastAsia="宋体"/>
                <w:sz w:val="20"/>
              </w:rPr>
              <w:t>会议管理</w:t>
            </w:r>
          </w:p>
        </w:tc>
        <w:tc>
          <w:tcPr>
            <w:tcW w:type="dxa" w:w="6576"/>
          </w:tcPr>
          <w:p>
            <w:r/>
            <w:r>
              <w:rPr>
                <w:rFonts w:ascii="宋体" w:hAnsi="宋体" w:eastAsia="宋体"/>
                <w:sz w:val="20"/>
              </w:rPr>
              <w:t>会议记录的新增、编辑、删除；多会议类型与党小组会联动；参会人员智能识别与快捷选择；出勤（出席/请假/缺席/列席）维护；年度台账 Excel 导出</w:t>
            </w:r>
          </w:p>
        </w:tc>
      </w:tr>
      <w:tr>
        <w:tc>
          <w:tcPr>
            <w:tcW w:type="dxa" w:w="794"/>
          </w:tcPr>
          <w:p>
            <w:r/>
            <w:r>
              <w:rPr>
                <w:rFonts w:ascii="宋体" w:hAnsi="宋体" w:eastAsia="宋体"/>
                <w:sz w:val="20"/>
              </w:rPr>
              <w:t>5</w:t>
            </w:r>
          </w:p>
        </w:tc>
        <w:tc>
          <w:tcPr>
            <w:tcW w:type="dxa" w:w="1474"/>
          </w:tcPr>
          <w:p>
            <w:r/>
            <w:r>
              <w:rPr>
                <w:rFonts w:ascii="宋体" w:hAnsi="宋体" w:eastAsia="宋体"/>
                <w:sz w:val="20"/>
              </w:rPr>
              <w:t>谈心谈话</w:t>
            </w:r>
          </w:p>
        </w:tc>
        <w:tc>
          <w:tcPr>
            <w:tcW w:type="dxa" w:w="6576"/>
          </w:tcPr>
          <w:p>
            <w:r/>
            <w:r>
              <w:rPr>
                <w:rFonts w:ascii="宋体" w:hAnsi="宋体" w:eastAsia="宋体"/>
                <w:sz w:val="20"/>
              </w:rPr>
              <w:t>个别谈话、集体谈话、组织约谈的记录管理；谈话人/谈话对象与职务联动；“五必谈”标记；台账 Excel 导出</w:t>
            </w:r>
          </w:p>
        </w:tc>
      </w:tr>
      <w:tr>
        <w:tc>
          <w:tcPr>
            <w:tcW w:type="dxa" w:w="794"/>
          </w:tcPr>
          <w:p>
            <w:r/>
            <w:r>
              <w:rPr>
                <w:rFonts w:ascii="宋体" w:hAnsi="宋体" w:eastAsia="宋体"/>
                <w:sz w:val="20"/>
              </w:rPr>
              <w:t>6</w:t>
            </w:r>
          </w:p>
        </w:tc>
        <w:tc>
          <w:tcPr>
            <w:tcW w:type="dxa" w:w="1474"/>
          </w:tcPr>
          <w:p>
            <w:r/>
            <w:r>
              <w:rPr>
                <w:rFonts w:ascii="宋体" w:hAnsi="宋体" w:eastAsia="宋体"/>
                <w:sz w:val="20"/>
              </w:rPr>
              <w:t>操作日志</w:t>
            </w:r>
          </w:p>
        </w:tc>
        <w:tc>
          <w:tcPr>
            <w:tcW w:type="dxa" w:w="6576"/>
          </w:tcPr>
          <w:p>
            <w:r/>
            <w:r>
              <w:rPr>
                <w:rFonts w:ascii="宋体" w:hAnsi="宋体" w:eastAsia="宋体"/>
                <w:sz w:val="20"/>
              </w:rPr>
              <w:t>记录人员、会议、谈话、导出、备份、恢复、融合等关键操作；按操作类型与时间范围检索；旧日志清理</w:t>
            </w:r>
          </w:p>
        </w:tc>
      </w:tr>
      <w:tr>
        <w:tc>
          <w:tcPr>
            <w:tcW w:type="dxa" w:w="794"/>
          </w:tcPr>
          <w:p>
            <w:r/>
            <w:r>
              <w:rPr>
                <w:rFonts w:ascii="宋体" w:hAnsi="宋体" w:eastAsia="宋体"/>
                <w:sz w:val="20"/>
              </w:rPr>
              <w:t>7</w:t>
            </w:r>
          </w:p>
        </w:tc>
        <w:tc>
          <w:tcPr>
            <w:tcW w:type="dxa" w:w="1474"/>
          </w:tcPr>
          <w:p>
            <w:r/>
            <w:r>
              <w:rPr>
                <w:rFonts w:ascii="宋体" w:hAnsi="宋体" w:eastAsia="宋体"/>
                <w:sz w:val="20"/>
              </w:rPr>
              <w:t>数据管理</w:t>
            </w:r>
          </w:p>
        </w:tc>
        <w:tc>
          <w:tcPr>
            <w:tcW w:type="dxa" w:w="6576"/>
          </w:tcPr>
          <w:p>
            <w:r/>
            <w:r>
              <w:rPr>
                <w:rFonts w:ascii="宋体" w:hAnsi="宋体" w:eastAsia="宋体"/>
                <w:sz w:val="20"/>
              </w:rPr>
              <w:t>JSON/Excel 双格式备份与恢复；数据融合与组长填报模板；定时自动备份与定时自动融合；数据重置</w:t>
            </w:r>
          </w:p>
        </w:tc>
      </w:tr>
    </w:tbl>
    <w:p>
      <w:pPr>
        <w:spacing w:after="120"/>
      </w:pPr>
    </w:p>
    <w:p>
      <w:r>
        <w:br w:type="page"/>
      </w:r>
    </w:p>
    <w:p>
      <w:pPr>
        <w:spacing w:before="320" w:after="160"/>
      </w:pPr>
      <w:r>
        <w:rPr>
          <w:rFonts w:ascii="黑体" w:hAnsi="黑体" w:eastAsia="黑体"/>
          <w:b/>
          <w:sz w:val="30"/>
        </w:rPr>
        <w:t>二、安装与启动</w:t>
      </w:r>
    </w:p>
    <w:p>
      <w:pPr>
        <w:spacing w:before="200" w:after="120"/>
      </w:pPr>
      <w:r>
        <w:rPr>
          <w:rFonts w:ascii="黑体" w:hAnsi="黑体" w:eastAsia="黑体"/>
          <w:b/>
          <w:sz w:val="25"/>
        </w:rPr>
        <w:t>2.1 安装版安装</w:t>
      </w:r>
    </w:p>
    <w:p>
      <w:pPr>
        <w:ind w:firstLine="440"/>
      </w:pPr>
      <w:r>
        <w:rPr>
          <w:rFonts w:ascii="宋体" w:hAnsi="宋体" w:eastAsia="宋体"/>
          <w:sz w:val="22"/>
        </w:rPr>
        <w:t>双击安装程序（.exe），按向导提示选择安装目录后完成安装。安装程序会在桌面与本机开始菜单中创建"党建工作台账"快捷方式，双击快捷方式即可启动软件。安装版的数据保存在当前用户的应用数据目录中。</w:t>
      </w:r>
    </w:p>
    <w:p>
      <w:pPr>
        <w:spacing w:before="200" w:after="120"/>
      </w:pPr>
      <w:r>
        <w:rPr>
          <w:rFonts w:ascii="黑体" w:hAnsi="黑体" w:eastAsia="黑体"/>
          <w:b/>
          <w:sz w:val="25"/>
        </w:rPr>
        <w:t>2.2 绿色版使用</w:t>
      </w:r>
    </w:p>
    <w:p>
      <w:pPr>
        <w:ind w:firstLine="440"/>
      </w:pPr>
      <w:r>
        <w:rPr>
          <w:rFonts w:ascii="宋体" w:hAnsi="宋体" w:eastAsia="宋体"/>
          <w:sz w:val="22"/>
        </w:rPr>
        <w:t>绿色版（便携版）为免安装程序，将其复制到任意目录后直接双击运行即可。绿色版的数据保存在程序所在目录下的用户数据文件夹中，便于通过移动存储设备携带并整体迁移。</w:t>
      </w:r>
    </w:p>
    <w:p>
      <w:pPr>
        <w:ind w:firstLine="440"/>
      </w:pPr>
      <w:r>
        <w:rPr>
          <w:rFonts w:ascii="宋体" w:hAnsi="宋体" w:eastAsia="宋体"/>
          <w:sz w:val="22"/>
        </w:rPr>
        <w:t>注意：安装版与绿色版的数据目录相互独立、互不相通。如需在两版本之间切换，请先在原版本中导出备份文件，再在新版本中通过"数据管理"页面导入。</w:t>
      </w:r>
    </w:p>
    <w:p>
      <w:pPr>
        <w:spacing w:before="200" w:after="120"/>
      </w:pPr>
      <w:r>
        <w:rPr>
          <w:rFonts w:ascii="黑体" w:hAnsi="黑体" w:eastAsia="黑体"/>
          <w:b/>
          <w:sz w:val="25"/>
        </w:rPr>
        <w:t>2.3 启动与主界面</w:t>
      </w:r>
    </w:p>
    <w:p>
      <w:pPr>
        <w:ind w:firstLine="440"/>
      </w:pPr>
      <w:r>
        <w:rPr>
          <w:rFonts w:ascii="宋体" w:hAnsi="宋体" w:eastAsia="宋体"/>
          <w:sz w:val="22"/>
        </w:rPr>
        <w:t>软件启动后进入主界面。主界面由左侧导航菜单、顶部标题栏与右侧内容区组成。左侧菜单自上而下依次为：数据看板、组织架构、人员管理、会议管理、谈心谈话、操作日志、数据管理。点击菜单项即可切换到对应功能页面；点击顶部左侧的折叠按钮，可收起或展开左侧菜单，扩大内容区显示范围。</w:t>
      </w:r>
    </w:p>
    <w:p>
      <w:pPr>
        <w:ind w:firstLine="440"/>
      </w:pPr>
      <w:r>
        <w:rPr>
          <w:rFonts w:ascii="宋体" w:hAnsi="宋体" w:eastAsia="宋体"/>
          <w:sz w:val="22"/>
        </w:rPr>
        <w:t>首次使用时，建议先进入"人员管理"录入或批量导入党员信息，再进行会议与谈心谈话的录入；此后即可在"数据看板"与"组织架构"页面查看统计结果与组织架构。</w:t>
      </w:r>
    </w:p>
    <w:p>
      <w:r>
        <w:br w:type="page"/>
      </w:r>
    </w:p>
    <w:p>
      <w:pPr>
        <w:spacing w:before="320" w:after="160"/>
      </w:pPr>
      <w:r>
        <w:rPr>
          <w:rFonts w:ascii="黑体" w:hAnsi="黑体" w:eastAsia="黑体"/>
          <w:b/>
          <w:sz w:val="30"/>
        </w:rPr>
        <w:t>三、数据看板</w:t>
      </w:r>
    </w:p>
    <w:p>
      <w:pPr>
        <w:ind w:firstLine="440"/>
      </w:pPr>
      <w:r>
        <w:rPr>
          <w:rFonts w:ascii="宋体" w:hAnsi="宋体" w:eastAsia="宋体"/>
          <w:sz w:val="22"/>
        </w:rPr>
        <w:t>数据看板用于按年度汇总展示本支部的会议与出勤情况。页面顶部提供年份选择器，切换年份后，页面内全部指标与图表均按所选年度重新统计。</w:t>
      </w:r>
    </w:p>
    <w:p>
      <w:pPr>
        <w:spacing w:before="120" w:after="40"/>
        <w:jc w:val="center"/>
      </w:pPr>
      <w:r>
        <w:drawing>
          <wp:inline xmlns:a="http://schemas.openxmlformats.org/drawingml/2006/main" xmlns:pic="http://schemas.openxmlformats.org/drawingml/2006/picture">
            <wp:extent cx="5616000" cy="3893991"/>
            <wp:docPr id="1" name="Picture 1"/>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5616000" cy="3893991"/>
                    </a:xfrm>
                    <a:prstGeom prst="rect"/>
                  </pic:spPr>
                </pic:pic>
              </a:graphicData>
            </a:graphic>
          </wp:inline>
        </w:drawing>
      </w:r>
    </w:p>
    <w:p>
      <w:pPr>
        <w:spacing w:before="40" w:after="280"/>
        <w:jc w:val="center"/>
      </w:pPr>
      <w:r>
        <w:rPr>
          <w:rFonts w:ascii="宋体" w:hAnsi="宋体" w:eastAsia="宋体"/>
          <w:color w:val="595959"/>
          <w:sz w:val="19"/>
        </w:rPr>
        <w:t>图 3-1  数据看板页面（上半部分：年度选择与关键指标、图表）</w:t>
      </w:r>
    </w:p>
    <w:p>
      <w:pPr>
        <w:spacing w:before="200" w:after="120"/>
      </w:pPr>
      <w:r>
        <w:rPr>
          <w:rFonts w:ascii="黑体" w:hAnsi="黑体" w:eastAsia="黑体"/>
          <w:b/>
          <w:sz w:val="25"/>
        </w:rPr>
        <w:t>3.1 关键指标</w:t>
      </w:r>
    </w:p>
    <w:p>
      <w:pPr>
        <w:pStyle w:val="ListBullet"/>
        <w:spacing w:after="40"/>
        <w:ind w:left="440"/>
      </w:pPr>
      <w:r>
        <w:rPr>
          <w:rFonts w:ascii="宋体" w:hAnsi="宋体" w:eastAsia="宋体"/>
          <w:sz w:val="22"/>
        </w:rPr>
        <w:t>会议总数（某年）：按"套会拆开"口径统计该年度召开的会议次数，即一条会议记录中每个会议类型分别计次，党小组会按该记录关联的党小组数计次。</w:t>
      </w:r>
    </w:p>
    <w:p>
      <w:pPr>
        <w:pStyle w:val="ListBullet"/>
        <w:spacing w:after="40"/>
        <w:ind w:left="440"/>
      </w:pPr>
      <w:r>
        <w:rPr>
          <w:rFonts w:ascii="宋体" w:hAnsi="宋体" w:eastAsia="宋体"/>
          <w:sz w:val="22"/>
        </w:rPr>
        <w:t>平均出勤率：该年度全部会议的在职出席人次 ÷ 在职应到人次 × 100%。按会议日期时点判定人员是否在职，调离、借调、离职期间不计入，列席人员计入出席，临时人员不计入。鼠标悬停指标卡可查看计算方法说明。</w:t>
      </w:r>
    </w:p>
    <w:p>
      <w:pPr>
        <w:pStyle w:val="ListBullet"/>
        <w:spacing w:after="40"/>
        <w:ind w:left="440"/>
      </w:pPr>
      <w:r>
        <w:rPr>
          <w:rFonts w:ascii="宋体" w:hAnsi="宋体" w:eastAsia="宋体"/>
          <w:sz w:val="22"/>
        </w:rPr>
        <w:t>在职党员总数：该年度时点的在职党员人数。选择当前年份时按"截至目前"统计，选择历史年份时按该年年末时点统计，人数随人员状态变化自动更新。</w:t>
      </w:r>
    </w:p>
    <w:p>
      <w:pPr>
        <w:pStyle w:val="ListBullet"/>
        <w:spacing w:after="40"/>
        <w:ind w:left="440"/>
      </w:pPr>
      <w:r>
        <w:rPr>
          <w:rFonts w:ascii="宋体" w:hAnsi="宋体" w:eastAsia="宋体"/>
          <w:sz w:val="22"/>
        </w:rPr>
        <w:t>本月会议数：本月按套会拆开口径统计的会议次数。</w:t>
      </w:r>
    </w:p>
    <w:p>
      <w:pPr>
        <w:spacing w:before="200" w:after="120"/>
      </w:pPr>
      <w:r>
        <w:rPr>
          <w:rFonts w:ascii="黑体" w:hAnsi="黑体" w:eastAsia="黑体"/>
          <w:b/>
          <w:sz w:val="25"/>
        </w:rPr>
        <w:t>3.2 会议类型分布</w:t>
      </w:r>
    </w:p>
    <w:p>
      <w:pPr>
        <w:ind w:firstLine="440"/>
      </w:pPr>
      <w:r>
        <w:rPr>
          <w:rFonts w:ascii="宋体" w:hAnsi="宋体" w:eastAsia="宋体"/>
          <w:sz w:val="22"/>
        </w:rPr>
        <w:t>以环形图展示所选年度各会议类型所占比例，鼠标悬停可查看各类型的具体次数与占比。各类型次数之和与"会议总数"指标保持一致。</w:t>
      </w:r>
    </w:p>
    <w:p>
      <w:pPr>
        <w:spacing w:before="200" w:after="120"/>
      </w:pPr>
      <w:r>
        <w:rPr>
          <w:rFonts w:ascii="黑体" w:hAnsi="黑体" w:eastAsia="黑体"/>
          <w:b/>
          <w:sz w:val="25"/>
        </w:rPr>
        <w:t>3.3 月度会议趋势</w:t>
      </w:r>
    </w:p>
    <w:p>
      <w:pPr>
        <w:ind w:firstLine="440"/>
      </w:pPr>
      <w:r>
        <w:rPr>
          <w:rFonts w:ascii="宋体" w:hAnsi="宋体" w:eastAsia="宋体"/>
          <w:sz w:val="22"/>
        </w:rPr>
        <w:t>以堆叠柱状图展示所选年度各月份的会议次数，并按会议类型分层着色，便于观察全年会议在各月份的分布情况。</w:t>
      </w:r>
    </w:p>
    <w:p>
      <w:pPr>
        <w:spacing w:before="200" w:after="120"/>
      </w:pPr>
      <w:r>
        <w:rPr>
          <w:rFonts w:ascii="黑体" w:hAnsi="黑体" w:eastAsia="黑体"/>
          <w:b/>
          <w:sz w:val="25"/>
        </w:rPr>
        <w:t>3.4 党员出勤率排行</w:t>
      </w:r>
    </w:p>
    <w:p>
      <w:pPr>
        <w:ind w:firstLine="440"/>
      </w:pPr>
      <w:r>
        <w:rPr>
          <w:rFonts w:ascii="宋体" w:hAnsi="宋体" w:eastAsia="宋体"/>
          <w:sz w:val="22"/>
        </w:rPr>
        <w:t>按出勤率降序列出所选年度内有出勤记录的在职党员，显示其应到、实到与出勤率。</w:t>
      </w:r>
    </w:p>
    <w:p>
      <w:pPr>
        <w:spacing w:before="200" w:after="120"/>
      </w:pPr>
      <w:r>
        <w:rPr>
          <w:rFonts w:ascii="黑体" w:hAnsi="黑体" w:eastAsia="黑体"/>
          <w:b/>
          <w:sz w:val="25"/>
        </w:rPr>
        <w:t>3.5 出勤对比</w:t>
      </w:r>
    </w:p>
    <w:p>
      <w:pPr>
        <w:ind w:firstLine="440"/>
      </w:pPr>
      <w:r>
        <w:rPr>
          <w:rFonts w:ascii="宋体" w:hAnsi="宋体" w:eastAsia="宋体"/>
          <w:sz w:val="22"/>
        </w:rPr>
        <w:t>支持按"党小组""部室""部门／支部"三个维度切换统计出勤对比，默认按党小组维度展示。图表标题中标注"按会议时点统计"，表示按会议召开时点人员所属的组织信息进行统计。点击卡片右上角的维度切换按钮即可切换统计口径。</w:t>
      </w:r>
    </w:p>
    <w:p>
      <w:pPr>
        <w:spacing w:before="200" w:after="120"/>
      </w:pPr>
      <w:r>
        <w:rPr>
          <w:rFonts w:ascii="黑体" w:hAnsi="黑体" w:eastAsia="黑体"/>
          <w:b/>
          <w:sz w:val="25"/>
        </w:rPr>
        <w:t>3.6 月度谈心谈话趋势</w:t>
      </w:r>
    </w:p>
    <w:p>
      <w:pPr>
        <w:ind w:firstLine="440"/>
      </w:pPr>
      <w:r>
        <w:rPr>
          <w:rFonts w:ascii="宋体" w:hAnsi="宋体" w:eastAsia="宋体"/>
          <w:sz w:val="22"/>
        </w:rPr>
        <w:t>以柱状与折线组合图展示所选年度各月份的谈心谈话次数及累计情况，卡片标题显示该年度谈心谈话总次数。</w:t>
      </w:r>
    </w:p>
    <w:p>
      <w:pPr>
        <w:spacing w:before="120" w:after="40"/>
        <w:jc w:val="center"/>
      </w:pPr>
      <w:r>
        <w:drawing>
          <wp:inline xmlns:a="http://schemas.openxmlformats.org/drawingml/2006/main" xmlns:pic="http://schemas.openxmlformats.org/drawingml/2006/picture">
            <wp:extent cx="5616000" cy="3893991"/>
            <wp:docPr id="2" name="Picture 2"/>
            <wp:cNvGraphicFramePr>
              <a:graphicFrameLocks noChangeAspect="1"/>
            </wp:cNvGraphicFramePr>
            <a:graphic>
              <a:graphicData uri="http://schemas.openxmlformats.org/drawingml/2006/picture">
                <pic:pic>
                  <pic:nvPicPr>
                    <pic:cNvPr id="0" name="02-dashboard-bottom.png"/>
                    <pic:cNvPicPr/>
                  </pic:nvPicPr>
                  <pic:blipFill>
                    <a:blip r:embed="rId10"/>
                    <a:stretch>
                      <a:fillRect/>
                    </a:stretch>
                  </pic:blipFill>
                  <pic:spPr>
                    <a:xfrm>
                      <a:off x="0" y="0"/>
                      <a:ext cx="5616000" cy="3893991"/>
                    </a:xfrm>
                    <a:prstGeom prst="rect"/>
                  </pic:spPr>
                </pic:pic>
              </a:graphicData>
            </a:graphic>
          </wp:inline>
        </w:drawing>
      </w:r>
    </w:p>
    <w:p>
      <w:pPr>
        <w:spacing w:before="40" w:after="280"/>
        <w:jc w:val="center"/>
      </w:pPr>
      <w:r>
        <w:rPr>
          <w:rFonts w:ascii="宋体" w:hAnsi="宋体" w:eastAsia="宋体"/>
          <w:color w:val="595959"/>
          <w:sz w:val="19"/>
        </w:rPr>
        <w:t>图 3-2  数据看板页面（下半部分：出勤率排行、出勤对比、月度谈心谈话趋势）</w:t>
      </w:r>
    </w:p>
    <w:p>
      <w:pPr>
        <w:ind w:firstLine="440"/>
      </w:pPr>
      <w:r>
        <w:rPr>
          <w:rFonts w:ascii="宋体" w:hAnsi="宋体" w:eastAsia="宋体"/>
          <w:sz w:val="22"/>
        </w:rPr>
        <w:t>数据看板右上角提供导出按钮，可将当前年度的统计结果导出为 Word 报告，报告包含年度概览、会议类型分布、月度会议趋势、出勤率排行、会议记录明细等章节。</w:t>
      </w:r>
    </w:p>
    <w:p>
      <w:r>
        <w:br w:type="page"/>
      </w:r>
    </w:p>
    <w:p>
      <w:pPr>
        <w:spacing w:before="320" w:after="160"/>
      </w:pPr>
      <w:r>
        <w:rPr>
          <w:rFonts w:ascii="黑体" w:hAnsi="黑体" w:eastAsia="黑体"/>
          <w:b/>
          <w:sz w:val="30"/>
        </w:rPr>
        <w:t>四、组织架构</w:t>
      </w:r>
    </w:p>
    <w:p>
      <w:pPr>
        <w:ind w:firstLine="440"/>
      </w:pPr>
      <w:r>
        <w:rPr>
          <w:rFonts w:ascii="宋体" w:hAnsi="宋体" w:eastAsia="宋体"/>
          <w:sz w:val="22"/>
        </w:rPr>
        <w:t>组织架构页面以树状图形式，自上而下展示本支部当前的组织架构，数据来源于"人员管理"中的支委职务、党小组、党小组组长、部室等信息，随人员信息变动实时更新，无需单独维护。</w:t>
      </w:r>
    </w:p>
    <w:p>
      <w:pPr>
        <w:spacing w:before="200" w:after="120"/>
      </w:pPr>
      <w:r>
        <w:rPr>
          <w:rFonts w:ascii="黑体" w:hAnsi="黑体" w:eastAsia="黑体"/>
          <w:b/>
          <w:sz w:val="25"/>
        </w:rPr>
        <w:t>4.1 层级结构</w:t>
      </w:r>
    </w:p>
    <w:p>
      <w:pPr>
        <w:ind w:firstLine="440"/>
      </w:pPr>
      <w:r>
        <w:rPr>
          <w:rFonts w:ascii="宋体" w:hAnsi="宋体" w:eastAsia="宋体"/>
          <w:sz w:val="22"/>
        </w:rPr>
        <w:t>树状图自上而下分为四个层级：</w:t>
      </w:r>
    </w:p>
    <w:p>
      <w:pPr>
        <w:pStyle w:val="ListBullet"/>
        <w:spacing w:after="40"/>
        <w:ind w:left="440"/>
      </w:pPr>
      <w:r>
        <w:rPr>
          <w:rFonts w:ascii="宋体" w:hAnsi="宋体" w:eastAsia="宋体"/>
          <w:sz w:val="22"/>
        </w:rPr>
        <w:t>支部书记；</w:t>
      </w:r>
    </w:p>
    <w:p>
      <w:pPr>
        <w:pStyle w:val="ListBullet"/>
        <w:spacing w:after="40"/>
        <w:ind w:left="440"/>
      </w:pPr>
      <w:r>
        <w:rPr>
          <w:rFonts w:ascii="宋体" w:hAnsi="宋体" w:eastAsia="宋体"/>
          <w:sz w:val="22"/>
        </w:rPr>
        <w:t>支部副书记（未设置时该层级不显示）；</w:t>
      </w:r>
    </w:p>
    <w:p>
      <w:pPr>
        <w:pStyle w:val="ListBullet"/>
        <w:spacing w:after="40"/>
        <w:ind w:left="440"/>
      </w:pPr>
      <w:r>
        <w:rPr>
          <w:rFonts w:ascii="宋体" w:hAnsi="宋体" w:eastAsia="宋体"/>
          <w:sz w:val="22"/>
        </w:rPr>
        <w:t>支部委员会成员，按职务排列（组织委员、宣传委员、青年委员、纪检委员、保密委员、统战委员、群工委员等），仅显示已设置人员的职务，同一职务有多人时全部列出；</w:t>
      </w:r>
    </w:p>
    <w:p>
      <w:pPr>
        <w:pStyle w:val="ListBullet"/>
        <w:spacing w:after="40"/>
        <w:ind w:left="440"/>
      </w:pPr>
      <w:r>
        <w:rPr>
          <w:rFonts w:ascii="宋体" w:hAnsi="宋体" w:eastAsia="宋体"/>
          <w:sz w:val="22"/>
        </w:rPr>
        <w:t>党小组，并列展示各党小组卡片，卡片标题右侧以徽标显示该组人数。</w:t>
      </w:r>
    </w:p>
    <w:p>
      <w:pPr>
        <w:spacing w:before="120" w:after="40"/>
        <w:jc w:val="center"/>
      </w:pPr>
      <w:r>
        <w:drawing>
          <wp:inline xmlns:a="http://schemas.openxmlformats.org/drawingml/2006/main" xmlns:pic="http://schemas.openxmlformats.org/drawingml/2006/picture">
            <wp:extent cx="5616000" cy="2777287"/>
            <wp:docPr id="3" name="Picture 3"/>
            <wp:cNvGraphicFramePr>
              <a:graphicFrameLocks noChangeAspect="1"/>
            </wp:cNvGraphicFramePr>
            <a:graphic>
              <a:graphicData uri="http://schemas.openxmlformats.org/drawingml/2006/picture">
                <pic:pic>
                  <pic:nvPicPr>
                    <pic:cNvPr id="0" name="03-orgchart-top.png"/>
                    <pic:cNvPicPr/>
                  </pic:nvPicPr>
                  <pic:blipFill>
                    <a:blip r:embed="rId11"/>
                    <a:stretch>
                      <a:fillRect/>
                    </a:stretch>
                  </pic:blipFill>
                  <pic:spPr>
                    <a:xfrm>
                      <a:off x="0" y="0"/>
                      <a:ext cx="5616000" cy="2777287"/>
                    </a:xfrm>
                    <a:prstGeom prst="rect"/>
                  </pic:spPr>
                </pic:pic>
              </a:graphicData>
            </a:graphic>
          </wp:inline>
        </w:drawing>
      </w:r>
    </w:p>
    <w:p>
      <w:pPr>
        <w:spacing w:before="40" w:after="280"/>
        <w:jc w:val="center"/>
      </w:pPr>
      <w:r>
        <w:rPr>
          <w:rFonts w:ascii="宋体" w:hAnsi="宋体" w:eastAsia="宋体"/>
          <w:color w:val="595959"/>
          <w:sz w:val="19"/>
        </w:rPr>
        <w:t>图 4-1  组织架构页面（支部书记、副书记、支委委员与各党小组）</w:t>
      </w:r>
    </w:p>
    <w:p>
      <w:pPr>
        <w:spacing w:before="200" w:after="120"/>
      </w:pPr>
      <w:r>
        <w:rPr>
          <w:rFonts w:ascii="黑体" w:hAnsi="黑体" w:eastAsia="黑体"/>
          <w:b/>
          <w:sz w:val="25"/>
        </w:rPr>
        <w:t>4.2 党小组成员查看</w:t>
      </w:r>
    </w:p>
    <w:p>
      <w:pPr>
        <w:ind w:firstLine="440"/>
      </w:pPr>
      <w:r>
        <w:rPr>
          <w:rFonts w:ascii="宋体" w:hAnsi="宋体" w:eastAsia="宋体"/>
          <w:sz w:val="22"/>
        </w:rPr>
        <w:t>点击任一带小组卡片标题栏，即可展开该党小组成员名单，再次点击可收起。展开后每名成员显示姓名与所在部室；党小组组长置顶显示并带有"组长"标记；兼任支委职务的成员带有职务标记；处于借调状态的成员带有"借调"标记。页面右上角提供"展开全部／收起全部"按钮，可批量展开或收起全部党小组。</w:t>
      </w:r>
    </w:p>
    <w:p>
      <w:pPr>
        <w:spacing w:before="120" w:after="40"/>
        <w:jc w:val="center"/>
      </w:pPr>
      <w:r>
        <w:drawing>
          <wp:inline xmlns:a="http://schemas.openxmlformats.org/drawingml/2006/main" xmlns:pic="http://schemas.openxmlformats.org/drawingml/2006/picture">
            <wp:extent cx="5616000" cy="2777287"/>
            <wp:docPr id="4" name="Picture 4"/>
            <wp:cNvGraphicFramePr>
              <a:graphicFrameLocks noChangeAspect="1"/>
            </wp:cNvGraphicFramePr>
            <a:graphic>
              <a:graphicData uri="http://schemas.openxmlformats.org/drawingml/2006/picture">
                <pic:pic>
                  <pic:nvPicPr>
                    <pic:cNvPr id="0" name="03-orgchart-members.png"/>
                    <pic:cNvPicPr/>
                  </pic:nvPicPr>
                  <pic:blipFill>
                    <a:blip r:embed="rId12"/>
                    <a:stretch>
                      <a:fillRect/>
                    </a:stretch>
                  </pic:blipFill>
                  <pic:spPr>
                    <a:xfrm>
                      <a:off x="0" y="0"/>
                      <a:ext cx="5616000" cy="2777287"/>
                    </a:xfrm>
                    <a:prstGeom prst="rect"/>
                  </pic:spPr>
                </pic:pic>
              </a:graphicData>
            </a:graphic>
          </wp:inline>
        </w:drawing>
      </w:r>
    </w:p>
    <w:p>
      <w:pPr>
        <w:spacing w:before="40" w:after="280"/>
        <w:jc w:val="center"/>
      </w:pPr>
      <w:r>
        <w:rPr>
          <w:rFonts w:ascii="宋体" w:hAnsi="宋体" w:eastAsia="宋体"/>
          <w:color w:val="595959"/>
          <w:sz w:val="19"/>
        </w:rPr>
        <w:t>图 4-2  展开党小组查看成员名单（含组长标记、职务标记与所在部室）</w:t>
      </w:r>
    </w:p>
    <w:p>
      <w:pPr>
        <w:spacing w:before="200" w:after="120"/>
      </w:pPr>
      <w:r>
        <w:rPr>
          <w:rFonts w:ascii="黑体" w:hAnsi="黑体" w:eastAsia="黑体"/>
          <w:b/>
          <w:sz w:val="25"/>
        </w:rPr>
        <w:t>4.3 统计口径说明</w:t>
      </w:r>
    </w:p>
    <w:p>
      <w:pPr>
        <w:pStyle w:val="ListBullet"/>
        <w:spacing w:after="40"/>
        <w:ind w:left="440"/>
      </w:pPr>
      <w:r>
        <w:rPr>
          <w:rFonts w:ascii="宋体" w:hAnsi="宋体" w:eastAsia="宋体"/>
          <w:sz w:val="22"/>
        </w:rPr>
        <w:t>人员范围：包含当前在职人员与借调人员（借调人员组织关系仍在本支部，予以展示并标记）；调离、离职人员不显示。</w:t>
      </w:r>
    </w:p>
    <w:p>
      <w:pPr>
        <w:pStyle w:val="ListBullet"/>
        <w:spacing w:after="40"/>
        <w:ind w:left="440"/>
      </w:pPr>
      <w:r>
        <w:rPr>
          <w:rFonts w:ascii="宋体" w:hAnsi="宋体" w:eastAsia="宋体"/>
          <w:sz w:val="22"/>
        </w:rPr>
        <w:t>党小组人数：该组内当前在职人员与借调人员之和。</w:t>
      </w:r>
    </w:p>
    <w:p>
      <w:pPr>
        <w:pStyle w:val="ListBullet"/>
        <w:spacing w:after="40"/>
        <w:ind w:left="440"/>
      </w:pPr>
      <w:r>
        <w:rPr>
          <w:rFonts w:ascii="宋体" w:hAnsi="宋体" w:eastAsia="宋体"/>
          <w:sz w:val="22"/>
        </w:rPr>
        <w:t>书记：当未设置支部书记时，该节点仍保留并显示为"空缺"；副书记未设置时该节点不显示。</w:t>
      </w:r>
    </w:p>
    <w:p>
      <w:pPr>
        <w:pStyle w:val="ListBullet"/>
        <w:spacing w:after="40"/>
        <w:ind w:left="440"/>
      </w:pPr>
      <w:r>
        <w:rPr>
          <w:rFonts w:ascii="宋体" w:hAnsi="宋体" w:eastAsia="宋体"/>
          <w:sz w:val="22"/>
        </w:rPr>
        <w:t>未编入任何党小组的人员，统一归入"未编组"卡片中展示，人数照常统计。</w:t>
      </w:r>
    </w:p>
    <w:p>
      <w:pPr>
        <w:pStyle w:val="ListBullet"/>
        <w:spacing w:after="40"/>
        <w:ind w:left="440"/>
      </w:pPr>
      <w:r>
        <w:rPr>
          <w:rFonts w:ascii="宋体" w:hAnsi="宋体" w:eastAsia="宋体"/>
          <w:sz w:val="22"/>
        </w:rPr>
        <w:t>组织架构展示的是当前时点的组织情况，不随数据看板的年份切换而变化。</w:t>
      </w:r>
    </w:p>
    <w:p>
      <w:r>
        <w:br w:type="page"/>
      </w:r>
    </w:p>
    <w:p>
      <w:pPr>
        <w:spacing w:before="320" w:after="160"/>
      </w:pPr>
      <w:r>
        <w:rPr>
          <w:rFonts w:ascii="黑体" w:hAnsi="黑体" w:eastAsia="黑体"/>
          <w:b/>
          <w:sz w:val="30"/>
        </w:rPr>
        <w:t>五、人员管理</w:t>
      </w:r>
    </w:p>
    <w:p>
      <w:pPr>
        <w:ind w:firstLine="440"/>
      </w:pPr>
      <w:r>
        <w:rPr>
          <w:rFonts w:ascii="宋体" w:hAnsi="宋体" w:eastAsia="宋体"/>
          <w:sz w:val="22"/>
        </w:rPr>
        <w:t>人员管理页面用于维护党员基本信息，是会议出勤统计与组织架构展示的数据基础。</w:t>
      </w:r>
    </w:p>
    <w:p>
      <w:pPr>
        <w:spacing w:before="120" w:after="40"/>
        <w:jc w:val="center"/>
      </w:pPr>
      <w:r>
        <w:drawing>
          <wp:inline xmlns:a="http://schemas.openxmlformats.org/drawingml/2006/main" xmlns:pic="http://schemas.openxmlformats.org/drawingml/2006/picture">
            <wp:extent cx="5616000" cy="2777287"/>
            <wp:docPr id="5" name="Picture 5"/>
            <wp:cNvGraphicFramePr>
              <a:graphicFrameLocks noChangeAspect="1"/>
            </wp:cNvGraphicFramePr>
            <a:graphic>
              <a:graphicData uri="http://schemas.openxmlformats.org/drawingml/2006/picture">
                <pic:pic>
                  <pic:nvPicPr>
                    <pic:cNvPr id="0" name="04-members.png"/>
                    <pic:cNvPicPr/>
                  </pic:nvPicPr>
                  <pic:blipFill>
                    <a:blip r:embed="rId13"/>
                    <a:stretch>
                      <a:fillRect/>
                    </a:stretch>
                  </pic:blipFill>
                  <pic:spPr>
                    <a:xfrm>
                      <a:off x="0" y="0"/>
                      <a:ext cx="5616000" cy="2777287"/>
                    </a:xfrm>
                    <a:prstGeom prst="rect"/>
                  </pic:spPr>
                </pic:pic>
              </a:graphicData>
            </a:graphic>
          </wp:inline>
        </w:drawing>
      </w:r>
    </w:p>
    <w:p>
      <w:pPr>
        <w:spacing w:before="40" w:after="280"/>
        <w:jc w:val="center"/>
      </w:pPr>
      <w:r>
        <w:rPr>
          <w:rFonts w:ascii="宋体" w:hAnsi="宋体" w:eastAsia="宋体"/>
          <w:color w:val="595959"/>
          <w:sz w:val="19"/>
        </w:rPr>
        <w:t>图 5-1  人员管理页面（人员列表）</w:t>
      </w:r>
    </w:p>
    <w:p>
      <w:pPr>
        <w:spacing w:before="200" w:after="120"/>
      </w:pPr>
      <w:r>
        <w:rPr>
          <w:rFonts w:ascii="黑体" w:hAnsi="黑体" w:eastAsia="黑体"/>
          <w:b/>
          <w:sz w:val="25"/>
        </w:rPr>
        <w:t>5.1 人员列表与检索</w:t>
      </w:r>
    </w:p>
    <w:p>
      <w:pPr>
        <w:ind w:firstLine="440"/>
      </w:pPr>
      <w:r>
        <w:rPr>
          <w:rFonts w:ascii="宋体" w:hAnsi="宋体" w:eastAsia="宋体"/>
          <w:sz w:val="22"/>
        </w:rPr>
        <w:t>列表默认展示全部人员，包含姓名、部室、部门／支部、党小组、党小组组长、支委职务、联系电话、状态等列。页面顶部提供搜索框与筛选条件，可按姓名等条件检索；状态列以不同颜色区分在职、调离、借调、离职四种状态。列表底部显示人员总数。</w:t>
      </w:r>
    </w:p>
    <w:p>
      <w:pPr>
        <w:spacing w:before="200" w:after="120"/>
      </w:pPr>
      <w:r>
        <w:rPr>
          <w:rFonts w:ascii="黑体" w:hAnsi="黑体" w:eastAsia="黑体"/>
          <w:b/>
          <w:sz w:val="25"/>
        </w:rPr>
        <w:t>5.2 新增与编辑人员</w:t>
      </w:r>
    </w:p>
    <w:p>
      <w:pPr>
        <w:ind w:firstLine="440"/>
      </w:pPr>
      <w:r>
        <w:rPr>
          <w:rFonts w:ascii="宋体" w:hAnsi="宋体" w:eastAsia="宋体"/>
          <w:sz w:val="22"/>
        </w:rPr>
        <w:t>点击"新增人员"按钮打开录入表单，填写姓名、部室、部门／支部、联系电话、党小组、支委职务、是否担任党小组组长、状态等信息后保存。点击列表中某一行的人员姓名或编辑按钮，可修改其信息。</w:t>
      </w:r>
    </w:p>
    <w:p>
      <w:pPr>
        <w:spacing w:before="120" w:after="40"/>
        <w:jc w:val="center"/>
      </w:pPr>
      <w:r>
        <w:drawing>
          <wp:inline xmlns:a="http://schemas.openxmlformats.org/drawingml/2006/main" xmlns:pic="http://schemas.openxmlformats.org/drawingml/2006/picture">
            <wp:extent cx="5616000" cy="2777287"/>
            <wp:docPr id="6" name="Picture 6"/>
            <wp:cNvGraphicFramePr>
              <a:graphicFrameLocks noChangeAspect="1"/>
            </wp:cNvGraphicFramePr>
            <a:graphic>
              <a:graphicData uri="http://schemas.openxmlformats.org/drawingml/2006/picture">
                <pic:pic>
                  <pic:nvPicPr>
                    <pic:cNvPr id="0" name="05-member-form.png"/>
                    <pic:cNvPicPr/>
                  </pic:nvPicPr>
                  <pic:blipFill>
                    <a:blip r:embed="rId14"/>
                    <a:stretch>
                      <a:fillRect/>
                    </a:stretch>
                  </pic:blipFill>
                  <pic:spPr>
                    <a:xfrm>
                      <a:off x="0" y="0"/>
                      <a:ext cx="5616000" cy="2777287"/>
                    </a:xfrm>
                    <a:prstGeom prst="rect"/>
                  </pic:spPr>
                </pic:pic>
              </a:graphicData>
            </a:graphic>
          </wp:inline>
        </w:drawing>
      </w:r>
    </w:p>
    <w:p>
      <w:pPr>
        <w:spacing w:before="40" w:after="280"/>
        <w:jc w:val="center"/>
      </w:pPr>
      <w:r>
        <w:rPr>
          <w:rFonts w:ascii="宋体" w:hAnsi="宋体" w:eastAsia="宋体"/>
          <w:color w:val="595959"/>
          <w:sz w:val="19"/>
        </w:rPr>
        <w:t>图 5-2  新增人员表单</w:t>
      </w:r>
    </w:p>
    <w:p>
      <w:pPr>
        <w:spacing w:before="200" w:after="120"/>
      </w:pPr>
      <w:r>
        <w:rPr>
          <w:rFonts w:ascii="黑体" w:hAnsi="黑体" w:eastAsia="黑体"/>
          <w:b/>
          <w:sz w:val="25"/>
        </w:rPr>
        <w:t>5.3 状态与状态变更历史</w:t>
      </w:r>
    </w:p>
    <w:p>
      <w:pPr>
        <w:ind w:firstLine="440"/>
      </w:pPr>
      <w:r>
        <w:rPr>
          <w:rFonts w:ascii="宋体" w:hAnsi="宋体" w:eastAsia="宋体"/>
          <w:sz w:val="22"/>
        </w:rPr>
        <w:t>人员状态用于确定其在各时点是否计入考勤。当把人员状态由"在职"改为"调离""借调"或"离职"时，需要同时选择状态变更日期，软件会将该变更记入人员的状态变更历史。此后统计时，系统按会议日期时点追溯人员当时的状态：变更日期之前照常计入考勤，变更期间不计入，若状态改回"在职"并记录回归日期，则自该日期起恢复计入。</w:t>
      </w:r>
    </w:p>
    <w:p>
      <w:pPr>
        <w:ind w:firstLine="440"/>
      </w:pPr>
      <w:r>
        <w:rPr>
          <w:rFonts w:ascii="宋体" w:hAnsi="宋体" w:eastAsia="宋体"/>
          <w:sz w:val="22"/>
        </w:rPr>
        <w:t>在人员编辑弹窗中可查看并编辑"变更历史"，包括状态记录与信息变更记录，可修改日期或删除误操作的记录，保存后相关统计实时重算。</w:t>
      </w:r>
    </w:p>
    <w:p>
      <w:pPr>
        <w:spacing w:before="200" w:after="120"/>
      </w:pPr>
      <w:r>
        <w:rPr>
          <w:rFonts w:ascii="黑体" w:hAnsi="黑体" w:eastAsia="黑体"/>
          <w:b/>
          <w:sz w:val="25"/>
        </w:rPr>
        <w:t>5.4 批量导入</w:t>
      </w:r>
    </w:p>
    <w:p>
      <w:pPr>
        <w:ind w:firstLine="440"/>
      </w:pPr>
      <w:r>
        <w:rPr>
          <w:rFonts w:ascii="宋体" w:hAnsi="宋体" w:eastAsia="宋体"/>
          <w:sz w:val="22"/>
        </w:rPr>
        <w:t>通过"批量导入"可下载导入模板，按模板填写人员信息后一次性导入。模板中除基本信息外，还提供"入职日期""当前状态""状态变更日期"等可选列，用于导入时即构建完整的状态时间线。导入前软件会检测本机是否有同名人员，并逐人提供跳过、以导入内容更新或仍新建的处理方式，避免重复建档。</w:t>
      </w:r>
    </w:p>
    <w:p>
      <w:r>
        <w:br w:type="page"/>
      </w:r>
    </w:p>
    <w:p>
      <w:pPr>
        <w:spacing w:before="320" w:after="160"/>
      </w:pPr>
      <w:r>
        <w:rPr>
          <w:rFonts w:ascii="黑体" w:hAnsi="黑体" w:eastAsia="黑体"/>
          <w:b/>
          <w:sz w:val="30"/>
        </w:rPr>
        <w:t>六、会议管理</w:t>
      </w:r>
    </w:p>
    <w:p>
      <w:pPr>
        <w:ind w:firstLine="440"/>
      </w:pPr>
      <w:r>
        <w:rPr>
          <w:rFonts w:ascii="宋体" w:hAnsi="宋体" w:eastAsia="宋体"/>
          <w:sz w:val="22"/>
        </w:rPr>
        <w:t>会议管理页面用于记录"三会一课"、主题党日活动、组织生活会等各类党内会议，并统计出勤情况。</w:t>
      </w:r>
    </w:p>
    <w:p>
      <w:pPr>
        <w:spacing w:before="120" w:after="40"/>
        <w:jc w:val="center"/>
      </w:pPr>
      <w:r>
        <w:drawing>
          <wp:inline xmlns:a="http://schemas.openxmlformats.org/drawingml/2006/main" xmlns:pic="http://schemas.openxmlformats.org/drawingml/2006/picture">
            <wp:extent cx="5616000" cy="2777287"/>
            <wp:docPr id="7" name="Picture 7"/>
            <wp:cNvGraphicFramePr>
              <a:graphicFrameLocks noChangeAspect="1"/>
            </wp:cNvGraphicFramePr>
            <a:graphic>
              <a:graphicData uri="http://schemas.openxmlformats.org/drawingml/2006/picture">
                <pic:pic>
                  <pic:nvPicPr>
                    <pic:cNvPr id="0" name="06-meetings.png"/>
                    <pic:cNvPicPr/>
                  </pic:nvPicPr>
                  <pic:blipFill>
                    <a:blip r:embed="rId15"/>
                    <a:stretch>
                      <a:fillRect/>
                    </a:stretch>
                  </pic:blipFill>
                  <pic:spPr>
                    <a:xfrm>
                      <a:off x="0" y="0"/>
                      <a:ext cx="5616000" cy="2777287"/>
                    </a:xfrm>
                    <a:prstGeom prst="rect"/>
                  </pic:spPr>
                </pic:pic>
              </a:graphicData>
            </a:graphic>
          </wp:inline>
        </w:drawing>
      </w:r>
    </w:p>
    <w:p>
      <w:pPr>
        <w:spacing w:before="40" w:after="280"/>
        <w:jc w:val="center"/>
      </w:pPr>
      <w:r>
        <w:rPr>
          <w:rFonts w:ascii="宋体" w:hAnsi="宋体" w:eastAsia="宋体"/>
          <w:color w:val="595959"/>
          <w:sz w:val="19"/>
        </w:rPr>
        <w:t>图 6-1  会议管理页面（会议列表）</w:t>
      </w:r>
    </w:p>
    <w:p>
      <w:pPr>
        <w:spacing w:before="200" w:after="120"/>
      </w:pPr>
      <w:r>
        <w:rPr>
          <w:rFonts w:ascii="黑体" w:hAnsi="黑体" w:eastAsia="黑体"/>
          <w:b/>
          <w:sz w:val="25"/>
        </w:rPr>
        <w:t>6.1 会议列表与筛选</w:t>
      </w:r>
    </w:p>
    <w:p>
      <w:pPr>
        <w:ind w:firstLine="440"/>
      </w:pPr>
      <w:r>
        <w:rPr>
          <w:rFonts w:ascii="宋体" w:hAnsi="宋体" w:eastAsia="宋体"/>
          <w:sz w:val="22"/>
        </w:rPr>
        <w:t>列表按日期倒序展示会议记录，包含会议名称、会议类型、日期、时间、地点、主持人、议题、出勤等列，出勤列以"实到／应到"形式显示。页面顶部提供关键词搜索、会议类型筛选与日期范围筛选。</w:t>
      </w:r>
    </w:p>
    <w:p>
      <w:pPr>
        <w:spacing w:before="200" w:after="120"/>
      </w:pPr>
      <w:r>
        <w:rPr>
          <w:rFonts w:ascii="黑体" w:hAnsi="黑体" w:eastAsia="黑体"/>
          <w:b/>
          <w:sz w:val="25"/>
        </w:rPr>
        <w:t>6.2 新增会议记录</w:t>
      </w:r>
    </w:p>
    <w:p>
      <w:pPr>
        <w:ind w:firstLine="440"/>
      </w:pPr>
      <w:r>
        <w:rPr>
          <w:rFonts w:ascii="宋体" w:hAnsi="宋体" w:eastAsia="宋体"/>
          <w:sz w:val="22"/>
        </w:rPr>
        <w:t>点击"新增会议"按钮打开录入表单，填写会议名称、会议类型（可多选）、会议日期与时间、会议地点、主持人、记录人、议题、参会人员与会议决议等信息后保存。</w:t>
      </w:r>
    </w:p>
    <w:p>
      <w:pPr>
        <w:ind w:firstLine="440"/>
      </w:pPr>
      <w:r>
        <w:rPr>
          <w:rFonts w:ascii="宋体" w:hAnsi="宋体" w:eastAsia="宋体"/>
          <w:sz w:val="22"/>
        </w:rPr>
        <w:t>会议类型支持多选，以记录同一条会议记录中合并召开的多类会议（如支部党员大会与党课套开）。选择"党小组会"时，表单会联动出现"所属党小组"选择项，可多选。会议地点支持下拉选择已有地点，也可直接输入新地点，新地点会自动保存为常用地点。</w:t>
      </w:r>
    </w:p>
    <w:p>
      <w:pPr>
        <w:spacing w:before="120" w:after="40"/>
        <w:jc w:val="center"/>
      </w:pPr>
      <w:r>
        <w:drawing>
          <wp:inline xmlns:a="http://schemas.openxmlformats.org/drawingml/2006/main" xmlns:pic="http://schemas.openxmlformats.org/drawingml/2006/picture">
            <wp:extent cx="5616000" cy="2777287"/>
            <wp:docPr id="8" name="Picture 8"/>
            <wp:cNvGraphicFramePr>
              <a:graphicFrameLocks noChangeAspect="1"/>
            </wp:cNvGraphicFramePr>
            <a:graphic>
              <a:graphicData uri="http://schemas.openxmlformats.org/drawingml/2006/picture">
                <pic:pic>
                  <pic:nvPicPr>
                    <pic:cNvPr id="0" name="07-meeting-form.png"/>
                    <pic:cNvPicPr/>
                  </pic:nvPicPr>
                  <pic:blipFill>
                    <a:blip r:embed="rId16"/>
                    <a:stretch>
                      <a:fillRect/>
                    </a:stretch>
                  </pic:blipFill>
                  <pic:spPr>
                    <a:xfrm>
                      <a:off x="0" y="0"/>
                      <a:ext cx="5616000" cy="2777287"/>
                    </a:xfrm>
                    <a:prstGeom prst="rect"/>
                  </pic:spPr>
                </pic:pic>
              </a:graphicData>
            </a:graphic>
          </wp:inline>
        </w:drawing>
      </w:r>
    </w:p>
    <w:p>
      <w:pPr>
        <w:spacing w:before="40" w:after="280"/>
        <w:jc w:val="center"/>
      </w:pPr>
      <w:r>
        <w:rPr>
          <w:rFonts w:ascii="宋体" w:hAnsi="宋体" w:eastAsia="宋体"/>
          <w:color w:val="595959"/>
          <w:sz w:val="19"/>
        </w:rPr>
        <w:t>图 6-2  新增会议表单（含参会人员识别与出勤状态维护）</w:t>
      </w:r>
    </w:p>
    <w:p>
      <w:pPr>
        <w:spacing w:before="200" w:after="120"/>
      </w:pPr>
      <w:r>
        <w:rPr>
          <w:rFonts w:ascii="黑体" w:hAnsi="黑体" w:eastAsia="黑体"/>
          <w:b/>
          <w:sz w:val="25"/>
        </w:rPr>
        <w:t>6.3 参会人员维护与智能识别</w:t>
      </w:r>
    </w:p>
    <w:p>
      <w:pPr>
        <w:ind w:firstLine="440"/>
      </w:pPr>
      <w:r>
        <w:rPr>
          <w:rFonts w:ascii="宋体" w:hAnsi="宋体" w:eastAsia="宋体"/>
          <w:sz w:val="22"/>
        </w:rPr>
        <w:t>参会人员区域支持以下录入方式：</w:t>
      </w:r>
    </w:p>
    <w:p>
      <w:pPr>
        <w:pStyle w:val="ListBullet"/>
        <w:spacing w:after="40"/>
        <w:ind w:left="440"/>
      </w:pPr>
      <w:r>
        <w:rPr>
          <w:rFonts w:ascii="宋体" w:hAnsi="宋体" w:eastAsia="宋体"/>
          <w:sz w:val="22"/>
        </w:rPr>
        <w:t>智能文本识别：将参会接龙文本粘贴到识别框中，软件自动识别其中的姓名以及"参会""出席""请假""缺勤""列席"等状态信息，并匹配人员库生成参会名单；若仅填写了请假人员，其余在职人员默认按出席处理。</w:t>
      </w:r>
    </w:p>
    <w:p>
      <w:pPr>
        <w:pStyle w:val="ListBullet"/>
        <w:spacing w:after="40"/>
        <w:ind w:left="440"/>
      </w:pPr>
      <w:r>
        <w:rPr>
          <w:rFonts w:ascii="宋体" w:hAnsi="宋体" w:eastAsia="宋体"/>
          <w:sz w:val="22"/>
        </w:rPr>
        <w:t>搜索添加：在搜索框中输入姓名，回车即可添加；同时出现在多个匹配项时可点选确认。</w:t>
      </w:r>
    </w:p>
    <w:p>
      <w:pPr>
        <w:pStyle w:val="ListBullet"/>
        <w:spacing w:after="40"/>
        <w:ind w:left="440"/>
      </w:pPr>
      <w:r>
        <w:rPr>
          <w:rFonts w:ascii="宋体" w:hAnsi="宋体" w:eastAsia="宋体"/>
          <w:sz w:val="22"/>
        </w:rPr>
        <w:t>快捷选择：支持一键全选在职人员、选择支委委员、按党小组选择人员等。</w:t>
      </w:r>
    </w:p>
    <w:p>
      <w:pPr>
        <w:ind w:firstLine="440"/>
      </w:pPr>
      <w:r>
        <w:rPr>
          <w:rFonts w:ascii="宋体" w:hAnsi="宋体" w:eastAsia="宋体"/>
          <w:sz w:val="22"/>
        </w:rPr>
        <w:t>参会名单表格中可逐人设置出席情况（出席／请假／缺席）、填写请假原因、标记列席人员。若所选会议日期时点有在职人员未加入参会名单，表单会给出提示，便于核实是否存在遗漏。表单还提供"复用上一条"功能，可基于最近一条会议记录快速复制生成新记录。</w:t>
      </w:r>
    </w:p>
    <w:p>
      <w:pPr>
        <w:spacing w:before="200" w:after="120"/>
      </w:pPr>
      <w:r>
        <w:rPr>
          <w:rFonts w:ascii="黑体" w:hAnsi="黑体" w:eastAsia="黑体"/>
          <w:b/>
          <w:sz w:val="25"/>
        </w:rPr>
        <w:t>6.4 出勤统计口径</w:t>
      </w:r>
    </w:p>
    <w:p>
      <w:pPr>
        <w:ind w:firstLine="440"/>
      </w:pPr>
      <w:r>
        <w:rPr>
          <w:rFonts w:ascii="宋体" w:hAnsi="宋体" w:eastAsia="宋体"/>
          <w:sz w:val="22"/>
        </w:rPr>
        <w:t>软件按"会议日期时点在职"的口径统计每场会议的应到与实到人数：调离、借调、离职人员在离开期间不计入考勤，其离开前及回归后的会议照常计入；列席人员计入出席；未匹配到人员库的临时人员不计入。</w:t>
      </w:r>
    </w:p>
    <w:p>
      <w:pPr>
        <w:spacing w:before="200" w:after="120"/>
      </w:pPr>
      <w:r>
        <w:rPr>
          <w:rFonts w:ascii="黑体" w:hAnsi="黑体" w:eastAsia="黑体"/>
          <w:b/>
          <w:sz w:val="25"/>
        </w:rPr>
        <w:t>6.5 年度台账导出</w:t>
      </w:r>
    </w:p>
    <w:p>
      <w:pPr>
        <w:ind w:firstLine="440"/>
      </w:pPr>
      <w:r>
        <w:rPr>
          <w:rFonts w:ascii="宋体" w:hAnsi="宋体" w:eastAsia="宋体"/>
          <w:sz w:val="22"/>
        </w:rPr>
        <w:t>页面顶部提供"导出台账"功能，可将所选时间范围内的会议台账导出为 Excel 文件。导出内容包含会议记录明细主表，以及支委会、党员大会、各党小组会、党课、组织生活会、民主生活会、主题党日活动等分类子表，并附参会考勤统计、月度汇总与会议类型统计等统计表。参会人员名单按"参会／请假／缺席"分块换行排版，便于查阅。</w:t>
      </w:r>
    </w:p>
    <w:p>
      <w:r>
        <w:br w:type="page"/>
      </w:r>
    </w:p>
    <w:p>
      <w:pPr>
        <w:spacing w:before="320" w:after="160"/>
      </w:pPr>
      <w:r>
        <w:rPr>
          <w:rFonts w:ascii="黑体" w:hAnsi="黑体" w:eastAsia="黑体"/>
          <w:b/>
          <w:sz w:val="30"/>
        </w:rPr>
        <w:t>七、谈心谈话</w:t>
      </w:r>
    </w:p>
    <w:p>
      <w:pPr>
        <w:ind w:firstLine="440"/>
      </w:pPr>
      <w:r>
        <w:rPr>
          <w:rFonts w:ascii="宋体" w:hAnsi="宋体" w:eastAsia="宋体"/>
          <w:sz w:val="22"/>
        </w:rPr>
        <w:t>谈心谈话页面用于记录党内谈心谈话情况。列表展示谈话时间、谈话方式、谈话类型、谈话人、谈话对象、联系人、谈话地点等信息，支持按谈话类型、谈话方式与日期范围筛选。</w:t>
      </w:r>
    </w:p>
    <w:p>
      <w:pPr>
        <w:spacing w:before="120" w:after="40"/>
        <w:jc w:val="center"/>
      </w:pPr>
      <w:r>
        <w:drawing>
          <wp:inline xmlns:a="http://schemas.openxmlformats.org/drawingml/2006/main" xmlns:pic="http://schemas.openxmlformats.org/drawingml/2006/picture">
            <wp:extent cx="5616000" cy="3893991"/>
            <wp:docPr id="9" name="Picture 9"/>
            <wp:cNvGraphicFramePr>
              <a:graphicFrameLocks noChangeAspect="1"/>
            </wp:cNvGraphicFramePr>
            <a:graphic>
              <a:graphicData uri="http://schemas.openxmlformats.org/drawingml/2006/picture">
                <pic:pic>
                  <pic:nvPicPr>
                    <pic:cNvPr id="0" name="08-talks.png"/>
                    <pic:cNvPicPr/>
                  </pic:nvPicPr>
                  <pic:blipFill>
                    <a:blip r:embed="rId17"/>
                    <a:stretch>
                      <a:fillRect/>
                    </a:stretch>
                  </pic:blipFill>
                  <pic:spPr>
                    <a:xfrm>
                      <a:off x="0" y="0"/>
                      <a:ext cx="5616000" cy="3893991"/>
                    </a:xfrm>
                    <a:prstGeom prst="rect"/>
                  </pic:spPr>
                </pic:pic>
              </a:graphicData>
            </a:graphic>
          </wp:inline>
        </w:drawing>
      </w:r>
    </w:p>
    <w:p>
      <w:pPr>
        <w:spacing w:before="40" w:after="280"/>
        <w:jc w:val="center"/>
      </w:pPr>
      <w:r>
        <w:rPr>
          <w:rFonts w:ascii="宋体" w:hAnsi="宋体" w:eastAsia="宋体"/>
          <w:color w:val="595959"/>
          <w:sz w:val="19"/>
        </w:rPr>
        <w:t>图 7-1  谈心谈话页面（谈话记录列表）</w:t>
      </w:r>
    </w:p>
    <w:p>
      <w:pPr>
        <w:ind w:firstLine="440"/>
      </w:pPr>
      <w:r>
        <w:rPr>
          <w:rFonts w:ascii="宋体" w:hAnsi="宋体" w:eastAsia="宋体"/>
          <w:sz w:val="22"/>
        </w:rPr>
        <w:t>点击"新增谈话"打开录入表单：选择谈话方式（个别谈话、集体谈话、组织约谈）后，表单会相应调整谈话对象的填写方式——个别谈话为单一谈话对象，集体谈话与组织约谈可填写多个谈话对象；选择人员后自动填充其职务。表单还包含谈话类型、联系人、谈话日期、时段（上午／下午）、谈话提纲、谈话地点、是否属于"五必谈"以及备注等字段。</w:t>
      </w:r>
    </w:p>
    <w:p>
      <w:pPr>
        <w:ind w:firstLine="440"/>
      </w:pPr>
      <w:r>
        <w:rPr>
          <w:rFonts w:ascii="宋体" w:hAnsi="宋体" w:eastAsia="宋体"/>
          <w:sz w:val="22"/>
        </w:rPr>
        <w:t>页面顶部提供导出功能，可将谈心谈话记录导出为 Excel 台账。</w:t>
      </w:r>
    </w:p>
    <w:p>
      <w:r>
        <w:br w:type="page"/>
      </w:r>
    </w:p>
    <w:p>
      <w:pPr>
        <w:spacing w:before="320" w:after="160"/>
      </w:pPr>
      <w:r>
        <w:rPr>
          <w:rFonts w:ascii="黑体" w:hAnsi="黑体" w:eastAsia="黑体"/>
          <w:b/>
          <w:sz w:val="30"/>
        </w:rPr>
        <w:t>八、操作日志</w:t>
      </w:r>
    </w:p>
    <w:p>
      <w:pPr>
        <w:ind w:firstLine="440"/>
      </w:pPr>
      <w:r>
        <w:rPr>
          <w:rFonts w:ascii="宋体" w:hAnsi="宋体" w:eastAsia="宋体"/>
          <w:sz w:val="22"/>
        </w:rPr>
        <w:t>操作日志页面用于追溯关键操作。软件在新增、修改、删除人员，新增、修改、删除会议与谈心谈话，导出台账与统计报告，备份、恢复、重置数据以及数据融合等操作时，自动写入一条操作日志。</w:t>
      </w:r>
    </w:p>
    <w:p>
      <w:pPr>
        <w:spacing w:before="120" w:after="40"/>
        <w:jc w:val="center"/>
      </w:pPr>
      <w:r>
        <w:drawing>
          <wp:inline xmlns:a="http://schemas.openxmlformats.org/drawingml/2006/main" xmlns:pic="http://schemas.openxmlformats.org/drawingml/2006/picture">
            <wp:extent cx="5616000" cy="6215682"/>
            <wp:docPr id="10" name="Picture 10"/>
            <wp:cNvGraphicFramePr>
              <a:graphicFrameLocks noChangeAspect="1"/>
            </wp:cNvGraphicFramePr>
            <a:graphic>
              <a:graphicData uri="http://schemas.openxmlformats.org/drawingml/2006/picture">
                <pic:pic>
                  <pic:nvPicPr>
                    <pic:cNvPr id="0" name="09-logs.png"/>
                    <pic:cNvPicPr/>
                  </pic:nvPicPr>
                  <pic:blipFill>
                    <a:blip r:embed="rId18"/>
                    <a:stretch>
                      <a:fillRect/>
                    </a:stretch>
                  </pic:blipFill>
                  <pic:spPr>
                    <a:xfrm>
                      <a:off x="0" y="0"/>
                      <a:ext cx="5616000" cy="6215682"/>
                    </a:xfrm>
                    <a:prstGeom prst="rect"/>
                  </pic:spPr>
                </pic:pic>
              </a:graphicData>
            </a:graphic>
          </wp:inline>
        </w:drawing>
      </w:r>
    </w:p>
    <w:p>
      <w:pPr>
        <w:spacing w:before="40" w:after="280"/>
        <w:jc w:val="center"/>
      </w:pPr>
      <w:r>
        <w:rPr>
          <w:rFonts w:ascii="宋体" w:hAnsi="宋体" w:eastAsia="宋体"/>
          <w:color w:val="595959"/>
          <w:sz w:val="19"/>
        </w:rPr>
        <w:t>图 8-1  操作日志页面（操作记录列表）</w:t>
      </w:r>
    </w:p>
    <w:p>
      <w:pPr>
        <w:ind w:firstLine="440"/>
      </w:pPr>
      <w:r>
        <w:rPr>
          <w:rFonts w:ascii="宋体" w:hAnsi="宋体" w:eastAsia="宋体"/>
          <w:sz w:val="22"/>
        </w:rPr>
        <w:t>日志列表按时间倒序展示，包含时间、操作类型、操作描述、操作详情与操作结果（成功／失败）等列，支持按操作类型与时间范围检索。页面提供旧日志清理功能，便于控制日志数据量。</w:t>
      </w:r>
    </w:p>
    <w:p>
      <w:r>
        <w:br w:type="page"/>
      </w:r>
    </w:p>
    <w:p>
      <w:pPr>
        <w:spacing w:before="320" w:after="160"/>
      </w:pPr>
      <w:r>
        <w:rPr>
          <w:rFonts w:ascii="黑体" w:hAnsi="黑体" w:eastAsia="黑体"/>
          <w:b/>
          <w:sz w:val="30"/>
        </w:rPr>
        <w:t>九、数据管理</w:t>
      </w:r>
    </w:p>
    <w:p>
      <w:pPr>
        <w:spacing w:before="200" w:after="120"/>
      </w:pPr>
      <w:r>
        <w:rPr>
          <w:rFonts w:ascii="黑体" w:hAnsi="黑体" w:eastAsia="黑体"/>
          <w:b/>
          <w:sz w:val="25"/>
        </w:rPr>
        <w:t>9.1 数据备份</w:t>
      </w:r>
    </w:p>
    <w:p>
      <w:pPr>
        <w:ind w:firstLine="440"/>
      </w:pPr>
      <w:r>
        <w:rPr>
          <w:rFonts w:ascii="宋体" w:hAnsi="宋体" w:eastAsia="宋体"/>
          <w:sz w:val="22"/>
        </w:rPr>
        <w:t>数据管理页面提供 JSON 与 Excel 两种备份格式，并支持选择导出范围（全部数据、仅会议记录、仅谈心谈话）。JSON 格式结构完整，用于数据恢复与融合；Excel 格式便于表格查看与存档，其内部同时保留了可用于整库恢复的数据。</w:t>
      </w:r>
    </w:p>
    <w:p>
      <w:pPr>
        <w:spacing w:before="120" w:after="40"/>
        <w:jc w:val="center"/>
      </w:pPr>
      <w:r>
        <w:drawing>
          <wp:inline xmlns:a="http://schemas.openxmlformats.org/drawingml/2006/main" xmlns:pic="http://schemas.openxmlformats.org/drawingml/2006/picture">
            <wp:extent cx="5616000" cy="2777287"/>
            <wp:docPr id="11" name="Picture 11"/>
            <wp:cNvGraphicFramePr>
              <a:graphicFrameLocks noChangeAspect="1"/>
            </wp:cNvGraphicFramePr>
            <a:graphic>
              <a:graphicData uri="http://schemas.openxmlformats.org/drawingml/2006/picture">
                <pic:pic>
                  <pic:nvPicPr>
                    <pic:cNvPr id="0" name="10-settings-top.png"/>
                    <pic:cNvPicPr/>
                  </pic:nvPicPr>
                  <pic:blipFill>
                    <a:blip r:embed="rId19"/>
                    <a:stretch>
                      <a:fillRect/>
                    </a:stretch>
                  </pic:blipFill>
                  <pic:spPr>
                    <a:xfrm>
                      <a:off x="0" y="0"/>
                      <a:ext cx="5616000" cy="2777287"/>
                    </a:xfrm>
                    <a:prstGeom prst="rect"/>
                  </pic:spPr>
                </pic:pic>
              </a:graphicData>
            </a:graphic>
          </wp:inline>
        </w:drawing>
      </w:r>
    </w:p>
    <w:p>
      <w:pPr>
        <w:spacing w:before="40" w:after="280"/>
        <w:jc w:val="center"/>
      </w:pPr>
      <w:r>
        <w:rPr>
          <w:rFonts w:ascii="宋体" w:hAnsi="宋体" w:eastAsia="宋体"/>
          <w:color w:val="595959"/>
          <w:sz w:val="19"/>
        </w:rPr>
        <w:t>图 9-1  数据管理页面（数据备份与数据恢复）</w:t>
      </w:r>
    </w:p>
    <w:p>
      <w:pPr>
        <w:ind w:firstLine="440"/>
      </w:pPr>
      <w:r>
        <w:rPr>
          <w:rFonts w:ascii="宋体" w:hAnsi="宋体" w:eastAsia="宋体"/>
          <w:sz w:val="22"/>
        </w:rPr>
        <w:t>软件还提供定时自动备份功能（桌面应用环境），可按设定的频率自动将整库数据备份到指定文件夹，并按保留份数自动清理最早的备份文件，无需手动操作。</w:t>
      </w:r>
    </w:p>
    <w:p>
      <w:pPr>
        <w:spacing w:before="200" w:after="120"/>
      </w:pPr>
      <w:r>
        <w:rPr>
          <w:rFonts w:ascii="黑体" w:hAnsi="黑体" w:eastAsia="黑体"/>
          <w:b/>
          <w:sz w:val="25"/>
        </w:rPr>
        <w:t>9.2 数据恢复</w:t>
      </w:r>
    </w:p>
    <w:p>
      <w:pPr>
        <w:ind w:firstLine="440"/>
      </w:pPr>
      <w:r>
        <w:rPr>
          <w:rFonts w:ascii="宋体" w:hAnsi="宋体" w:eastAsia="宋体"/>
          <w:sz w:val="22"/>
        </w:rPr>
        <w:t>选择此前导出的备份文件即可进行数据恢复，支持 .json 与 .xlsx 两种格式。恢复前软件会显示备份文件的内容摘要供确认。请注意：恢复将覆盖当前数据，操作需谨慎。</w:t>
      </w:r>
    </w:p>
    <w:p>
      <w:pPr>
        <w:spacing w:before="200" w:after="120"/>
      </w:pPr>
      <w:r>
        <w:rPr>
          <w:rFonts w:ascii="黑体" w:hAnsi="黑体" w:eastAsia="黑体"/>
          <w:b/>
          <w:sz w:val="25"/>
        </w:rPr>
        <w:t>9.3 数据融合</w:t>
      </w:r>
    </w:p>
    <w:p>
      <w:pPr>
        <w:ind w:firstLine="440"/>
      </w:pPr>
      <w:r>
        <w:rPr>
          <w:rFonts w:ascii="宋体" w:hAnsi="宋体" w:eastAsia="宋体"/>
          <w:sz w:val="22"/>
        </w:rPr>
        <w:t>数据融合用于将党小组组长一侧导出的数据合并到管理端，支持 JSON 备份与 Excel 台账两种来源。JSON 备份按记录标识智能合并，相同人员按字段级融合；Excel 台账按统一的表格列格式解析校验后导入。融合过程不会覆盖本机已有数据，且人员姓名按本机人员库匹配。页面还提供"下载组长填报模板"，供未安装软件的组长按模板填报后交回导入。</w:t>
      </w:r>
    </w:p>
    <w:p>
      <w:pPr>
        <w:spacing w:before="120" w:after="40"/>
        <w:jc w:val="center"/>
      </w:pPr>
      <w:r>
        <w:drawing>
          <wp:inline xmlns:a="http://schemas.openxmlformats.org/drawingml/2006/main" xmlns:pic="http://schemas.openxmlformats.org/drawingml/2006/picture">
            <wp:extent cx="5616000" cy="2777287"/>
            <wp:docPr id="12" name="Picture 12"/>
            <wp:cNvGraphicFramePr>
              <a:graphicFrameLocks noChangeAspect="1"/>
            </wp:cNvGraphicFramePr>
            <a:graphic>
              <a:graphicData uri="http://schemas.openxmlformats.org/drawingml/2006/picture">
                <pic:pic>
                  <pic:nvPicPr>
                    <pic:cNvPr id="0" name="10-settings-bottom.png"/>
                    <pic:cNvPicPr/>
                  </pic:nvPicPr>
                  <pic:blipFill>
                    <a:blip r:embed="rId20"/>
                    <a:stretch>
                      <a:fillRect/>
                    </a:stretch>
                  </pic:blipFill>
                  <pic:spPr>
                    <a:xfrm>
                      <a:off x="0" y="0"/>
                      <a:ext cx="5616000" cy="2777287"/>
                    </a:xfrm>
                    <a:prstGeom prst="rect"/>
                  </pic:spPr>
                </pic:pic>
              </a:graphicData>
            </a:graphic>
          </wp:inline>
        </w:drawing>
      </w:r>
    </w:p>
    <w:p>
      <w:pPr>
        <w:spacing w:before="40" w:after="280"/>
        <w:jc w:val="center"/>
      </w:pPr>
      <w:r>
        <w:rPr>
          <w:rFonts w:ascii="宋体" w:hAnsi="宋体" w:eastAsia="宋体"/>
          <w:color w:val="595959"/>
          <w:sz w:val="19"/>
        </w:rPr>
        <w:t>图 9-2  数据管理页面（数据融合与数据重置）</w:t>
      </w:r>
    </w:p>
    <w:p>
      <w:pPr>
        <w:ind w:firstLine="440"/>
      </w:pPr>
      <w:r>
        <w:rPr>
          <w:rFonts w:ascii="宋体" w:hAnsi="宋体" w:eastAsia="宋体"/>
          <w:sz w:val="22"/>
        </w:rPr>
        <w:t>软件同时提供定时自动融合功能（桌面应用环境）：将待融合的备份文件放入指定同步文件夹后，软件按设定频率自动扫描并融合，处理完成的文件自动标记为已处理，避免重复融合。</w:t>
      </w:r>
    </w:p>
    <w:p>
      <w:pPr>
        <w:spacing w:before="200" w:after="120"/>
      </w:pPr>
      <w:r>
        <w:rPr>
          <w:rFonts w:ascii="黑体" w:hAnsi="黑体" w:eastAsia="黑体"/>
          <w:b/>
          <w:sz w:val="25"/>
        </w:rPr>
        <w:t>9.4 数据重置</w:t>
      </w:r>
    </w:p>
    <w:p>
      <w:pPr>
        <w:ind w:firstLine="440"/>
      </w:pPr>
      <w:r>
        <w:rPr>
          <w:rFonts w:ascii="宋体" w:hAnsi="宋体" w:eastAsia="宋体"/>
          <w:sz w:val="22"/>
        </w:rPr>
        <w:t>数据重置用于清空本机的全部数据（人员、会议记录、谈心谈话、操作日志），该操作不可撤销。执行前请务必先导出备份文件。</w:t>
      </w:r>
    </w:p>
    <w:p>
      <w:r>
        <w:br w:type="page"/>
      </w:r>
    </w:p>
    <w:p>
      <w:pPr>
        <w:spacing w:before="320" w:after="160"/>
      </w:pPr>
      <w:r>
        <w:rPr>
          <w:rFonts w:ascii="黑体" w:hAnsi="黑体" w:eastAsia="黑体"/>
          <w:b/>
          <w:sz w:val="30"/>
        </w:rPr>
        <w:t>十、统计口径说明</w:t>
      </w:r>
    </w:p>
    <w:p>
      <w:pPr>
        <w:ind w:firstLine="440"/>
      </w:pPr>
      <w:r>
        <w:rPr>
          <w:rFonts w:ascii="宋体" w:hAnsi="宋体" w:eastAsia="宋体"/>
          <w:sz w:val="22"/>
        </w:rPr>
        <w:t>为保证会议出勤、数据看板与导出台账三者的统计结果一致，本软件对关键统计指标统一了口径。本章集中说明各口径的定义与计算方式，便于使用人员核对数据。</w:t>
      </w:r>
    </w:p>
    <w:p>
      <w:pPr>
        <w:spacing w:before="200" w:after="120"/>
      </w:pPr>
      <w:r>
        <w:rPr>
          <w:rFonts w:ascii="黑体" w:hAnsi="黑体" w:eastAsia="黑体"/>
          <w:b/>
          <w:sz w:val="25"/>
        </w:rPr>
        <w:t>10.1 会议次数（套会拆开计次）</w:t>
      </w:r>
    </w:p>
    <w:p>
      <w:pPr>
        <w:ind w:firstLine="440"/>
      </w:pPr>
      <w:r>
        <w:rPr>
          <w:rFonts w:ascii="宋体" w:hAnsi="宋体" w:eastAsia="宋体"/>
          <w:sz w:val="22"/>
        </w:rPr>
        <w:t>实际工作中常出现多类会议合并召开的情况（如支部党员大会与党课同期召开）。为使统计与实际召开次数一致，本软件的会议次数按"套会拆开"方式计次：</w:t>
      </w:r>
    </w:p>
    <w:p>
      <w:pPr>
        <w:pStyle w:val="ListBullet"/>
        <w:spacing w:after="40"/>
        <w:ind w:left="440"/>
      </w:pPr>
      <w:r>
        <w:rPr>
          <w:rFonts w:ascii="宋体" w:hAnsi="宋体" w:eastAsia="宋体"/>
          <w:sz w:val="22"/>
        </w:rPr>
        <w:t>一条会议记录中，除党小组会外的每个会议类型各计 1 次；</w:t>
      </w:r>
    </w:p>
    <w:p>
      <w:pPr>
        <w:pStyle w:val="ListBullet"/>
        <w:spacing w:after="40"/>
        <w:ind w:left="440"/>
      </w:pPr>
      <w:r>
        <w:rPr>
          <w:rFonts w:ascii="宋体" w:hAnsi="宋体" w:eastAsia="宋体"/>
          <w:sz w:val="22"/>
        </w:rPr>
        <w:t>党小组会按该条记录关联的党小组数计次，未关联党小组时计 1 次。</w:t>
      </w:r>
    </w:p>
    <w:p>
      <w:pPr>
        <w:ind w:firstLine="440"/>
      </w:pPr>
      <w:r>
        <w:rPr>
          <w:rFonts w:ascii="宋体" w:hAnsi="宋体" w:eastAsia="宋体"/>
          <w:sz w:val="22"/>
        </w:rPr>
        <w:t>示例：某条会议记录的类型为"支部党员大会、党小组会（3 个党小组参加）、党课、主题党日活动"，则该条记录计 1 + 3 + 1 + 1 = 6 次。采用该口径后，会议总数等于各会议类型次数之和，也等于月度会议趋势中各月次数之和，三项指标相互自洽。</w:t>
      </w:r>
    </w:p>
    <w:p>
      <w:pPr>
        <w:spacing w:before="200" w:after="120"/>
      </w:pPr>
      <w:r>
        <w:rPr>
          <w:rFonts w:ascii="黑体" w:hAnsi="黑体" w:eastAsia="黑体"/>
          <w:b/>
          <w:sz w:val="25"/>
        </w:rPr>
        <w:t>10.2 出勤率（按会议日期时点判定在职）</w:t>
      </w:r>
    </w:p>
    <w:p>
      <w:pPr>
        <w:ind w:firstLine="440"/>
      </w:pPr>
      <w:r>
        <w:rPr>
          <w:rFonts w:ascii="宋体" w:hAnsi="宋体" w:eastAsia="宋体"/>
          <w:sz w:val="22"/>
        </w:rPr>
        <w:t>出勤率按"会议日期时点在职"的时间线口径统计，即依据人员的状态变更历史，判断其在每场会议召开当日是否属于在职人员，而非依据人员当前状态。具体规则如下：</w:t>
      </w:r>
    </w:p>
    <w:tbl>
      <w:tblPr>
        <w:tblStyle w:val="TableGrid"/>
        <w:tblW w:type="auto" w:w="0"/>
        <w:tblLook w:firstColumn="1" w:firstRow="1" w:lastColumn="0" w:lastRow="0" w:noHBand="0" w:noVBand="1" w:val="04A0"/>
      </w:tblPr>
      <w:tblGrid>
        <w:gridCol w:w="4479"/>
        <w:gridCol w:w="4479"/>
      </w:tblGrid>
      <w:tr>
        <w:tc>
          <w:tcPr>
            <w:tcW w:type="dxa" w:w="3402"/>
          </w:tcPr>
          <w:p>
            <w:pPr>
              <w:jc w:val="center"/>
            </w:pPr>
            <w:r/>
            <w:r>
              <w:rPr>
                <w:rFonts w:ascii="宋体" w:hAnsi="宋体" w:eastAsia="宋体"/>
                <w:b/>
                <w:sz w:val="20"/>
              </w:rPr>
              <w:t>场景</w:t>
            </w:r>
          </w:p>
        </w:tc>
        <w:tc>
          <w:tcPr>
            <w:tcW w:type="dxa" w:w="5443"/>
          </w:tcPr>
          <w:p>
            <w:pPr>
              <w:jc w:val="center"/>
            </w:pPr>
            <w:r/>
            <w:r>
              <w:rPr>
                <w:rFonts w:ascii="宋体" w:hAnsi="宋体" w:eastAsia="宋体"/>
                <w:b/>
                <w:sz w:val="20"/>
              </w:rPr>
              <w:t>是否计入该场会议的考勤</w:t>
            </w:r>
          </w:p>
        </w:tc>
      </w:tr>
      <w:tr>
        <w:tc>
          <w:tcPr>
            <w:tcW w:type="dxa" w:w="3402"/>
          </w:tcPr>
          <w:p>
            <w:r/>
            <w:r>
              <w:rPr>
                <w:rFonts w:ascii="宋体" w:hAnsi="宋体" w:eastAsia="宋体"/>
                <w:sz w:val="20"/>
              </w:rPr>
              <w:t>在职期间召开的会议</w:t>
            </w:r>
          </w:p>
        </w:tc>
        <w:tc>
          <w:tcPr>
            <w:tcW w:type="dxa" w:w="5443"/>
          </w:tcPr>
          <w:p>
            <w:r/>
            <w:r>
              <w:rPr>
                <w:rFonts w:ascii="宋体" w:hAnsi="宋体" w:eastAsia="宋体"/>
                <w:sz w:val="20"/>
              </w:rPr>
              <w:t>计入（正常参与应到与实到统计）</w:t>
            </w:r>
          </w:p>
        </w:tc>
      </w:tr>
      <w:tr>
        <w:tc>
          <w:tcPr>
            <w:tcW w:type="dxa" w:w="3402"/>
          </w:tcPr>
          <w:p>
            <w:r/>
            <w:r>
              <w:rPr>
                <w:rFonts w:ascii="宋体" w:hAnsi="宋体" w:eastAsia="宋体"/>
                <w:sz w:val="20"/>
              </w:rPr>
              <w:t>调离 / 借调 / 离职期间召开的会议</w:t>
            </w:r>
          </w:p>
        </w:tc>
        <w:tc>
          <w:tcPr>
            <w:tcW w:type="dxa" w:w="5443"/>
          </w:tcPr>
          <w:p>
            <w:r/>
            <w:r>
              <w:rPr>
                <w:rFonts w:ascii="宋体" w:hAnsi="宋体" w:eastAsia="宋体"/>
                <w:sz w:val="20"/>
              </w:rPr>
              <w:t>不计入（该人员此场会议不进应到，也不进实到）</w:t>
            </w:r>
          </w:p>
        </w:tc>
      </w:tr>
      <w:tr>
        <w:tc>
          <w:tcPr>
            <w:tcW w:type="dxa" w:w="3402"/>
          </w:tcPr>
          <w:p>
            <w:r/>
            <w:r>
              <w:rPr>
                <w:rFonts w:ascii="宋体" w:hAnsi="宋体" w:eastAsia="宋体"/>
                <w:sz w:val="20"/>
              </w:rPr>
              <w:t>状态变更日期之前的会议</w:t>
            </w:r>
          </w:p>
        </w:tc>
        <w:tc>
          <w:tcPr>
            <w:tcW w:type="dxa" w:w="5443"/>
          </w:tcPr>
          <w:p>
            <w:r/>
            <w:r>
              <w:rPr>
                <w:rFonts w:ascii="宋体" w:hAnsi="宋体" w:eastAsia="宋体"/>
                <w:sz w:val="20"/>
              </w:rPr>
              <w:t>计入（离开之前的会议照常统计）</w:t>
            </w:r>
          </w:p>
        </w:tc>
      </w:tr>
      <w:tr>
        <w:tc>
          <w:tcPr>
            <w:tcW w:type="dxa" w:w="3402"/>
          </w:tcPr>
          <w:p>
            <w:r/>
            <w:r>
              <w:rPr>
                <w:rFonts w:ascii="宋体" w:hAnsi="宋体" w:eastAsia="宋体"/>
                <w:sz w:val="20"/>
              </w:rPr>
              <w:t>状态改回在职之后的会议</w:t>
            </w:r>
          </w:p>
        </w:tc>
        <w:tc>
          <w:tcPr>
            <w:tcW w:type="dxa" w:w="5443"/>
          </w:tcPr>
          <w:p>
            <w:r/>
            <w:r>
              <w:rPr>
                <w:rFonts w:ascii="宋体" w:hAnsi="宋体" w:eastAsia="宋体"/>
                <w:sz w:val="20"/>
              </w:rPr>
              <w:t>计入（自回归日期起恢复统计）</w:t>
            </w:r>
          </w:p>
        </w:tc>
      </w:tr>
      <w:tr>
        <w:tc>
          <w:tcPr>
            <w:tcW w:type="dxa" w:w="3402"/>
          </w:tcPr>
          <w:p>
            <w:r/>
            <w:r>
              <w:rPr>
                <w:rFonts w:ascii="宋体" w:hAnsi="宋体" w:eastAsia="宋体"/>
                <w:sz w:val="20"/>
              </w:rPr>
              <w:t>列席人员</w:t>
            </w:r>
          </w:p>
        </w:tc>
        <w:tc>
          <w:tcPr>
            <w:tcW w:type="dxa" w:w="5443"/>
          </w:tcPr>
          <w:p>
            <w:r/>
            <w:r>
              <w:rPr>
                <w:rFonts w:ascii="宋体" w:hAnsi="宋体" w:eastAsia="宋体"/>
                <w:sz w:val="20"/>
              </w:rPr>
              <w:t>计入实到（视为出席）</w:t>
            </w:r>
          </w:p>
        </w:tc>
      </w:tr>
      <w:tr>
        <w:tc>
          <w:tcPr>
            <w:tcW w:type="dxa" w:w="3402"/>
          </w:tcPr>
          <w:p>
            <w:r/>
            <w:r>
              <w:rPr>
                <w:rFonts w:ascii="宋体" w:hAnsi="宋体" w:eastAsia="宋体"/>
                <w:sz w:val="20"/>
              </w:rPr>
              <w:t>临时人员（未匹配人员库）</w:t>
            </w:r>
          </w:p>
        </w:tc>
        <w:tc>
          <w:tcPr>
            <w:tcW w:type="dxa" w:w="5443"/>
          </w:tcPr>
          <w:p>
            <w:r/>
            <w:r>
              <w:rPr>
                <w:rFonts w:ascii="宋体" w:hAnsi="宋体" w:eastAsia="宋体"/>
                <w:sz w:val="20"/>
              </w:rPr>
              <w:t>始终不计入</w:t>
            </w:r>
          </w:p>
        </w:tc>
      </w:tr>
    </w:tbl>
    <w:p>
      <w:pPr>
        <w:spacing w:after="120"/>
      </w:pPr>
    </w:p>
    <w:p>
      <w:pPr>
        <w:ind w:firstLine="440"/>
      </w:pPr>
      <w:r>
        <w:rPr>
          <w:rFonts w:ascii="宋体" w:hAnsi="宋体" w:eastAsia="宋体"/>
          <w:sz w:val="22"/>
        </w:rPr>
        <w:t>平均出勤率的计算方式为：该年度全部会议的在职出席人次 ÷ 在职应到人次 × 100%。在数据看板中，鼠标悬停"平均出勤率"指标卡即可查看该说明。</w:t>
      </w:r>
    </w:p>
    <w:p>
      <w:pPr>
        <w:spacing w:before="200" w:after="120"/>
      </w:pPr>
      <w:r>
        <w:rPr>
          <w:rFonts w:ascii="黑体" w:hAnsi="黑体" w:eastAsia="黑体"/>
          <w:b/>
          <w:sz w:val="25"/>
        </w:rPr>
        <w:t>10.3 统计行范围</w:t>
      </w:r>
    </w:p>
    <w:p>
      <w:pPr>
        <w:ind w:firstLine="440"/>
      </w:pPr>
      <w:r>
        <w:rPr>
          <w:rFonts w:ascii="宋体" w:hAnsi="宋体" w:eastAsia="宋体"/>
          <w:sz w:val="22"/>
        </w:rPr>
        <w:t>出勤率排行、参会考勤统计等以人员为行的统计表，其行范围取"统计期内任一会议日期时点在职"的人员，包含期内已调离、借调中以及借调后回归的人员，以保证历史台账的完整性；每一行中的各场会议再按各自会议日期单独判定是否计入。</w:t>
      </w:r>
    </w:p>
    <w:p>
      <w:pPr>
        <w:spacing w:before="200" w:after="120"/>
      </w:pPr>
      <w:r>
        <w:rPr>
          <w:rFonts w:ascii="黑体" w:hAnsi="黑体" w:eastAsia="黑体"/>
          <w:b/>
          <w:sz w:val="25"/>
        </w:rPr>
        <w:t>10.4 在职党员总数</w:t>
      </w:r>
    </w:p>
    <w:p>
      <w:pPr>
        <w:ind w:firstLine="440"/>
      </w:pPr>
      <w:r>
        <w:rPr>
          <w:rFonts w:ascii="宋体" w:hAnsi="宋体" w:eastAsia="宋体"/>
          <w:sz w:val="22"/>
        </w:rPr>
        <w:t>"在职党员总数"指所选年度时点的在职党员人数：选择当前年份时按"截至目前"统计，选择历史年份时按该年年末时点统计。统计时同时考虑人员的入库时间与状态变更历史，该时点尚未入库、处于借调期间或已调离、离职的人员不计入。切换年份后该指标随之变化。</w:t>
      </w:r>
    </w:p>
    <w:p>
      <w:pPr>
        <w:spacing w:before="200" w:after="120"/>
      </w:pPr>
      <w:r>
        <w:rPr>
          <w:rFonts w:ascii="黑体" w:hAnsi="黑体" w:eastAsia="黑体"/>
          <w:b/>
          <w:sz w:val="25"/>
        </w:rPr>
        <w:t>10.5 组织信息快照</w:t>
      </w:r>
    </w:p>
    <w:p>
      <w:pPr>
        <w:ind w:firstLine="440"/>
      </w:pPr>
      <w:r>
        <w:rPr>
          <w:rFonts w:ascii="宋体" w:hAnsi="宋体" w:eastAsia="宋体"/>
          <w:sz w:val="22"/>
        </w:rPr>
        <w:t>为避免人员岗位调整导致历史统计被改写，本软件在保存会议记录时，会同时保存每位参会人员当时的部门／支部、部室与党小组信息（即"快照"）。统计与导出时优先采用快照数据；对升级前没有快照的历史记录，则回退使用人员当前的信息。因此，调整个别人员的部门或党小组后，此前已记录的会议统计结果不会发生变化。</w:t>
      </w:r>
    </w:p>
    <w:p>
      <w:r>
        <w:br w:type="page"/>
      </w:r>
    </w:p>
    <w:p>
      <w:pPr>
        <w:spacing w:before="320" w:after="160"/>
      </w:pPr>
      <w:r>
        <w:rPr>
          <w:rFonts w:ascii="黑体" w:hAnsi="黑体" w:eastAsia="黑体"/>
          <w:b/>
          <w:sz w:val="30"/>
        </w:rPr>
        <w:t>十一、常见问题解答</w:t>
      </w:r>
    </w:p>
    <w:p>
      <w:pPr>
        <w:spacing w:before="200" w:after="120"/>
      </w:pPr>
      <w:r>
        <w:rPr>
          <w:rFonts w:ascii="黑体" w:hAnsi="黑体" w:eastAsia="黑体"/>
          <w:b/>
          <w:sz w:val="25"/>
        </w:rPr>
        <w:t>11.1 人员调离后，为什么其调离前参加的会议仍计入出勤统计？</w:t>
      </w:r>
    </w:p>
    <w:p>
      <w:pPr>
        <w:ind w:firstLine="440"/>
      </w:pPr>
      <w:r>
        <w:rPr>
          <w:rFonts w:ascii="宋体" w:hAnsi="宋体" w:eastAsia="宋体"/>
          <w:sz w:val="22"/>
        </w:rPr>
        <w:t>本软件按会议日期时点判定人员是否在职。人员在调离之前召开的会议，其当时属于在职人员，应当计入考勤；调离之后的会议才不计入。这样处理可以保证历史台账完整、统计结果贴近实际情况。</w:t>
      </w:r>
    </w:p>
    <w:p>
      <w:pPr>
        <w:spacing w:before="200" w:after="120"/>
      </w:pPr>
      <w:r>
        <w:rPr>
          <w:rFonts w:ascii="黑体" w:hAnsi="黑体" w:eastAsia="黑体"/>
          <w:b/>
          <w:sz w:val="25"/>
        </w:rPr>
        <w:t>11.2 借调人员是否需要维护状态？</w:t>
      </w:r>
    </w:p>
    <w:p>
      <w:pPr>
        <w:ind w:firstLine="440"/>
      </w:pPr>
      <w:r>
        <w:rPr>
          <w:rFonts w:ascii="宋体" w:hAnsi="宋体" w:eastAsia="宋体"/>
          <w:sz w:val="22"/>
        </w:rPr>
        <w:t>建议维护。借调人员组织关系仍在本支部，在"组织架构"页面会予以展示并标注"借调"；而在出勤统计中，借调期间的会议不计入其考勤，借调结束改回在职后自回归日期起恢复计入。因此准确记录借调与回归日期，可保证统计结果正确。</w:t>
      </w:r>
    </w:p>
    <w:p>
      <w:pPr>
        <w:spacing w:before="200" w:after="120"/>
      </w:pPr>
      <w:r>
        <w:rPr>
          <w:rFonts w:ascii="黑体" w:hAnsi="黑体" w:eastAsia="黑体"/>
          <w:b/>
          <w:sz w:val="25"/>
        </w:rPr>
        <w:t>11.3 修改人员所在党小组后，以前的出勤对比统计会变吗？</w:t>
      </w:r>
    </w:p>
    <w:p>
      <w:pPr>
        <w:ind w:firstLine="440"/>
      </w:pPr>
      <w:r>
        <w:rPr>
          <w:rFonts w:ascii="宋体" w:hAnsi="宋体" w:eastAsia="宋体"/>
          <w:sz w:val="22"/>
        </w:rPr>
        <w:t>不会。会议记录保存时已写入参会人员当时的党小组快照，出勤对比按快照统计，因此后续调整人员党小组不会影响此前已记录会议的统计结果。</w:t>
      </w:r>
    </w:p>
    <w:p>
      <w:pPr>
        <w:spacing w:before="200" w:after="120"/>
      </w:pPr>
      <w:r>
        <w:rPr>
          <w:rFonts w:ascii="黑体" w:hAnsi="黑体" w:eastAsia="黑体"/>
          <w:b/>
          <w:sz w:val="25"/>
        </w:rPr>
        <w:t>11.4 为什么会议总数与会议记录的条数不一致？</w:t>
      </w:r>
    </w:p>
    <w:p>
      <w:pPr>
        <w:ind w:firstLine="440"/>
      </w:pPr>
      <w:r>
        <w:rPr>
          <w:rFonts w:ascii="宋体" w:hAnsi="宋体" w:eastAsia="宋体"/>
          <w:sz w:val="22"/>
        </w:rPr>
        <w:t>因为会议总数按"套会拆开"口径统计。一条会议记录可能包含多个会议类型（合并召开），此时会按类型分别计次，因此会议总数会大于会议记录条数。详见第 10.1 节。</w:t>
      </w:r>
    </w:p>
    <w:p>
      <w:pPr>
        <w:spacing w:before="200" w:after="120"/>
      </w:pPr>
      <w:r>
        <w:rPr>
          <w:rFonts w:ascii="黑体" w:hAnsi="黑体" w:eastAsia="黑体"/>
          <w:b/>
          <w:sz w:val="25"/>
        </w:rPr>
        <w:t>11.5 切换数据看板年份后，为什么"在职党员总数"会变化？</w:t>
      </w:r>
    </w:p>
    <w:p>
      <w:pPr>
        <w:ind w:firstLine="440"/>
      </w:pPr>
      <w:r>
        <w:rPr>
          <w:rFonts w:ascii="宋体" w:hAnsi="宋体" w:eastAsia="宋体"/>
          <w:sz w:val="22"/>
        </w:rPr>
        <w:t>该指标按所选年度的时点统计：选择当前年份时为"截至目前"的在职人数，选择历史年份时为该年年末时点的在职人数。不同年份的人员状态不同，因此数值会随年份变化。</w:t>
      </w:r>
    </w:p>
    <w:p>
      <w:pPr>
        <w:spacing w:before="200" w:after="120"/>
      </w:pPr>
      <w:r>
        <w:rPr>
          <w:rFonts w:ascii="黑体" w:hAnsi="黑体" w:eastAsia="黑体"/>
          <w:b/>
          <w:sz w:val="25"/>
        </w:rPr>
        <w:t>11.6 数据看板某年度没有数据，页面显示什么？</w:t>
      </w:r>
    </w:p>
    <w:p>
      <w:pPr>
        <w:ind w:firstLine="440"/>
      </w:pPr>
      <w:r>
        <w:rPr>
          <w:rFonts w:ascii="宋体" w:hAnsi="宋体" w:eastAsia="宋体"/>
          <w:sz w:val="22"/>
        </w:rPr>
        <w:t>当所选年度没有会议或谈心谈话记录时，对应图表区域会显示"该年度暂无会议记录""该年度暂无出勤记录""该年度暂无谈心谈话记录"等提示文字，不会显示空白坐标系。</w:t>
      </w:r>
    </w:p>
    <w:p>
      <w:pPr>
        <w:spacing w:before="200" w:after="120"/>
      </w:pPr>
      <w:r>
        <w:rPr>
          <w:rFonts w:ascii="黑体" w:hAnsi="黑体" w:eastAsia="黑体"/>
          <w:b/>
          <w:sz w:val="25"/>
        </w:rPr>
        <w:t>11.7 安装版与绿色版的数据是否互通？</w:t>
      </w:r>
    </w:p>
    <w:p>
      <w:pPr>
        <w:ind w:firstLine="440"/>
      </w:pPr>
      <w:r>
        <w:rPr>
          <w:rFonts w:ascii="宋体" w:hAnsi="宋体" w:eastAsia="宋体"/>
          <w:sz w:val="22"/>
        </w:rPr>
        <w:t>不互通。两者的数据保存目录相互独立。若需在两版本之间迁移数据，请先在原版本中通过"数据管理"导出备份文件，再在新版本中导入恢复。</w:t>
      </w:r>
    </w:p>
    <w:p>
      <w:pPr>
        <w:spacing w:before="200" w:after="120"/>
      </w:pPr>
      <w:r>
        <w:rPr>
          <w:rFonts w:ascii="黑体" w:hAnsi="黑体" w:eastAsia="黑体"/>
          <w:b/>
          <w:sz w:val="25"/>
        </w:rPr>
        <w:t>11.8 为什么在浏览器中打开时，定时自动备份与自动融合不可用？</w:t>
      </w:r>
    </w:p>
    <w:p>
      <w:pPr>
        <w:ind w:firstLine="440"/>
      </w:pPr>
      <w:r>
        <w:rPr>
          <w:rFonts w:ascii="宋体" w:hAnsi="宋体" w:eastAsia="宋体"/>
          <w:sz w:val="22"/>
        </w:rPr>
        <w:t>定时自动备份与定时自动融合依赖桌面应用的文件系统访问能力。在浏览器模式下，这两项功能会自动降级，页面会给出提示，此时请使用页面上的手动导出备份与手动融合功能。</w:t>
      </w:r>
    </w:p>
    <w:p>
      <w:pPr>
        <w:spacing w:before="200" w:after="120"/>
      </w:pPr>
      <w:r>
        <w:rPr>
          <w:rFonts w:ascii="黑体" w:hAnsi="黑体" w:eastAsia="黑体"/>
          <w:b/>
          <w:sz w:val="25"/>
        </w:rPr>
        <w:t>11.9 能否同时打开多个软件窗口录入数据？</w:t>
      </w:r>
    </w:p>
    <w:p>
      <w:pPr>
        <w:ind w:firstLine="440"/>
      </w:pPr>
      <w:r>
        <w:rPr>
          <w:rFonts w:ascii="宋体" w:hAnsi="宋体" w:eastAsia="宋体"/>
          <w:sz w:val="22"/>
        </w:rPr>
        <w:t>不建议。本软件已限制同一数据目录重复启动：重复启动时会自动聚焦到已打开的窗口，以避免多个实例同时写入同一份数据造成数据异常。</w:t>
      </w:r>
    </w:p>
    <w:p>
      <w:pPr>
        <w:spacing w:before="200" w:after="120"/>
      </w:pPr>
      <w:r>
        <w:rPr>
          <w:rFonts w:ascii="黑体" w:hAnsi="黑体" w:eastAsia="黑体"/>
          <w:b/>
          <w:sz w:val="25"/>
        </w:rPr>
        <w:t>11.10 误将人员状态标记为借调或调离，如何恢复？</w:t>
      </w:r>
    </w:p>
    <w:p>
      <w:pPr>
        <w:ind w:firstLine="440"/>
      </w:pPr>
      <w:r>
        <w:rPr>
          <w:rFonts w:ascii="宋体" w:hAnsi="宋体" w:eastAsia="宋体"/>
          <w:sz w:val="22"/>
        </w:rPr>
        <w:t>在"人员管理"中打开该人员的编辑弹窗，在"变更历史"中修改或删除对应的状态记录即可，保存后相关统计会立即重新计算，无需迁移或重新导入数据。</w:t>
      </w:r>
    </w:p>
    <w:p>
      <w:r>
        <w:br w:type="page"/>
      </w:r>
    </w:p>
    <w:p>
      <w:pPr>
        <w:spacing w:before="320" w:after="160"/>
      </w:pPr>
      <w:r>
        <w:rPr>
          <w:rFonts w:ascii="黑体" w:hAnsi="黑体" w:eastAsia="黑体"/>
          <w:b/>
          <w:sz w:val="30"/>
        </w:rPr>
        <w:t>十二、使用注意事项</w:t>
      </w:r>
    </w:p>
    <w:p>
      <w:pPr>
        <w:pStyle w:val="ListBullet"/>
        <w:spacing w:after="40"/>
        <w:ind w:left="440"/>
      </w:pPr>
      <w:r>
        <w:rPr>
          <w:rFonts w:ascii="宋体" w:hAnsi="宋体" w:eastAsia="宋体"/>
          <w:sz w:val="22"/>
        </w:rPr>
        <w:t>软件数据保存在本机，请定期通过"数据管理"导出备份文件并妥善保存，以防数据丢失。</w:t>
      </w:r>
    </w:p>
    <w:p>
      <w:pPr>
        <w:pStyle w:val="ListBullet"/>
        <w:spacing w:after="40"/>
        <w:ind w:left="440"/>
      </w:pPr>
      <w:r>
        <w:rPr>
          <w:rFonts w:ascii="宋体" w:hAnsi="宋体" w:eastAsia="宋体"/>
          <w:sz w:val="22"/>
        </w:rPr>
        <w:t>安装版与绿色版的数据目录相互独立，两版本之间切换时请先用备份导出再导入。</w:t>
      </w:r>
    </w:p>
    <w:p>
      <w:pPr>
        <w:pStyle w:val="ListBullet"/>
        <w:spacing w:after="40"/>
        <w:ind w:left="440"/>
      </w:pPr>
      <w:r>
        <w:rPr>
          <w:rFonts w:ascii="宋体" w:hAnsi="宋体" w:eastAsia="宋体"/>
          <w:sz w:val="22"/>
        </w:rPr>
        <w:t>人员状态变更时，请如实填写变更日期，以保证出勤统计的历史数据准确；如发现误操作，可在人员编辑弹窗的"变更历史"中修改或删除相应记录。</w:t>
      </w:r>
    </w:p>
    <w:p>
      <w:pPr>
        <w:pStyle w:val="ListBullet"/>
        <w:spacing w:after="40"/>
        <w:ind w:left="440"/>
      </w:pPr>
      <w:r>
        <w:rPr>
          <w:rFonts w:ascii="宋体" w:hAnsi="宋体" w:eastAsia="宋体"/>
          <w:sz w:val="22"/>
        </w:rPr>
        <w:t>同一份数据文件请避免同时在多个软件实例中打开写入；软件已限制同一数据目录重复启动，重复启动时会自动聚焦已打开的窗口。</w:t>
      </w:r>
    </w:p>
    <w:p>
      <w:pPr>
        <w:pStyle w:val="ListBullet"/>
        <w:spacing w:after="40"/>
        <w:ind w:left="440"/>
      </w:pPr>
      <w:r>
        <w:rPr>
          <w:rFonts w:ascii="宋体" w:hAnsi="宋体" w:eastAsia="宋体"/>
          <w:sz w:val="22"/>
        </w:rPr>
        <w:t>导出的 Excel 台账与 Word 报告为统计结果快照，人员信息后续调整不会追溯修改已导出的文件。</w:t>
      </w:r>
    </w:p>
    <w:p>
      <w:pPr>
        <w:spacing w:before="320" w:after="160"/>
      </w:pPr>
      <w:r>
        <w:rPr>
          <w:rFonts w:ascii="黑体" w:hAnsi="黑体" w:eastAsia="黑体"/>
          <w:b/>
          <w:sz w:val="30"/>
        </w:rPr>
        <w:t>附录：主要数据字段说明</w:t>
      </w:r>
    </w:p>
    <w:p>
      <w:pPr>
        <w:ind w:firstLine="440"/>
      </w:pPr>
      <w:r>
        <w:rPr>
          <w:rFonts w:ascii="宋体" w:hAnsi="宋体" w:eastAsia="宋体"/>
          <w:sz w:val="22"/>
        </w:rPr>
        <w:t>下表列出本软件主要业务对象的关键字段，供核对数据时参考。</w:t>
      </w:r>
    </w:p>
    <w:tbl>
      <w:tblPr>
        <w:tblStyle w:val="TableGrid"/>
        <w:tblW w:type="auto" w:w="0"/>
        <w:tblLook w:firstColumn="1" w:firstRow="1" w:lastColumn="0" w:lastRow="0" w:noHBand="0" w:noVBand="1" w:val="04A0"/>
      </w:tblPr>
      <w:tblGrid>
        <w:gridCol w:w="2986"/>
        <w:gridCol w:w="2986"/>
        <w:gridCol w:w="2986"/>
      </w:tblGrid>
      <w:tr>
        <w:tc>
          <w:tcPr>
            <w:tcW w:type="dxa" w:w="1247"/>
          </w:tcPr>
          <w:p>
            <w:pPr>
              <w:jc w:val="center"/>
            </w:pPr>
            <w:r/>
            <w:r>
              <w:rPr>
                <w:rFonts w:ascii="宋体" w:hAnsi="宋体" w:eastAsia="宋体"/>
                <w:b/>
                <w:sz w:val="20"/>
              </w:rPr>
              <w:t>对象</w:t>
            </w:r>
          </w:p>
        </w:tc>
        <w:tc>
          <w:tcPr>
            <w:tcW w:type="dxa" w:w="1928"/>
          </w:tcPr>
          <w:p>
            <w:pPr>
              <w:jc w:val="center"/>
            </w:pPr>
            <w:r/>
            <w:r>
              <w:rPr>
                <w:rFonts w:ascii="宋体" w:hAnsi="宋体" w:eastAsia="宋体"/>
                <w:b/>
                <w:sz w:val="20"/>
              </w:rPr>
              <w:t>字段</w:t>
            </w:r>
          </w:p>
        </w:tc>
        <w:tc>
          <w:tcPr>
            <w:tcW w:type="dxa" w:w="5669"/>
          </w:tcPr>
          <w:p>
            <w:pPr>
              <w:jc w:val="center"/>
            </w:pPr>
            <w:r/>
            <w:r>
              <w:rPr>
                <w:rFonts w:ascii="宋体" w:hAnsi="宋体" w:eastAsia="宋体"/>
                <w:b/>
                <w:sz w:val="20"/>
              </w:rPr>
              <w:t>说明</w:t>
            </w:r>
          </w:p>
        </w:tc>
      </w:tr>
      <w:tr>
        <w:tc>
          <w:tcPr>
            <w:tcW w:type="dxa" w:w="1247"/>
          </w:tcPr>
          <w:p>
            <w:r/>
            <w:r>
              <w:rPr>
                <w:rFonts w:ascii="宋体" w:hAnsi="宋体" w:eastAsia="宋体"/>
                <w:sz w:val="20"/>
              </w:rPr>
              <w:t>人员</w:t>
            </w:r>
          </w:p>
        </w:tc>
        <w:tc>
          <w:tcPr>
            <w:tcW w:type="dxa" w:w="1928"/>
          </w:tcPr>
          <w:p>
            <w:r/>
            <w:r>
              <w:rPr>
                <w:rFonts w:ascii="宋体" w:hAnsi="宋体" w:eastAsia="宋体"/>
                <w:sz w:val="20"/>
              </w:rPr>
              <w:t>姓名</w:t>
            </w:r>
          </w:p>
        </w:tc>
        <w:tc>
          <w:tcPr>
            <w:tcW w:type="dxa" w:w="5669"/>
          </w:tcPr>
          <w:p>
            <w:r/>
            <w:r>
              <w:rPr>
                <w:rFonts w:ascii="宋体" w:hAnsi="宋体" w:eastAsia="宋体"/>
                <w:sz w:val="20"/>
              </w:rPr>
              <w:t>党员姓名</w:t>
            </w:r>
          </w:p>
        </w:tc>
      </w:tr>
      <w:tr>
        <w:tc>
          <w:tcPr>
            <w:tcW w:type="dxa" w:w="1247"/>
          </w:tcPr>
          <w:p>
            <w:r/>
            <w:r>
              <w:rPr>
                <w:rFonts w:ascii="宋体" w:hAnsi="宋体" w:eastAsia="宋体"/>
                <w:sz w:val="20"/>
              </w:rPr>
            </w:r>
          </w:p>
        </w:tc>
        <w:tc>
          <w:tcPr>
            <w:tcW w:type="dxa" w:w="1928"/>
          </w:tcPr>
          <w:p>
            <w:r/>
            <w:r>
              <w:rPr>
                <w:rFonts w:ascii="宋体" w:hAnsi="宋体" w:eastAsia="宋体"/>
                <w:sz w:val="20"/>
              </w:rPr>
              <w:t>部室</w:t>
            </w:r>
          </w:p>
        </w:tc>
        <w:tc>
          <w:tcPr>
            <w:tcW w:type="dxa" w:w="5669"/>
          </w:tcPr>
          <w:p>
            <w:r/>
            <w:r>
              <w:rPr>
                <w:rFonts w:ascii="宋体" w:hAnsi="宋体" w:eastAsia="宋体"/>
                <w:sz w:val="20"/>
              </w:rPr>
              <w:t>所在科室（用于组织架构与出勤对比的"部室"维度）</w:t>
            </w:r>
          </w:p>
        </w:tc>
      </w:tr>
      <w:tr>
        <w:tc>
          <w:tcPr>
            <w:tcW w:type="dxa" w:w="1247"/>
          </w:tcPr>
          <w:p>
            <w:r/>
            <w:r>
              <w:rPr>
                <w:rFonts w:ascii="宋体" w:hAnsi="宋体" w:eastAsia="宋体"/>
                <w:sz w:val="20"/>
              </w:rPr>
            </w:r>
          </w:p>
        </w:tc>
        <w:tc>
          <w:tcPr>
            <w:tcW w:type="dxa" w:w="1928"/>
          </w:tcPr>
          <w:p>
            <w:r/>
            <w:r>
              <w:rPr>
                <w:rFonts w:ascii="宋体" w:hAnsi="宋体" w:eastAsia="宋体"/>
                <w:sz w:val="20"/>
              </w:rPr>
              <w:t>部门／支部</w:t>
            </w:r>
          </w:p>
        </w:tc>
        <w:tc>
          <w:tcPr>
            <w:tcW w:type="dxa" w:w="5669"/>
          </w:tcPr>
          <w:p>
            <w:r/>
            <w:r>
              <w:rPr>
                <w:rFonts w:ascii="宋体" w:hAnsi="宋体" w:eastAsia="宋体"/>
                <w:sz w:val="20"/>
              </w:rPr>
              <w:t>所属部门或支部（用于出勤对比的"部门／支部"维度）</w:t>
            </w:r>
          </w:p>
        </w:tc>
      </w:tr>
      <w:tr>
        <w:tc>
          <w:tcPr>
            <w:tcW w:type="dxa" w:w="1247"/>
          </w:tcPr>
          <w:p>
            <w:r/>
            <w:r>
              <w:rPr>
                <w:rFonts w:ascii="宋体" w:hAnsi="宋体" w:eastAsia="宋体"/>
                <w:sz w:val="20"/>
              </w:rPr>
            </w:r>
          </w:p>
        </w:tc>
        <w:tc>
          <w:tcPr>
            <w:tcW w:type="dxa" w:w="1928"/>
          </w:tcPr>
          <w:p>
            <w:r/>
            <w:r>
              <w:rPr>
                <w:rFonts w:ascii="宋体" w:hAnsi="宋体" w:eastAsia="宋体"/>
                <w:sz w:val="20"/>
              </w:rPr>
              <w:t>联系电话</w:t>
            </w:r>
          </w:p>
        </w:tc>
        <w:tc>
          <w:tcPr>
            <w:tcW w:type="dxa" w:w="5669"/>
          </w:tcPr>
          <w:p>
            <w:r/>
            <w:r>
              <w:rPr>
                <w:rFonts w:ascii="宋体" w:hAnsi="宋体" w:eastAsia="宋体"/>
                <w:sz w:val="20"/>
              </w:rPr>
              <w:t>联系方式</w:t>
            </w:r>
          </w:p>
        </w:tc>
      </w:tr>
      <w:tr>
        <w:tc>
          <w:tcPr>
            <w:tcW w:type="dxa" w:w="1247"/>
          </w:tcPr>
          <w:p>
            <w:r/>
            <w:r>
              <w:rPr>
                <w:rFonts w:ascii="宋体" w:hAnsi="宋体" w:eastAsia="宋体"/>
                <w:sz w:val="20"/>
              </w:rPr>
            </w:r>
          </w:p>
        </w:tc>
        <w:tc>
          <w:tcPr>
            <w:tcW w:type="dxa" w:w="1928"/>
          </w:tcPr>
          <w:p>
            <w:r/>
            <w:r>
              <w:rPr>
                <w:rFonts w:ascii="宋体" w:hAnsi="宋体" w:eastAsia="宋体"/>
                <w:sz w:val="20"/>
              </w:rPr>
              <w:t>党小组</w:t>
            </w:r>
          </w:p>
        </w:tc>
        <w:tc>
          <w:tcPr>
            <w:tcW w:type="dxa" w:w="5669"/>
          </w:tcPr>
          <w:p>
            <w:r/>
            <w:r>
              <w:rPr>
                <w:rFonts w:ascii="宋体" w:hAnsi="宋体" w:eastAsia="宋体"/>
                <w:sz w:val="20"/>
              </w:rPr>
              <w:t>所属党小组（用于组织架构分组与出勤对比的"党小组"维度）</w:t>
            </w:r>
          </w:p>
        </w:tc>
      </w:tr>
      <w:tr>
        <w:tc>
          <w:tcPr>
            <w:tcW w:type="dxa" w:w="1247"/>
          </w:tcPr>
          <w:p>
            <w:r/>
            <w:r>
              <w:rPr>
                <w:rFonts w:ascii="宋体" w:hAnsi="宋体" w:eastAsia="宋体"/>
                <w:sz w:val="20"/>
              </w:rPr>
            </w:r>
          </w:p>
        </w:tc>
        <w:tc>
          <w:tcPr>
            <w:tcW w:type="dxa" w:w="1928"/>
          </w:tcPr>
          <w:p>
            <w:r/>
            <w:r>
              <w:rPr>
                <w:rFonts w:ascii="宋体" w:hAnsi="宋体" w:eastAsia="宋体"/>
                <w:sz w:val="20"/>
              </w:rPr>
              <w:t>党小组组长</w:t>
            </w:r>
          </w:p>
        </w:tc>
        <w:tc>
          <w:tcPr>
            <w:tcW w:type="dxa" w:w="5669"/>
          </w:tcPr>
          <w:p>
            <w:r/>
            <w:r>
              <w:rPr>
                <w:rFonts w:ascii="宋体" w:hAnsi="宋体" w:eastAsia="宋体"/>
                <w:sz w:val="20"/>
              </w:rPr>
              <w:t>是否为该党小组组长</w:t>
            </w:r>
          </w:p>
        </w:tc>
      </w:tr>
      <w:tr>
        <w:tc>
          <w:tcPr>
            <w:tcW w:type="dxa" w:w="1247"/>
          </w:tcPr>
          <w:p>
            <w:r/>
            <w:r>
              <w:rPr>
                <w:rFonts w:ascii="宋体" w:hAnsi="宋体" w:eastAsia="宋体"/>
                <w:sz w:val="20"/>
              </w:rPr>
            </w:r>
          </w:p>
        </w:tc>
        <w:tc>
          <w:tcPr>
            <w:tcW w:type="dxa" w:w="1928"/>
          </w:tcPr>
          <w:p>
            <w:r/>
            <w:r>
              <w:rPr>
                <w:rFonts w:ascii="宋体" w:hAnsi="宋体" w:eastAsia="宋体"/>
                <w:sz w:val="20"/>
              </w:rPr>
              <w:t>支委职务</w:t>
            </w:r>
          </w:p>
        </w:tc>
        <w:tc>
          <w:tcPr>
            <w:tcW w:type="dxa" w:w="5669"/>
          </w:tcPr>
          <w:p>
            <w:r/>
            <w:r>
              <w:rPr>
                <w:rFonts w:ascii="宋体" w:hAnsi="宋体" w:eastAsia="宋体"/>
                <w:sz w:val="20"/>
              </w:rPr>
              <w:t>支部书记、支部副书记、组织委员、宣传委员、青年委员、纪检委员、保密委员、统战委员、群工委员</w:t>
            </w:r>
          </w:p>
        </w:tc>
      </w:tr>
      <w:tr>
        <w:tc>
          <w:tcPr>
            <w:tcW w:type="dxa" w:w="1247"/>
          </w:tcPr>
          <w:p>
            <w:r/>
            <w:r>
              <w:rPr>
                <w:rFonts w:ascii="宋体" w:hAnsi="宋体" w:eastAsia="宋体"/>
                <w:sz w:val="20"/>
              </w:rPr>
            </w:r>
          </w:p>
        </w:tc>
        <w:tc>
          <w:tcPr>
            <w:tcW w:type="dxa" w:w="1928"/>
          </w:tcPr>
          <w:p>
            <w:r/>
            <w:r>
              <w:rPr>
                <w:rFonts w:ascii="宋体" w:hAnsi="宋体" w:eastAsia="宋体"/>
                <w:sz w:val="20"/>
              </w:rPr>
              <w:t>状态</w:t>
            </w:r>
          </w:p>
        </w:tc>
        <w:tc>
          <w:tcPr>
            <w:tcW w:type="dxa" w:w="5669"/>
          </w:tcPr>
          <w:p>
            <w:r/>
            <w:r>
              <w:rPr>
                <w:rFonts w:ascii="宋体" w:hAnsi="宋体" w:eastAsia="宋体"/>
                <w:sz w:val="20"/>
              </w:rPr>
              <w:t>在职、调离、借调、离职</w:t>
            </w:r>
          </w:p>
        </w:tc>
      </w:tr>
      <w:tr>
        <w:tc>
          <w:tcPr>
            <w:tcW w:type="dxa" w:w="1247"/>
          </w:tcPr>
          <w:p>
            <w:r/>
            <w:r>
              <w:rPr>
                <w:rFonts w:ascii="宋体" w:hAnsi="宋体" w:eastAsia="宋体"/>
                <w:sz w:val="20"/>
              </w:rPr>
            </w:r>
          </w:p>
        </w:tc>
        <w:tc>
          <w:tcPr>
            <w:tcW w:type="dxa" w:w="1928"/>
          </w:tcPr>
          <w:p>
            <w:r/>
            <w:r>
              <w:rPr>
                <w:rFonts w:ascii="宋体" w:hAnsi="宋体" w:eastAsia="宋体"/>
                <w:sz w:val="20"/>
              </w:rPr>
              <w:t>状态变更历史</w:t>
            </w:r>
          </w:p>
        </w:tc>
        <w:tc>
          <w:tcPr>
            <w:tcW w:type="dxa" w:w="5669"/>
          </w:tcPr>
          <w:p>
            <w:r/>
            <w:r>
              <w:rPr>
                <w:rFonts w:ascii="宋体" w:hAnsi="宋体" w:eastAsia="宋体"/>
                <w:sz w:val="20"/>
              </w:rPr>
              <w:t>按日期记录历次状态变更，用于按会议日期时点判定在职</w:t>
            </w:r>
          </w:p>
        </w:tc>
      </w:tr>
      <w:tr>
        <w:tc>
          <w:tcPr>
            <w:tcW w:type="dxa" w:w="1247"/>
          </w:tcPr>
          <w:p>
            <w:r/>
            <w:r>
              <w:rPr>
                <w:rFonts w:ascii="宋体" w:hAnsi="宋体" w:eastAsia="宋体"/>
                <w:sz w:val="20"/>
              </w:rPr>
            </w:r>
          </w:p>
        </w:tc>
        <w:tc>
          <w:tcPr>
            <w:tcW w:type="dxa" w:w="1928"/>
          </w:tcPr>
          <w:p>
            <w:r/>
            <w:r>
              <w:rPr>
                <w:rFonts w:ascii="宋体" w:hAnsi="宋体" w:eastAsia="宋体"/>
                <w:sz w:val="20"/>
              </w:rPr>
              <w:t>信息变更记录</w:t>
            </w:r>
          </w:p>
        </w:tc>
        <w:tc>
          <w:tcPr>
            <w:tcW w:type="dxa" w:w="5669"/>
          </w:tcPr>
          <w:p>
            <w:r/>
            <w:r>
              <w:rPr>
                <w:rFonts w:ascii="宋体" w:hAnsi="宋体" w:eastAsia="宋体"/>
                <w:sz w:val="20"/>
              </w:rPr>
              <w:t>编辑人员信息时自动生成的字段变更留痕</w:t>
            </w:r>
          </w:p>
        </w:tc>
      </w:tr>
      <w:tr>
        <w:tc>
          <w:tcPr>
            <w:tcW w:type="dxa" w:w="1247"/>
          </w:tcPr>
          <w:p>
            <w:r/>
            <w:r>
              <w:rPr>
                <w:rFonts w:ascii="宋体" w:hAnsi="宋体" w:eastAsia="宋体"/>
                <w:sz w:val="20"/>
              </w:rPr>
              <w:t>会议</w:t>
            </w:r>
          </w:p>
        </w:tc>
        <w:tc>
          <w:tcPr>
            <w:tcW w:type="dxa" w:w="1928"/>
          </w:tcPr>
          <w:p>
            <w:r/>
            <w:r>
              <w:rPr>
                <w:rFonts w:ascii="宋体" w:hAnsi="宋体" w:eastAsia="宋体"/>
                <w:sz w:val="20"/>
              </w:rPr>
              <w:t>会议名称</w:t>
            </w:r>
          </w:p>
        </w:tc>
        <w:tc>
          <w:tcPr>
            <w:tcW w:type="dxa" w:w="5669"/>
          </w:tcPr>
          <w:p>
            <w:r/>
            <w:r>
              <w:rPr>
                <w:rFonts w:ascii="宋体" w:hAnsi="宋体" w:eastAsia="宋体"/>
                <w:sz w:val="20"/>
              </w:rPr>
              <w:t>会议的名称（非必填）</w:t>
            </w:r>
          </w:p>
        </w:tc>
      </w:tr>
      <w:tr>
        <w:tc>
          <w:tcPr>
            <w:tcW w:type="dxa" w:w="1247"/>
          </w:tcPr>
          <w:p>
            <w:r/>
            <w:r>
              <w:rPr>
                <w:rFonts w:ascii="宋体" w:hAnsi="宋体" w:eastAsia="宋体"/>
                <w:sz w:val="20"/>
              </w:rPr>
            </w:r>
          </w:p>
        </w:tc>
        <w:tc>
          <w:tcPr>
            <w:tcW w:type="dxa" w:w="1928"/>
          </w:tcPr>
          <w:p>
            <w:r/>
            <w:r>
              <w:rPr>
                <w:rFonts w:ascii="宋体" w:hAnsi="宋体" w:eastAsia="宋体"/>
                <w:sz w:val="20"/>
              </w:rPr>
              <w:t>会议类型</w:t>
            </w:r>
          </w:p>
        </w:tc>
        <w:tc>
          <w:tcPr>
            <w:tcW w:type="dxa" w:w="5669"/>
          </w:tcPr>
          <w:p>
            <w:r/>
            <w:r>
              <w:rPr>
                <w:rFonts w:ascii="宋体" w:hAnsi="宋体" w:eastAsia="宋体"/>
                <w:sz w:val="20"/>
              </w:rPr>
              <w:t>可选多种类型；选择党小组会时联动选择所属党小组</w:t>
            </w:r>
          </w:p>
        </w:tc>
      </w:tr>
      <w:tr>
        <w:tc>
          <w:tcPr>
            <w:tcW w:type="dxa" w:w="1247"/>
          </w:tcPr>
          <w:p>
            <w:r/>
            <w:r>
              <w:rPr>
                <w:rFonts w:ascii="宋体" w:hAnsi="宋体" w:eastAsia="宋体"/>
                <w:sz w:val="20"/>
              </w:rPr>
            </w:r>
          </w:p>
        </w:tc>
        <w:tc>
          <w:tcPr>
            <w:tcW w:type="dxa" w:w="1928"/>
          </w:tcPr>
          <w:p>
            <w:r/>
            <w:r>
              <w:rPr>
                <w:rFonts w:ascii="宋体" w:hAnsi="宋体" w:eastAsia="宋体"/>
                <w:sz w:val="20"/>
              </w:rPr>
              <w:t>会议日期／时间</w:t>
            </w:r>
          </w:p>
        </w:tc>
        <w:tc>
          <w:tcPr>
            <w:tcW w:type="dxa" w:w="5669"/>
          </w:tcPr>
          <w:p>
            <w:r/>
            <w:r>
              <w:rPr>
                <w:rFonts w:ascii="宋体" w:hAnsi="宋体" w:eastAsia="宋体"/>
                <w:sz w:val="20"/>
              </w:rPr>
              <w:t>会议召开的日期与时间段</w:t>
            </w:r>
          </w:p>
        </w:tc>
      </w:tr>
      <w:tr>
        <w:tc>
          <w:tcPr>
            <w:tcW w:type="dxa" w:w="1247"/>
          </w:tcPr>
          <w:p>
            <w:r/>
            <w:r>
              <w:rPr>
                <w:rFonts w:ascii="宋体" w:hAnsi="宋体" w:eastAsia="宋体"/>
                <w:sz w:val="20"/>
              </w:rPr>
            </w:r>
          </w:p>
        </w:tc>
        <w:tc>
          <w:tcPr>
            <w:tcW w:type="dxa" w:w="1928"/>
          </w:tcPr>
          <w:p>
            <w:r/>
            <w:r>
              <w:rPr>
                <w:rFonts w:ascii="宋体" w:hAnsi="宋体" w:eastAsia="宋体"/>
                <w:sz w:val="20"/>
              </w:rPr>
              <w:t>会议地点</w:t>
            </w:r>
          </w:p>
        </w:tc>
        <w:tc>
          <w:tcPr>
            <w:tcW w:type="dxa" w:w="5669"/>
          </w:tcPr>
          <w:p>
            <w:r/>
            <w:r>
              <w:rPr>
                <w:rFonts w:ascii="宋体" w:hAnsi="宋体" w:eastAsia="宋体"/>
                <w:sz w:val="20"/>
              </w:rPr>
              <w:t>支持选择常用地点或输入新地点</w:t>
            </w:r>
          </w:p>
        </w:tc>
      </w:tr>
      <w:tr>
        <w:tc>
          <w:tcPr>
            <w:tcW w:type="dxa" w:w="1247"/>
          </w:tcPr>
          <w:p>
            <w:r/>
            <w:r>
              <w:rPr>
                <w:rFonts w:ascii="宋体" w:hAnsi="宋体" w:eastAsia="宋体"/>
                <w:sz w:val="20"/>
              </w:rPr>
            </w:r>
          </w:p>
        </w:tc>
        <w:tc>
          <w:tcPr>
            <w:tcW w:type="dxa" w:w="1928"/>
          </w:tcPr>
          <w:p>
            <w:r/>
            <w:r>
              <w:rPr>
                <w:rFonts w:ascii="宋体" w:hAnsi="宋体" w:eastAsia="宋体"/>
                <w:sz w:val="20"/>
              </w:rPr>
              <w:t>主持人／记录人</w:t>
            </w:r>
          </w:p>
        </w:tc>
        <w:tc>
          <w:tcPr>
            <w:tcW w:type="dxa" w:w="5669"/>
          </w:tcPr>
          <w:p>
            <w:r/>
            <w:r>
              <w:rPr>
                <w:rFonts w:ascii="宋体" w:hAnsi="宋体" w:eastAsia="宋体"/>
                <w:sz w:val="20"/>
              </w:rPr>
              <w:t>会议主持人与记录人姓名</w:t>
            </w:r>
          </w:p>
        </w:tc>
      </w:tr>
      <w:tr>
        <w:tc>
          <w:tcPr>
            <w:tcW w:type="dxa" w:w="1247"/>
          </w:tcPr>
          <w:p>
            <w:r/>
            <w:r>
              <w:rPr>
                <w:rFonts w:ascii="宋体" w:hAnsi="宋体" w:eastAsia="宋体"/>
                <w:sz w:val="20"/>
              </w:rPr>
            </w:r>
          </w:p>
        </w:tc>
        <w:tc>
          <w:tcPr>
            <w:tcW w:type="dxa" w:w="1928"/>
          </w:tcPr>
          <w:p>
            <w:r/>
            <w:r>
              <w:rPr>
                <w:rFonts w:ascii="宋体" w:hAnsi="宋体" w:eastAsia="宋体"/>
                <w:sz w:val="20"/>
              </w:rPr>
              <w:t>议题／会议决议</w:t>
            </w:r>
          </w:p>
        </w:tc>
        <w:tc>
          <w:tcPr>
            <w:tcW w:type="dxa" w:w="5669"/>
          </w:tcPr>
          <w:p>
            <w:r/>
            <w:r>
              <w:rPr>
                <w:rFonts w:ascii="宋体" w:hAnsi="宋体" w:eastAsia="宋体"/>
                <w:sz w:val="20"/>
              </w:rPr>
              <w:t>会议议题与形成的决议、结论</w:t>
            </w:r>
          </w:p>
        </w:tc>
      </w:tr>
      <w:tr>
        <w:tc>
          <w:tcPr>
            <w:tcW w:type="dxa" w:w="1247"/>
          </w:tcPr>
          <w:p>
            <w:r/>
            <w:r>
              <w:rPr>
                <w:rFonts w:ascii="宋体" w:hAnsi="宋体" w:eastAsia="宋体"/>
                <w:sz w:val="20"/>
              </w:rPr>
            </w:r>
          </w:p>
        </w:tc>
        <w:tc>
          <w:tcPr>
            <w:tcW w:type="dxa" w:w="1928"/>
          </w:tcPr>
          <w:p>
            <w:r/>
            <w:r>
              <w:rPr>
                <w:rFonts w:ascii="宋体" w:hAnsi="宋体" w:eastAsia="宋体"/>
                <w:sz w:val="20"/>
              </w:rPr>
              <w:t>参会人员</w:t>
            </w:r>
          </w:p>
        </w:tc>
        <w:tc>
          <w:tcPr>
            <w:tcW w:type="dxa" w:w="5669"/>
          </w:tcPr>
          <w:p>
            <w:r/>
            <w:r>
              <w:rPr>
                <w:rFonts w:ascii="宋体" w:hAnsi="宋体" w:eastAsia="宋体"/>
                <w:sz w:val="20"/>
              </w:rPr>
              <w:t>每人包含出席情况（出席/请假/缺席）、是否列席、请假原因，以及部门／部室／党小组快照</w:t>
            </w:r>
          </w:p>
        </w:tc>
      </w:tr>
      <w:tr>
        <w:tc>
          <w:tcPr>
            <w:tcW w:type="dxa" w:w="1247"/>
          </w:tcPr>
          <w:p>
            <w:r/>
            <w:r>
              <w:rPr>
                <w:rFonts w:ascii="宋体" w:hAnsi="宋体" w:eastAsia="宋体"/>
                <w:sz w:val="20"/>
              </w:rPr>
              <w:t>谈心谈话</w:t>
            </w:r>
          </w:p>
        </w:tc>
        <w:tc>
          <w:tcPr>
            <w:tcW w:type="dxa" w:w="1928"/>
          </w:tcPr>
          <w:p>
            <w:r/>
            <w:r>
              <w:rPr>
                <w:rFonts w:ascii="宋体" w:hAnsi="宋体" w:eastAsia="宋体"/>
                <w:sz w:val="20"/>
              </w:rPr>
              <w:t>谈话方式</w:t>
            </w:r>
          </w:p>
        </w:tc>
        <w:tc>
          <w:tcPr>
            <w:tcW w:type="dxa" w:w="5669"/>
          </w:tcPr>
          <w:p>
            <w:r/>
            <w:r>
              <w:rPr>
                <w:rFonts w:ascii="宋体" w:hAnsi="宋体" w:eastAsia="宋体"/>
                <w:sz w:val="20"/>
              </w:rPr>
              <w:t>个别谈话、集体谈话、组织约谈</w:t>
            </w:r>
          </w:p>
        </w:tc>
      </w:tr>
      <w:tr>
        <w:tc>
          <w:tcPr>
            <w:tcW w:type="dxa" w:w="1247"/>
          </w:tcPr>
          <w:p>
            <w:r/>
            <w:r>
              <w:rPr>
                <w:rFonts w:ascii="宋体" w:hAnsi="宋体" w:eastAsia="宋体"/>
                <w:sz w:val="20"/>
              </w:rPr>
            </w:r>
          </w:p>
        </w:tc>
        <w:tc>
          <w:tcPr>
            <w:tcW w:type="dxa" w:w="1928"/>
          </w:tcPr>
          <w:p>
            <w:r/>
            <w:r>
              <w:rPr>
                <w:rFonts w:ascii="宋体" w:hAnsi="宋体" w:eastAsia="宋体"/>
                <w:sz w:val="20"/>
              </w:rPr>
              <w:t>谈话类型</w:t>
            </w:r>
          </w:p>
        </w:tc>
        <w:tc>
          <w:tcPr>
            <w:tcW w:type="dxa" w:w="5669"/>
          </w:tcPr>
          <w:p>
            <w:r/>
            <w:r>
              <w:rPr>
                <w:rFonts w:ascii="宋体" w:hAnsi="宋体" w:eastAsia="宋体"/>
                <w:sz w:val="20"/>
              </w:rPr>
              <w:t>六类预设谈话类型（领导班子成员之间、支部委员和党员之间等）</w:t>
            </w:r>
          </w:p>
        </w:tc>
      </w:tr>
      <w:tr>
        <w:tc>
          <w:tcPr>
            <w:tcW w:type="dxa" w:w="1247"/>
          </w:tcPr>
          <w:p>
            <w:r/>
            <w:r>
              <w:rPr>
                <w:rFonts w:ascii="宋体" w:hAnsi="宋体" w:eastAsia="宋体"/>
                <w:sz w:val="20"/>
              </w:rPr>
            </w:r>
          </w:p>
        </w:tc>
        <w:tc>
          <w:tcPr>
            <w:tcW w:type="dxa" w:w="1928"/>
          </w:tcPr>
          <w:p>
            <w:r/>
            <w:r>
              <w:rPr>
                <w:rFonts w:ascii="宋体" w:hAnsi="宋体" w:eastAsia="宋体"/>
                <w:sz w:val="20"/>
              </w:rPr>
              <w:t>谈话人与谈话对象</w:t>
            </w:r>
          </w:p>
        </w:tc>
        <w:tc>
          <w:tcPr>
            <w:tcW w:type="dxa" w:w="5669"/>
          </w:tcPr>
          <w:p>
            <w:r/>
            <w:r>
              <w:rPr>
                <w:rFonts w:ascii="宋体" w:hAnsi="宋体" w:eastAsia="宋体"/>
                <w:sz w:val="20"/>
              </w:rPr>
              <w:t>谈话人及其职务；个别谈话为单一对象，集体谈话与组织约谈可多名对象</w:t>
            </w:r>
          </w:p>
        </w:tc>
      </w:tr>
      <w:tr>
        <w:tc>
          <w:tcPr>
            <w:tcW w:type="dxa" w:w="1247"/>
          </w:tcPr>
          <w:p>
            <w:r/>
            <w:r>
              <w:rPr>
                <w:rFonts w:ascii="宋体" w:hAnsi="宋体" w:eastAsia="宋体"/>
                <w:sz w:val="20"/>
              </w:rPr>
            </w:r>
          </w:p>
        </w:tc>
        <w:tc>
          <w:tcPr>
            <w:tcW w:type="dxa" w:w="1928"/>
          </w:tcPr>
          <w:p>
            <w:r/>
            <w:r>
              <w:rPr>
                <w:rFonts w:ascii="宋体" w:hAnsi="宋体" w:eastAsia="宋体"/>
                <w:sz w:val="20"/>
              </w:rPr>
              <w:t>谈话日期与时段</w:t>
            </w:r>
          </w:p>
        </w:tc>
        <w:tc>
          <w:tcPr>
            <w:tcW w:type="dxa" w:w="5669"/>
          </w:tcPr>
          <w:p>
            <w:r/>
            <w:r>
              <w:rPr>
                <w:rFonts w:ascii="宋体" w:hAnsi="宋体" w:eastAsia="宋体"/>
                <w:sz w:val="20"/>
              </w:rPr>
              <w:t>谈话日期，以及上午／下午时段</w:t>
            </w:r>
          </w:p>
        </w:tc>
      </w:tr>
      <w:tr>
        <w:tc>
          <w:tcPr>
            <w:tcW w:type="dxa" w:w="1247"/>
          </w:tcPr>
          <w:p>
            <w:r/>
            <w:r>
              <w:rPr>
                <w:rFonts w:ascii="宋体" w:hAnsi="宋体" w:eastAsia="宋体"/>
                <w:sz w:val="20"/>
              </w:rPr>
            </w:r>
          </w:p>
        </w:tc>
        <w:tc>
          <w:tcPr>
            <w:tcW w:type="dxa" w:w="1928"/>
          </w:tcPr>
          <w:p>
            <w:r/>
            <w:r>
              <w:rPr>
                <w:rFonts w:ascii="宋体" w:hAnsi="宋体" w:eastAsia="宋体"/>
                <w:sz w:val="20"/>
              </w:rPr>
              <w:t>谈话提纲／内容</w:t>
            </w:r>
          </w:p>
        </w:tc>
        <w:tc>
          <w:tcPr>
            <w:tcW w:type="dxa" w:w="5669"/>
          </w:tcPr>
          <w:p>
            <w:r/>
            <w:r>
              <w:rPr>
                <w:rFonts w:ascii="宋体" w:hAnsi="宋体" w:eastAsia="宋体"/>
                <w:sz w:val="20"/>
              </w:rPr>
              <w:t>谈话提纲与谈话内容记录</w:t>
            </w:r>
          </w:p>
        </w:tc>
      </w:tr>
      <w:tr>
        <w:tc>
          <w:tcPr>
            <w:tcW w:type="dxa" w:w="1247"/>
          </w:tcPr>
          <w:p>
            <w:r/>
            <w:r>
              <w:rPr>
                <w:rFonts w:ascii="宋体" w:hAnsi="宋体" w:eastAsia="宋体"/>
                <w:sz w:val="20"/>
              </w:rPr>
            </w:r>
          </w:p>
        </w:tc>
        <w:tc>
          <w:tcPr>
            <w:tcW w:type="dxa" w:w="1928"/>
          </w:tcPr>
          <w:p>
            <w:r/>
            <w:r>
              <w:rPr>
                <w:rFonts w:ascii="宋体" w:hAnsi="宋体" w:eastAsia="宋体"/>
                <w:sz w:val="20"/>
              </w:rPr>
              <w:t>五必谈</w:t>
            </w:r>
          </w:p>
        </w:tc>
        <w:tc>
          <w:tcPr>
            <w:tcW w:type="dxa" w:w="5669"/>
          </w:tcPr>
          <w:p>
            <w:r/>
            <w:r>
              <w:rPr>
                <w:rFonts w:ascii="宋体" w:hAnsi="宋体" w:eastAsia="宋体"/>
                <w:sz w:val="20"/>
              </w:rPr>
              <w:t>标记该次谈话是否属于"五必谈"范围</w:t>
            </w:r>
          </w:p>
        </w:tc>
      </w:tr>
      <w:tr>
        <w:tc>
          <w:tcPr>
            <w:tcW w:type="dxa" w:w="1247"/>
          </w:tcPr>
          <w:p>
            <w:r/>
            <w:r>
              <w:rPr>
                <w:rFonts w:ascii="宋体" w:hAnsi="宋体" w:eastAsia="宋体"/>
                <w:sz w:val="20"/>
              </w:rPr>
              <w:t>操作日志</w:t>
            </w:r>
          </w:p>
        </w:tc>
        <w:tc>
          <w:tcPr>
            <w:tcW w:type="dxa" w:w="1928"/>
          </w:tcPr>
          <w:p>
            <w:r/>
            <w:r>
              <w:rPr>
                <w:rFonts w:ascii="宋体" w:hAnsi="宋体" w:eastAsia="宋体"/>
                <w:sz w:val="20"/>
              </w:rPr>
              <w:t>时间／操作类型</w:t>
            </w:r>
          </w:p>
        </w:tc>
        <w:tc>
          <w:tcPr>
            <w:tcW w:type="dxa" w:w="5669"/>
          </w:tcPr>
          <w:p>
            <w:r/>
            <w:r>
              <w:rPr>
                <w:rFonts w:ascii="宋体" w:hAnsi="宋体" w:eastAsia="宋体"/>
                <w:sz w:val="20"/>
              </w:rPr>
              <w:t>操作发生时间与操作类别</w:t>
            </w:r>
          </w:p>
        </w:tc>
      </w:tr>
      <w:tr>
        <w:tc>
          <w:tcPr>
            <w:tcW w:type="dxa" w:w="1247"/>
          </w:tcPr>
          <w:p>
            <w:r/>
            <w:r>
              <w:rPr>
                <w:rFonts w:ascii="宋体" w:hAnsi="宋体" w:eastAsia="宋体"/>
                <w:sz w:val="20"/>
              </w:rPr>
            </w:r>
          </w:p>
        </w:tc>
        <w:tc>
          <w:tcPr>
            <w:tcW w:type="dxa" w:w="1928"/>
          </w:tcPr>
          <w:p>
            <w:r/>
            <w:r>
              <w:rPr>
                <w:rFonts w:ascii="宋体" w:hAnsi="宋体" w:eastAsia="宋体"/>
                <w:sz w:val="20"/>
              </w:rPr>
              <w:t>操作描述／详情</w:t>
            </w:r>
          </w:p>
        </w:tc>
        <w:tc>
          <w:tcPr>
            <w:tcW w:type="dxa" w:w="5669"/>
          </w:tcPr>
          <w:p>
            <w:r/>
            <w:r>
              <w:rPr>
                <w:rFonts w:ascii="宋体" w:hAnsi="宋体" w:eastAsia="宋体"/>
                <w:sz w:val="20"/>
              </w:rPr>
              <w:t>操作内容说明与补充信息</w:t>
            </w:r>
          </w:p>
        </w:tc>
      </w:tr>
      <w:tr>
        <w:tc>
          <w:tcPr>
            <w:tcW w:type="dxa" w:w="1247"/>
          </w:tcPr>
          <w:p>
            <w:r/>
            <w:r>
              <w:rPr>
                <w:rFonts w:ascii="宋体" w:hAnsi="宋体" w:eastAsia="宋体"/>
                <w:sz w:val="20"/>
              </w:rPr>
            </w:r>
          </w:p>
        </w:tc>
        <w:tc>
          <w:tcPr>
            <w:tcW w:type="dxa" w:w="1928"/>
          </w:tcPr>
          <w:p>
            <w:r/>
            <w:r>
              <w:rPr>
                <w:rFonts w:ascii="宋体" w:hAnsi="宋体" w:eastAsia="宋体"/>
                <w:sz w:val="20"/>
              </w:rPr>
              <w:t>结果</w:t>
            </w:r>
          </w:p>
        </w:tc>
        <w:tc>
          <w:tcPr>
            <w:tcW w:type="dxa" w:w="5669"/>
          </w:tcPr>
          <w:p>
            <w:r/>
            <w:r>
              <w:rPr>
                <w:rFonts w:ascii="宋体" w:hAnsi="宋体" w:eastAsia="宋体"/>
                <w:sz w:val="20"/>
              </w:rPr>
              <w:t>操作结果（成功／失败）</w:t>
            </w:r>
          </w:p>
        </w:tc>
      </w:tr>
    </w:tbl>
    <w:p>
      <w:pPr>
        <w:spacing w:after="120"/>
      </w:pPr>
    </w:p>
    <w:p/>
    <w:p>
      <w:pPr>
        <w:spacing w:before="200" w:after="120"/>
      </w:pPr>
      <w:r>
        <w:rPr>
          <w:rFonts w:ascii="黑体" w:hAnsi="黑体" w:eastAsia="黑体"/>
          <w:b/>
          <w:sz w:val="25"/>
        </w:rPr>
        <w:t>附：版本说明</w:t>
      </w:r>
    </w:p>
    <w:p>
      <w:pPr>
        <w:ind w:firstLine="440"/>
      </w:pPr>
      <w:r>
        <w:rPr>
          <w:rFonts w:ascii="宋体" w:hAnsi="宋体" w:eastAsia="宋体"/>
          <w:sz w:val="22"/>
        </w:rPr>
        <w:t>本说明书对应软件版本 V3.5.3。该版本在数据看板统计口径与组织架构展示方面的主要能力包括：在职党员总数按所选年度时点统计并随人员状态动态更新；出勤对比支持按党小组、部室、部门／支部三个维度切换统计；新增"组织架构"独立栏目，以树状图展示支部书记、副书记、支部委员会与党小组的当前组织架构，并支持展开查看各党小组成员与人数统计。</w:t>
      </w:r>
    </w:p>
    <w:sectPr w:rsidR="00FC693F" w:rsidRPr="0006063C" w:rsidSect="00034616">
      <w:pgSz w:w="11906" w:h="16838"/>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36"/>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