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g4gd13kr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28. OSPF: Part 3 (IGP: Link State)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365eicu4mxv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Loopback Interfaces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Loopback Interface</w:t>
      </w:r>
      <w:r w:rsidDel="00000000" w:rsidR="00000000" w:rsidRPr="00000000">
        <w:rPr>
          <w:rtl w:val="0"/>
        </w:rPr>
        <w:t xml:space="preserve"> is a virtual interface in the router.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b w:val="1"/>
          <w:rtl w:val="0"/>
        </w:rPr>
        <w:t xml:space="preserve">always UP/UP</w:t>
      </w:r>
      <w:r w:rsidDel="00000000" w:rsidR="00000000" w:rsidRPr="00000000">
        <w:rPr>
          <w:rtl w:val="0"/>
        </w:rPr>
        <w:t xml:space="preserve"> unless manually shut down.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is not dependent on a physical interface, making it a consistent IP address for identifying/reaching the router.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fofdzd114u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OSPF Network Types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OSPF Network Type</w:t>
      </w:r>
      <w:r w:rsidDel="00000000" w:rsidR="00000000" w:rsidRPr="00000000">
        <w:rPr>
          <w:rtl w:val="0"/>
        </w:rPr>
        <w:t xml:space="preserve"> refers to the connection type between OSPF neighbors (e.g., Ethernet).</w:t>
        <w:br w:type="textWrapping"/>
        <w:t xml:space="preserve"> There are </w:t>
      </w:r>
      <w:r w:rsidDel="00000000" w:rsidR="00000000" w:rsidRPr="00000000">
        <w:rPr>
          <w:b w:val="1"/>
          <w:rtl w:val="0"/>
        </w:rPr>
        <w:t xml:space="preserve">three main OSPF network types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Broadcast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Default enabled on </w:t>
      </w:r>
      <w:r w:rsidDel="00000000" w:rsidR="00000000" w:rsidRPr="00000000">
        <w:rPr>
          <w:b w:val="1"/>
          <w:rtl w:val="0"/>
        </w:rPr>
        <w:t xml:space="preserve">Ethernet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FDDI</w:t>
      </w:r>
      <w:r w:rsidDel="00000000" w:rsidR="00000000" w:rsidRPr="00000000">
        <w:rPr>
          <w:rtl w:val="0"/>
        </w:rPr>
        <w:t xml:space="preserve"> interfaces.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Point-to-Point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Default enabled on </w:t>
      </w:r>
      <w:r w:rsidDel="00000000" w:rsidR="00000000" w:rsidRPr="00000000">
        <w:rPr>
          <w:b w:val="1"/>
          <w:rtl w:val="0"/>
        </w:rPr>
        <w:t xml:space="preserve">PPP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HDLC</w:t>
      </w:r>
      <w:r w:rsidDel="00000000" w:rsidR="00000000" w:rsidRPr="00000000">
        <w:rPr>
          <w:rtl w:val="0"/>
        </w:rPr>
        <w:t xml:space="preserve"> interfaces.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Non-Broadcast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Default enabled on </w:t>
      </w:r>
      <w:r w:rsidDel="00000000" w:rsidR="00000000" w:rsidRPr="00000000">
        <w:rPr>
          <w:b w:val="1"/>
          <w:rtl w:val="0"/>
        </w:rPr>
        <w:t xml:space="preserve">Frame Relay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X.25</w:t>
      </w:r>
      <w:r w:rsidDel="00000000" w:rsidR="00000000" w:rsidRPr="00000000">
        <w:rPr>
          <w:rtl w:val="0"/>
        </w:rPr>
        <w:t xml:space="preserve"> interfaces.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CCNA focuses on </w:t>
      </w:r>
      <w:r w:rsidDel="00000000" w:rsidR="00000000" w:rsidRPr="00000000">
        <w:rPr>
          <w:b w:val="1"/>
          <w:rtl w:val="0"/>
        </w:rPr>
        <w:t xml:space="preserve">Broadcast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Point-to-Point</w:t>
      </w:r>
      <w:r w:rsidDel="00000000" w:rsidR="00000000" w:rsidRPr="00000000">
        <w:rPr>
          <w:rtl w:val="0"/>
        </w:rPr>
        <w:t xml:space="preserve"> types.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jady0fdbzrn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OSPF Broadcast Network Type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Default on </w:t>
      </w:r>
      <w:r w:rsidDel="00000000" w:rsidR="00000000" w:rsidRPr="00000000">
        <w:rPr>
          <w:b w:val="1"/>
          <w:rtl w:val="0"/>
        </w:rPr>
        <w:t xml:space="preserve">Ethernet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FDDI</w:t>
      </w:r>
      <w:r w:rsidDel="00000000" w:rsidR="00000000" w:rsidRPr="00000000">
        <w:rPr>
          <w:rtl w:val="0"/>
        </w:rPr>
        <w:t xml:space="preserve"> interfaces.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Routers dynamically discover neighbors by sending/listening for OSPF "Hello" messages via multicast address </w:t>
      </w:r>
      <w:r w:rsidDel="00000000" w:rsidR="00000000" w:rsidRPr="00000000">
        <w:rPr>
          <w:b w:val="1"/>
          <w:rtl w:val="0"/>
        </w:rPr>
        <w:t xml:space="preserve">224.0.0.5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Designated Router (DR)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Backup Designated Router (BDR)</w:t>
      </w:r>
      <w:r w:rsidDel="00000000" w:rsidR="00000000" w:rsidRPr="00000000">
        <w:rPr>
          <w:rtl w:val="0"/>
        </w:rPr>
        <w:t xml:space="preserve"> are elected for each subnet.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Non-DR/BDR routers become </w:t>
      </w:r>
      <w:r w:rsidDel="00000000" w:rsidR="00000000" w:rsidRPr="00000000">
        <w:rPr>
          <w:b w:val="1"/>
          <w:rtl w:val="0"/>
        </w:rPr>
        <w:t xml:space="preserve">DROthers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4q019dkhpwrj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DR/BDR Election Order of Priority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Highest OSPF </w:t>
      </w:r>
      <w:r w:rsidDel="00000000" w:rsidR="00000000" w:rsidRPr="00000000">
        <w:rPr>
          <w:b w:val="1"/>
          <w:rtl w:val="0"/>
        </w:rPr>
        <w:t xml:space="preserve">Interface Priority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Highest OSPF </w:t>
      </w:r>
      <w:r w:rsidDel="00000000" w:rsidR="00000000" w:rsidRPr="00000000">
        <w:rPr>
          <w:b w:val="1"/>
          <w:rtl w:val="0"/>
        </w:rPr>
        <w:t xml:space="preserve">Router 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Default Interface Priority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for all interfaces.</w:t>
      </w:r>
    </w:p>
    <w:p w:rsidR="00000000" w:rsidDel="00000000" w:rsidP="00000000" w:rsidRDefault="00000000" w:rsidRPr="00000000" w14:paraId="0000001B">
      <w:pPr>
        <w:rPr>
          <w:color w:val="e69138"/>
        </w:rPr>
      </w:pPr>
      <w:r w:rsidDel="00000000" w:rsidR="00000000" w:rsidRPr="00000000">
        <w:rPr>
          <w:rtl w:val="0"/>
        </w:rPr>
        <w:t xml:space="preserve">To change the OSPF interface priority:</w:t>
        <w:br w:type="textWrapping"/>
      </w:r>
      <w:r w:rsidDel="00000000" w:rsidR="00000000" w:rsidRPr="00000000">
        <w:rPr>
          <w:color w:val="e69138"/>
          <w:rtl w:val="0"/>
        </w:rPr>
        <w:t xml:space="preserve"> R2(config-if)# ip ospf priority &lt;priority number&gt;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Priority = 0</w:t>
      </w:r>
      <w:r w:rsidDel="00000000" w:rsidR="00000000" w:rsidRPr="00000000">
        <w:rPr>
          <w:rtl w:val="0"/>
        </w:rPr>
        <w:t xml:space="preserve">: The router cannot become the DR/BDR.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DR/BDR Election is non-preemptive</w:t>
      </w:r>
      <w:r w:rsidDel="00000000" w:rsidR="00000000" w:rsidRPr="00000000">
        <w:rPr>
          <w:rtl w:val="0"/>
        </w:rPr>
        <w:t xml:space="preserve">: Once elected, roles remain until OSPF resets or an interface fails/shuts down.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Full Adjacency Rules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Only the DR/BDR form full adjacency with all routers in the subnet.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DROthers form full adjacency only with the DR/BDR, neighbor state with DROthers will be 2-way to reduce LSA flooding.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Messages to DR/BDR: Multicast to </w:t>
      </w:r>
      <w:r w:rsidDel="00000000" w:rsidR="00000000" w:rsidRPr="00000000">
        <w:rPr>
          <w:b w:val="1"/>
          <w:rtl w:val="0"/>
        </w:rPr>
        <w:t xml:space="preserve">224.0.0.6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cr9jslugdmo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OSPF Point-to-Point Network Type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Enabled by default on </w:t>
      </w:r>
      <w:r w:rsidDel="00000000" w:rsidR="00000000" w:rsidRPr="00000000">
        <w:rPr>
          <w:b w:val="1"/>
          <w:rtl w:val="0"/>
        </w:rPr>
        <w:t xml:space="preserve">Serial Interfaces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PPP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HDLC</w:t>
      </w:r>
      <w:r w:rsidDel="00000000" w:rsidR="00000000" w:rsidRPr="00000000">
        <w:rPr>
          <w:rtl w:val="0"/>
        </w:rPr>
        <w:t xml:space="preserve"> encapsulations.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Routers discover neighbors using </w:t>
      </w:r>
      <w:r w:rsidDel="00000000" w:rsidR="00000000" w:rsidRPr="00000000">
        <w:rPr>
          <w:b w:val="1"/>
          <w:rtl w:val="0"/>
        </w:rPr>
        <w:t xml:space="preserve">Hello</w:t>
      </w:r>
      <w:r w:rsidDel="00000000" w:rsidR="00000000" w:rsidRPr="00000000">
        <w:rPr>
          <w:rtl w:val="0"/>
        </w:rPr>
        <w:t xml:space="preserve"> messages (multicast </w:t>
      </w:r>
      <w:r w:rsidDel="00000000" w:rsidR="00000000" w:rsidRPr="00000000">
        <w:rPr>
          <w:b w:val="1"/>
          <w:rtl w:val="0"/>
        </w:rPr>
        <w:t xml:space="preserve">224.0.0.5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DR/BDR election</w:t>
      </w:r>
      <w:r w:rsidDel="00000000" w:rsidR="00000000" w:rsidRPr="00000000">
        <w:rPr>
          <w:rtl w:val="0"/>
        </w:rPr>
        <w:t xml:space="preserve"> is required because the connection is directly between two routers.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n08sgew9511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Serial Interfaces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DCE/DTE</w:t>
      </w:r>
      <w:r w:rsidDel="00000000" w:rsidR="00000000" w:rsidRPr="00000000">
        <w:rPr>
          <w:rtl w:val="0"/>
        </w:rPr>
        <w:t xml:space="preserve"> Roles: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One side of a serial connection acts as </w:t>
      </w:r>
      <w:r w:rsidDel="00000000" w:rsidR="00000000" w:rsidRPr="00000000">
        <w:rPr>
          <w:b w:val="1"/>
          <w:rtl w:val="0"/>
        </w:rPr>
        <w:t xml:space="preserve">DCE</w:t>
      </w:r>
      <w:r w:rsidDel="00000000" w:rsidR="00000000" w:rsidRPr="00000000">
        <w:rPr>
          <w:rtl w:val="0"/>
        </w:rPr>
        <w:t xml:space="preserve"> (Data Communications Equipment).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other side acts as </w:t>
      </w:r>
      <w:r w:rsidDel="00000000" w:rsidR="00000000" w:rsidRPr="00000000">
        <w:rPr>
          <w:b w:val="1"/>
          <w:rtl w:val="0"/>
        </w:rPr>
        <w:t xml:space="preserve">DTE</w:t>
      </w:r>
      <w:r w:rsidDel="00000000" w:rsidR="00000000" w:rsidRPr="00000000">
        <w:rPr>
          <w:rtl w:val="0"/>
        </w:rPr>
        <w:t xml:space="preserve"> (Data Terminal Equipment).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DCE needs to specify the Clock Rate:</w:t>
      </w:r>
    </w:p>
    <w:p w:rsidR="00000000" w:rsidDel="00000000" w:rsidP="00000000" w:rsidRDefault="00000000" w:rsidRPr="00000000" w14:paraId="0000002E">
      <w:pPr>
        <w:rPr>
          <w:color w:val="e69138"/>
        </w:rPr>
      </w:pPr>
      <w:r w:rsidDel="00000000" w:rsidR="00000000" w:rsidRPr="00000000">
        <w:rPr/>
        <w:drawing>
          <wp:inline distB="114300" distT="114300" distL="114300" distR="114300">
            <wp:extent cx="4205288" cy="5518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551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e69138"/>
          <w:rtl w:val="0"/>
        </w:rPr>
        <w:t xml:space="preserve"> R1(config-if)# clock rate &lt;bits-per-second&gt;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Default encapsulation: </w:t>
      </w:r>
      <w:r w:rsidDel="00000000" w:rsidR="00000000" w:rsidRPr="00000000">
        <w:rPr>
          <w:b w:val="1"/>
          <w:rtl w:val="0"/>
        </w:rPr>
        <w:t xml:space="preserve">HDLC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>
          <w:color w:val="e69138"/>
        </w:rPr>
      </w:pPr>
      <w:r w:rsidDel="00000000" w:rsidR="00000000" w:rsidRPr="00000000">
        <w:rPr>
          <w:rtl w:val="0"/>
        </w:rPr>
        <w:t xml:space="preserve">Change encapsulation to PPP:</w:t>
        <w:br w:type="textWrapping"/>
      </w:r>
      <w:r w:rsidDel="00000000" w:rsidR="00000000" w:rsidRPr="00000000">
        <w:rPr>
          <w:color w:val="e69138"/>
          <w:rtl w:val="0"/>
        </w:rPr>
        <w:t xml:space="preserve"> R1(config-if)# encapsulation ppp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e69138"/>
        </w:rPr>
      </w:pPr>
      <w:r w:rsidDel="00000000" w:rsidR="00000000" w:rsidRPr="00000000">
        <w:rPr>
          <w:rtl w:val="0"/>
        </w:rPr>
        <w:t xml:space="preserve">To identify DCE/DTE:</w:t>
        <w:br w:type="textWrapping"/>
      </w:r>
      <w:r w:rsidDel="00000000" w:rsidR="00000000" w:rsidRPr="00000000">
        <w:rPr>
          <w:color w:val="e69138"/>
          <w:rtl w:val="0"/>
        </w:rPr>
        <w:t xml:space="preserve"> R1# show controllers &lt;interface-id&gt;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Note: Encapsulation must match on both ends of a serial connection or the interface will go down.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f6botbsw1g6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OSPF Neighbor/Adjacency Requirements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Area Number</w:t>
      </w:r>
      <w:r w:rsidDel="00000000" w:rsidR="00000000" w:rsidRPr="00000000">
        <w:rPr>
          <w:rtl w:val="0"/>
        </w:rPr>
        <w:t xml:space="preserve"> must match.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Interfaces must be in the </w:t>
      </w:r>
      <w:r w:rsidDel="00000000" w:rsidR="00000000" w:rsidRPr="00000000">
        <w:rPr>
          <w:b w:val="1"/>
          <w:rtl w:val="0"/>
        </w:rPr>
        <w:t xml:space="preserve">same subnet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OSPF</w:t>
      </w:r>
      <w:r w:rsidDel="00000000" w:rsidR="00000000" w:rsidRPr="00000000">
        <w:rPr>
          <w:rtl w:val="0"/>
        </w:rPr>
        <w:t xml:space="preserve"> process must not be </w:t>
      </w:r>
      <w:r w:rsidDel="00000000" w:rsidR="00000000" w:rsidRPr="00000000">
        <w:rPr>
          <w:b w:val="1"/>
          <w:rtl w:val="0"/>
        </w:rPr>
        <w:t xml:space="preserve">shutdown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Router ID</w:t>
      </w:r>
      <w:r w:rsidDel="00000000" w:rsidR="00000000" w:rsidRPr="00000000">
        <w:rPr>
          <w:rtl w:val="0"/>
        </w:rPr>
        <w:t xml:space="preserve"> must be unique.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Hello/Dead Timers</w:t>
      </w:r>
      <w:r w:rsidDel="00000000" w:rsidR="00000000" w:rsidRPr="00000000">
        <w:rPr>
          <w:rtl w:val="0"/>
        </w:rPr>
        <w:t xml:space="preserve"> must match.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 Settings</w:t>
      </w:r>
      <w:r w:rsidDel="00000000" w:rsidR="00000000" w:rsidRPr="00000000">
        <w:rPr>
          <w:rtl w:val="0"/>
        </w:rPr>
        <w:t xml:space="preserve"> must match.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IP MTU Settings</w:t>
      </w:r>
      <w:r w:rsidDel="00000000" w:rsidR="00000000" w:rsidRPr="00000000">
        <w:rPr>
          <w:rtl w:val="0"/>
        </w:rPr>
        <w:t xml:space="preserve"> must match (for proper operation). -MTU stands for Maximum Transmission Unit, and it's the largest packet size that can be transmitted over a network.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OSPF Network Type</w:t>
      </w:r>
      <w:r w:rsidDel="00000000" w:rsidR="00000000" w:rsidRPr="00000000">
        <w:rPr>
          <w:rtl w:val="0"/>
        </w:rPr>
        <w:t xml:space="preserve"> must match.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cjei1k2u71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s2krhgihu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eh8u4iga5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zpxxv3pbew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yy0ohh1vpgf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c3hkmlhhdni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vfkmi9o79sb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qeh9iz7hsy7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OSPF LSA Types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OSPF Link-State Database (LSDB) comprises LSAs. Key types for CCNA: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 1 (Router LSA)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Generated by every OSPF router.</w:t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Identifies the router via its </w:t>
      </w:r>
      <w:r w:rsidDel="00000000" w:rsidR="00000000" w:rsidRPr="00000000">
        <w:rPr>
          <w:b w:val="1"/>
          <w:rtl w:val="0"/>
        </w:rPr>
        <w:t xml:space="preserve">Router 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Lists networks attached to the router’s OSPF-enabled interfaces.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 2 (Network LSA)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Generated by the </w:t>
      </w:r>
      <w:r w:rsidDel="00000000" w:rsidR="00000000" w:rsidRPr="00000000">
        <w:rPr>
          <w:b w:val="1"/>
          <w:rtl w:val="0"/>
        </w:rPr>
        <w:t xml:space="preserve">DR</w:t>
      </w:r>
      <w:r w:rsidDel="00000000" w:rsidR="00000000" w:rsidRPr="00000000">
        <w:rPr>
          <w:rtl w:val="0"/>
        </w:rPr>
        <w:t xml:space="preserve"> of each multi-access network.</w:t>
      </w:r>
    </w:p>
    <w:p w:rsidR="00000000" w:rsidDel="00000000" w:rsidP="00000000" w:rsidRDefault="00000000" w:rsidRPr="00000000" w14:paraId="0000005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Lists routers attached to the network.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 5 (AS-External LSA)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Generated by </w:t>
      </w:r>
      <w:r w:rsidDel="00000000" w:rsidR="00000000" w:rsidRPr="00000000">
        <w:rPr>
          <w:b w:val="1"/>
          <w:rtl w:val="0"/>
        </w:rPr>
        <w:t xml:space="preserve">ASBRs</w:t>
      </w:r>
      <w:r w:rsidDel="00000000" w:rsidR="00000000" w:rsidRPr="00000000">
        <w:rPr>
          <w:rtl w:val="0"/>
        </w:rPr>
        <w:t xml:space="preserve"> to describe routes to destinations outside the OSPF domain.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