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84086" w14:textId="609B18DE" w:rsidR="00C21298" w:rsidRPr="00C21298" w:rsidRDefault="00B52383">
      <w:pPr>
        <w:rPr>
          <w:b/>
          <w:bCs/>
        </w:rPr>
      </w:pPr>
      <w:r w:rsidRPr="00C3090C">
        <w:rPr>
          <w:b/>
          <w:bCs/>
        </w:rPr>
        <w:t>实验</w:t>
      </w:r>
      <w:proofErr w:type="gramStart"/>
      <w:r>
        <w:rPr>
          <w:rFonts w:hint="eastAsia"/>
          <w:b/>
          <w:bCs/>
        </w:rPr>
        <w:t>一</w:t>
      </w:r>
      <w:proofErr w:type="gramEnd"/>
      <w:r w:rsidRPr="00C3090C">
        <w:rPr>
          <w:b/>
          <w:bCs/>
        </w:rPr>
        <w:t>：</w:t>
      </w:r>
      <w:r w:rsidR="00C21298" w:rsidRPr="00C21298">
        <w:rPr>
          <w:b/>
          <w:bCs/>
        </w:rPr>
        <w:t>基于物理信息神经网络的海洋</w:t>
      </w:r>
      <w:proofErr w:type="gramStart"/>
      <w:r w:rsidR="00C21298" w:rsidRPr="00C21298">
        <w:rPr>
          <w:b/>
          <w:bCs/>
        </w:rPr>
        <w:t>温压关系</w:t>
      </w:r>
      <w:proofErr w:type="gramEnd"/>
      <w:r w:rsidR="00C21298" w:rsidRPr="00C21298">
        <w:rPr>
          <w:b/>
          <w:bCs/>
        </w:rPr>
        <w:t>方程结构对比实验</w:t>
      </w:r>
    </w:p>
    <w:p w14:paraId="1ED4A530" w14:textId="20A1DC2C" w:rsidR="00067E50" w:rsidRDefault="00C21298">
      <w:r w:rsidRPr="00C21298">
        <w:t>为验证物理信息神经网络（PINN）在海洋温度–压力关系建模中的适用性与物理一致性，本研究基于 OOI 全球观测网的高质量温度–深度观测数据，设计了一组系统化的推理实验。实验目标在于评估不同方程结构在表征海洋温度垂向分布规律时的表达能力与稳定性，从而探索最优的通用函数形式。具体而言，我们构建了八种候选方程形式，涵盖多项式展开、混合特征、指数衰减及倒数组合等不同类型的物理结构假设，并分别通过 PINN 框架进行独立训练与推理。各模型的网络输入为压力（或深度）变量，输出为温度预测值，损失函数由数据拟合项与物理残差</w:t>
      </w:r>
      <w:proofErr w:type="gramStart"/>
      <w:r w:rsidRPr="00C21298">
        <w:t>项共同</w:t>
      </w:r>
      <w:proofErr w:type="gramEnd"/>
      <w:r w:rsidRPr="00C21298">
        <w:t>构成，以确保模型在学习观测规律的同时满足基本的物理约束。所有实验均采用统一的网络结构、训练超参数与数据划分策略，以保证不同方程形式在相同条件下的可比性。最终通过对比各模型的预测误差与方程残差，可系统评估不同结构假设在</w:t>
      </w:r>
      <w:proofErr w:type="gramStart"/>
      <w:r w:rsidRPr="00C21298">
        <w:t>温压关系</w:t>
      </w:r>
      <w:proofErr w:type="gramEnd"/>
      <w:r w:rsidRPr="00C21298">
        <w:t>建模中的物理合理性与泛化能力。</w:t>
      </w:r>
    </w:p>
    <w:p w14:paraId="5D30EC45" w14:textId="77777777" w:rsidR="00C21298" w:rsidRDefault="00C21298"/>
    <w:p w14:paraId="1611024F" w14:textId="18FFC67C" w:rsidR="00C3090C" w:rsidRPr="00C3090C" w:rsidRDefault="00C3090C" w:rsidP="00C3090C">
      <w:pPr>
        <w:rPr>
          <w:b/>
          <w:bCs/>
        </w:rPr>
      </w:pPr>
      <w:r w:rsidRPr="00C3090C">
        <w:rPr>
          <w:b/>
          <w:bCs/>
        </w:rPr>
        <w:t>实验二：季节性分区方程推理实验</w:t>
      </w:r>
    </w:p>
    <w:p w14:paraId="25924261" w14:textId="6EBC9F0B" w:rsidR="00C3090C" w:rsidRDefault="00C3090C" w:rsidP="00C3090C">
      <w:r w:rsidRPr="00C3090C">
        <w:t>在第一阶段确定全球统一</w:t>
      </w:r>
      <w:proofErr w:type="gramStart"/>
      <w:r w:rsidRPr="00C3090C">
        <w:t>温压关系</w:t>
      </w:r>
      <w:proofErr w:type="gramEnd"/>
      <w:r w:rsidRPr="00C3090C">
        <w:t>的基础上，为进一步提升模型在不同时间尺度下的适应性与局部精度，本研究设计了第二组实验——季节性分区方程推理实验。该实验旨在验证当海洋温度的垂向分布随季节性热通量变化而发生显著差异时，采用时间分区的物理信息神经网络（PINN）能否提供更精细、更符合观测特征的</w:t>
      </w:r>
      <w:proofErr w:type="gramStart"/>
      <w:r w:rsidRPr="00C3090C">
        <w:t>温压关系</w:t>
      </w:r>
      <w:proofErr w:type="gramEnd"/>
      <w:r w:rsidRPr="00C3090C">
        <w:t>表达。实验以“时间自适应分区”为核心，通过残差统计与动态规划算法自动识别年度温度残差变化的关键拐点，并据此将全年数据划分为四个最优时段（季节区间）。每个区间内假设温度–压力关系满足相同的物理结构形式，但参数可随季节变化，从而构成季节性方程族。</w:t>
      </w:r>
      <w:proofErr w:type="gramStart"/>
      <w:r w:rsidRPr="00C3090C">
        <w:t>基于第一</w:t>
      </w:r>
      <w:proofErr w:type="gramEnd"/>
      <w:r w:rsidRPr="00C3090C">
        <w:t>阶段的全量 QC=1 数据（约 2700 万条），首先计算逐日平均残差曲线（共 365 点），并通过循环动态规划最小化段内方差确定四个最优分段点，得到 Season1（1月22日至5月27日）、Season2（5月27日至7月21日）、Season3（7月21日至10月20日）和 Season4（10月20日至次年1月22日）四个区间。随后，从各区间原始数据中随机抽取 20 万条样本（训练集 16 万，验证集 4 万），以保持数据量平衡与统计显著性。每个季节模型均采用第一阶段确定的八项混合特征方程形式作为物理约束，构建对应的 PINN 网络。模型采用 Adam 优化算法训练 4000 步，保持统一的网络结构与超参数设置以确保季节间的可比性。在四个时段上分别训练八项基函数的 PINN 模型，得到季节化参数集，并通过验证集的 MAE、RMSE、R² 以及 PDE 残差分布进行性能评估。通过这种分区推理设计，可系统分析不同季节对浅层混合层、热跃层及深海</w:t>
      </w:r>
      <w:proofErr w:type="gramStart"/>
      <w:r w:rsidRPr="00C3090C">
        <w:t>平衡层</w:t>
      </w:r>
      <w:proofErr w:type="gramEnd"/>
      <w:r w:rsidRPr="00C3090C">
        <w:t>温度响应的差异性，为建立时间自适应的高精度海洋温度建模体系奠定基础。</w:t>
      </w:r>
    </w:p>
    <w:p w14:paraId="1AFFEF35" w14:textId="77777777" w:rsidR="00E6133C" w:rsidRDefault="00E6133C" w:rsidP="00C3090C"/>
    <w:p w14:paraId="6030BFC7" w14:textId="48E51F4A" w:rsidR="00DD134E" w:rsidRPr="00DD134E" w:rsidRDefault="00DD134E" w:rsidP="00DD134E">
      <w:pPr>
        <w:rPr>
          <w:b/>
          <w:bCs/>
        </w:rPr>
      </w:pPr>
      <w:r w:rsidRPr="00DD134E">
        <w:rPr>
          <w:b/>
          <w:bCs/>
        </w:rPr>
        <w:t>实验三：深度分层拟合实验</w:t>
      </w:r>
    </w:p>
    <w:p w14:paraId="493A1E91" w14:textId="3FEF5F1A" w:rsidR="00DD134E" w:rsidRDefault="00DD134E" w:rsidP="00DD134E">
      <w:r w:rsidRPr="00DD134E">
        <w:lastRenderedPageBreak/>
        <w:t>在第一阶段确立的全球统一</w:t>
      </w:r>
      <w:proofErr w:type="gramStart"/>
      <w:r w:rsidRPr="00DD134E">
        <w:t>温压关系</w:t>
      </w:r>
      <w:proofErr w:type="gramEnd"/>
      <w:r w:rsidRPr="00DD134E">
        <w:t>方程形式基础上，为探讨海洋温度–压力关系在不同深度层次的结构差异及其对整体解析精度的影响，本研究进一步设计了深度分层拟合实验。该实验保持方程结构不变，仍采用实验一所确定的八项混合特征物理表达式作为 PINN 的物理约束形式，但通过深度自适应划分将全量数据按方差与梯度特征分层处理。具体而言，首先利用 OOI 全量 QC=1 数据计算温度随深度的方差分布，并通过动态规划</w:t>
      </w:r>
      <w:proofErr w:type="gramStart"/>
      <w:r w:rsidRPr="00DD134E">
        <w:t>最小化层内</w:t>
      </w:r>
      <w:proofErr w:type="gramEnd"/>
      <w:r w:rsidRPr="00DD134E">
        <w:t>方差以确定 3、4、6 层等多种分层方案；随后，在各层中独立抽取训练样本，构建局部 PINN 模型并独立推理相应的方程参数。</w:t>
      </w:r>
      <w:r w:rsidR="00114222">
        <w:rPr>
          <w:rFonts w:hint="eastAsia"/>
        </w:rPr>
        <w:t>同时我们分析了实验</w:t>
      </w:r>
      <w:proofErr w:type="gramStart"/>
      <w:r w:rsidR="00114222">
        <w:rPr>
          <w:rFonts w:hint="eastAsia"/>
        </w:rPr>
        <w:t>一</w:t>
      </w:r>
      <w:proofErr w:type="gramEnd"/>
      <w:r w:rsidR="00114222">
        <w:rPr>
          <w:rFonts w:hint="eastAsia"/>
        </w:rPr>
        <w:t>得到的通用方程</w:t>
      </w:r>
      <w:r w:rsidR="00114222" w:rsidRPr="00114222">
        <w:t>的逐米（1-meter）高分辨率 MAE、RMSE 及 R² 精度数据，作为评估和对比各分层方案性能的精细化基准。</w:t>
      </w:r>
      <w:r w:rsidRPr="00DD134E">
        <w:t>所有分层模型均采用与实验</w:t>
      </w:r>
      <w:proofErr w:type="gramStart"/>
      <w:r w:rsidRPr="00DD134E">
        <w:t>一</w:t>
      </w:r>
      <w:proofErr w:type="gramEnd"/>
      <w:r w:rsidRPr="00DD134E">
        <w:t>一致的网络结构与超参数设置，以确保可比性。通过这种分层拟合设计，实验在缩减单层样本量的同时保持物理方程形式不变，从而能够系统比较不同分层方案下的方程推理精度、全局残差分布及对完整海洋剖面的解析能力。该实验为评估分层建模在提升局部拟合精度与整体模型稳定性方面的作用提供了关键依据，并为后续多</w:t>
      </w:r>
      <w:proofErr w:type="gramStart"/>
      <w:r w:rsidRPr="00DD134E">
        <w:t>尺度温压建模</w:t>
      </w:r>
      <w:proofErr w:type="gramEnd"/>
      <w:r w:rsidRPr="00DD134E">
        <w:t>奠定了方法基础。</w:t>
      </w:r>
    </w:p>
    <w:p w14:paraId="07179CCD" w14:textId="77777777" w:rsidR="00DD134E" w:rsidRDefault="00DD134E" w:rsidP="00DD134E"/>
    <w:p w14:paraId="48942967" w14:textId="01546C89" w:rsidR="0073390B" w:rsidRPr="0073390B" w:rsidRDefault="0073390B" w:rsidP="00DD134E">
      <w:pPr>
        <w:rPr>
          <w:rFonts w:hint="eastAsia"/>
          <w:b/>
          <w:bCs/>
        </w:rPr>
      </w:pPr>
      <w:r w:rsidRPr="0073390B">
        <w:rPr>
          <w:b/>
          <w:bCs/>
        </w:rPr>
        <w:t>实验四：基于最优设计八点的方程系数快速推理实验</w:t>
      </w:r>
    </w:p>
    <w:p w14:paraId="524ED743" w14:textId="06E2DF10" w:rsidR="00DD134E" w:rsidRPr="00DD134E" w:rsidRDefault="0073390B" w:rsidP="00DD134E">
      <w:pPr>
        <w:rPr>
          <w:rFonts w:hint="eastAsia"/>
        </w:rPr>
      </w:pPr>
      <w:r w:rsidRPr="0073390B">
        <w:t>在第一阶段确立了八项混合特征方程形式后，鉴于全局拟合实验</w:t>
      </w:r>
      <w:proofErr w:type="gramStart"/>
      <w:r w:rsidRPr="0073390B">
        <w:t>一</w:t>
      </w:r>
      <w:proofErr w:type="gramEnd"/>
      <w:r w:rsidRPr="0073390B">
        <w:t>依赖全量数据 N 约 2700万导致成本高昂，本实验旨在探讨在极大压缩观测数据量的前提下，能否快速、稳健地反演出方程的全局系数。实验目标是量化</w:t>
      </w:r>
      <w:proofErr w:type="gramStart"/>
      <w:r w:rsidRPr="0073390B">
        <w:t>评估仅</w:t>
      </w:r>
      <w:proofErr w:type="gramEnd"/>
      <w:r w:rsidRPr="0073390B">
        <w:t xml:space="preserve">使用 8 </w:t>
      </w:r>
      <w:proofErr w:type="gramStart"/>
      <w:r w:rsidRPr="0073390B">
        <w:t>个</w:t>
      </w:r>
      <w:proofErr w:type="gramEnd"/>
      <w:r w:rsidRPr="0073390B">
        <w:t>优选深度观测点及其邻域的采样策略在推导系数时的精度、稳定性与泛化能力，并对比不同选点策略 均匀设计与 D-最优设计的优劣。为此，实验脱离 PINN 框架，转而采用“目标带宽采样 + 岭回归”的经典统计拟合方法，并设置了四种对比方案，所有方案均拟合实验</w:t>
      </w:r>
      <w:proofErr w:type="gramStart"/>
      <w:r w:rsidRPr="0073390B">
        <w:t>一</w:t>
      </w:r>
      <w:proofErr w:type="gramEnd"/>
      <w:r w:rsidRPr="0073390B">
        <w:t xml:space="preserve">的同一组八项基函数。首先，设置“全局基准” Global 方案，它使用全量 QC=1 数据 N 约 2700万拟合的基准系数作为精度的“黄金标准”。其次，设计“均匀 8 点” Uniform-8 方案，在 100–4500 </w:t>
      </w:r>
      <w:proofErr w:type="spellStart"/>
      <w:r w:rsidRPr="0073390B">
        <w:t>dbar</w:t>
      </w:r>
      <w:proofErr w:type="spellEnd"/>
      <w:r w:rsidRPr="0073390B">
        <w:t xml:space="preserve"> 压力评估区间内，按压力分位数 均匀选取 8 </w:t>
      </w:r>
      <w:proofErr w:type="gramStart"/>
      <w:r w:rsidRPr="0073390B">
        <w:t>个</w:t>
      </w:r>
      <w:proofErr w:type="gramEnd"/>
      <w:r w:rsidRPr="0073390B">
        <w:t xml:space="preserve">目标深度点。再次，设计“D-最优 8 点” D-optimal-8 方案，它通过 D-最优设计算法 如贪心近似或 Fedorov 交换近似 在八项基函数的标准化特征空间中 选取 8 </w:t>
      </w:r>
      <w:proofErr w:type="gramStart"/>
      <w:r w:rsidRPr="0073390B">
        <w:t>个</w:t>
      </w:r>
      <w:proofErr w:type="gramEnd"/>
      <w:r w:rsidRPr="0073390B">
        <w:t xml:space="preserve">能最大化信息矩阵 </w:t>
      </w:r>
      <w:proofErr w:type="spellStart"/>
      <w:r w:rsidRPr="0073390B">
        <w:t>logdet</w:t>
      </w:r>
      <w:proofErr w:type="spellEnd"/>
      <w:r w:rsidRPr="0073390B">
        <w:t>(X</w:t>
      </w:r>
      <w:r w:rsidRPr="0073390B">
        <w:rPr>
          <w:rFonts w:ascii="Times New Roman" w:hAnsi="Times New Roman" w:cs="Times New Roman"/>
        </w:rPr>
        <w:t>ᵀ</w:t>
      </w:r>
      <w:r w:rsidRPr="0073390B">
        <w:t xml:space="preserve">X) 的目标点。最后，设置“严格 8 点” Only-8 方案，严格仅用 8 </w:t>
      </w:r>
      <w:proofErr w:type="gramStart"/>
      <w:r w:rsidRPr="0073390B">
        <w:t>个</w:t>
      </w:r>
      <w:proofErr w:type="gramEnd"/>
      <w:r w:rsidRPr="0073390B">
        <w:t xml:space="preserve">点拟合，作为评估数值稳定性的病态对照组。对于 Uniform-8 和 D-optimal-8 方案，均采用“目标带宽采样”策略：即在选定的 8 </w:t>
      </w:r>
      <w:proofErr w:type="gramStart"/>
      <w:r w:rsidRPr="0073390B">
        <w:t>个</w:t>
      </w:r>
      <w:proofErr w:type="gramEnd"/>
      <w:r w:rsidRPr="0073390B">
        <w:t xml:space="preserve">目标深度 P 各自的 ±25 </w:t>
      </w:r>
      <w:proofErr w:type="spellStart"/>
      <w:r w:rsidRPr="0073390B">
        <w:t>dbar</w:t>
      </w:r>
      <w:proofErr w:type="spellEnd"/>
      <w:r w:rsidRPr="0073390B">
        <w:t xml:space="preserve"> 带宽内采集样本 每带宽最多 8000 条，并利用这些数据通过岭回归 alpha=5e-3 求解 8 </w:t>
      </w:r>
      <w:proofErr w:type="gramStart"/>
      <w:r w:rsidRPr="0073390B">
        <w:t>个</w:t>
      </w:r>
      <w:proofErr w:type="gramEnd"/>
      <w:r w:rsidRPr="0073390B">
        <w:t>方程系数 c。所有方案 Global、D-opt-8、Uniform-8 和 Only-8 推导出的系数，最终均在全量 OOI 真实数据 N 约 2700万上进行统一评估，通过对比全局 MAE、RMSE、R² 以及随深度变化的绝对误差曲线，系统评估不同稀疏采样策略在系数推理任务中的精度损失与泛化能力，为未来构建高效、快速的现场数据同化或传感器稀疏布设方案提供了关键的精度基准与策略依据。</w:t>
      </w:r>
    </w:p>
    <w:p w14:paraId="66D9691E" w14:textId="3DA2A1C7" w:rsidR="007530DE" w:rsidRPr="007530DE" w:rsidRDefault="007530DE" w:rsidP="00C3090C">
      <w:pPr>
        <w:rPr>
          <w:rFonts w:hint="eastAsia"/>
          <w:b/>
          <w:bCs/>
        </w:rPr>
      </w:pPr>
      <w:r w:rsidRPr="007530DE">
        <w:rPr>
          <w:b/>
          <w:bCs/>
        </w:rPr>
        <w:lastRenderedPageBreak/>
        <w:t>实验五：基线模型性能对比实验</w:t>
      </w:r>
    </w:p>
    <w:p w14:paraId="7ABC2336" w14:textId="1F85B0B9" w:rsidR="00E6133C" w:rsidRDefault="007530DE" w:rsidP="00C3090C">
      <w:r w:rsidRPr="007530DE">
        <w:t>在第一阶段确立了八项混合特征的物理方程形式 T</w:t>
      </w:r>
      <w:r w:rsidRPr="007530DE">
        <w:rPr>
          <w:rFonts w:ascii="Times New Roman" w:hAnsi="Times New Roman" w:cs="Times New Roman"/>
        </w:rPr>
        <w:t>̂₈ᴮ</w:t>
      </w:r>
      <w:r w:rsidRPr="007530DE">
        <w:t xml:space="preserve"> 后，为客观评估该特定结构方程的表达能力与性能基准，本研究设计了第五组实验 。该实验旨在将实验</w:t>
      </w:r>
      <w:proofErr w:type="gramStart"/>
      <w:r w:rsidRPr="007530DE">
        <w:t>一</w:t>
      </w:r>
      <w:proofErr w:type="gramEnd"/>
      <w:r w:rsidRPr="007530DE">
        <w:t>确定的“固定方程”模型，与一系列经典的、纯数据驱动的机器学习回归模型进行系统性比较 。实验目标在于厘清，相较于标准统计与机器学习方法，本研究提出的八项混合特征方程在</w:t>
      </w:r>
      <w:proofErr w:type="gramStart"/>
      <w:r w:rsidRPr="007530DE">
        <w:t>温压关系</w:t>
      </w:r>
      <w:proofErr w:type="gramEnd"/>
      <w:r w:rsidRPr="007530DE">
        <w:t>拟合任务上是否具有显著的性能优势。具体而言，本实验从 OOI 全量数据中抽取了一个标准化的 10,000 条样本子集，并将其固定划分为 8,000 条训练样本与 2,000 条测试样本 。实验对比了两大类模型：一是“方程基线”，即实验</w:t>
      </w:r>
      <w:proofErr w:type="gramStart"/>
      <w:r w:rsidRPr="007530DE">
        <w:t>一</w:t>
      </w:r>
      <w:proofErr w:type="gramEnd"/>
      <w:r w:rsidRPr="007530DE">
        <w:t>确定的 T</w:t>
      </w:r>
      <w:r w:rsidRPr="007530DE">
        <w:rPr>
          <w:rFonts w:ascii="Times New Roman" w:hAnsi="Times New Roman" w:cs="Times New Roman"/>
        </w:rPr>
        <w:t>̂₈ᴮ</w:t>
      </w:r>
      <w:r w:rsidRPr="007530DE">
        <w:t xml:space="preserve"> 固定方程模型；二是“经典回归”，涵盖一系列标准模型，包括线性回归、五阶多项式回归、RBF 核的支持向量回归以及随机森林 。所有模型均在相同的 8k 训练集上进行训练，并在 2k 测试集上进行统一评估 。所有实验均采用统一的输入特征 压力 P 和输出目标 温度 T，以确保可比性。最终通过对比各模型在测试集上的 MAE、RMSE、R² 指标，可系统性地评估八项混合特征方程相较于传统数据驱动模型的相对精度与泛化能力，为该物理方程形式的复杂性与有效性提供关键的性能基准 。</w:t>
      </w:r>
    </w:p>
    <w:p w14:paraId="648DC4AD" w14:textId="77777777" w:rsidR="007530DE" w:rsidRDefault="007530DE" w:rsidP="00C3090C"/>
    <w:p w14:paraId="0861D619" w14:textId="77777777" w:rsidR="00282E3B" w:rsidRPr="00282E3B" w:rsidRDefault="00282E3B" w:rsidP="00C3090C">
      <w:pPr>
        <w:rPr>
          <w:b/>
          <w:bCs/>
        </w:rPr>
      </w:pPr>
      <w:r w:rsidRPr="00282E3B">
        <w:rPr>
          <w:b/>
          <w:bCs/>
        </w:rPr>
        <w:t>实验六：方程时间鲁棒性与多尺度误差分布实验。</w:t>
      </w:r>
    </w:p>
    <w:p w14:paraId="14E8A97D" w14:textId="302EA44C" w:rsidR="007530DE" w:rsidRDefault="00282E3B" w:rsidP="00C3090C">
      <w:r w:rsidRPr="00282E3B">
        <w:t>在第一阶段确立了全局统一</w:t>
      </w:r>
      <w:proofErr w:type="gramStart"/>
      <w:r w:rsidRPr="00282E3B">
        <w:t>温压关系</w:t>
      </w:r>
      <w:proofErr w:type="gramEnd"/>
      <w:r w:rsidRPr="00282E3B">
        <w:t>方程，并在实验二中验证了其在</w:t>
      </w:r>
      <w:r w:rsidRPr="00282E3B">
        <w:rPr>
          <w:b/>
          <w:bCs/>
        </w:rPr>
        <w:t>平均季节</w:t>
      </w:r>
      <w:r w:rsidRPr="00282E3B">
        <w:t>上的表现后，这些模型尚未评估其在更精细时间尺度（如年际变化或季节内波动）上的稳定性。为系统性检验该八项混合特征方程在不同时间尺度下的</w:t>
      </w:r>
      <w:r w:rsidRPr="00282E3B">
        <w:rPr>
          <w:b/>
          <w:bCs/>
        </w:rPr>
        <w:t>鲁棒性</w:t>
      </w:r>
      <w:r w:rsidRPr="00282E3B">
        <w:t>与</w:t>
      </w:r>
      <w:r w:rsidRPr="00282E3B">
        <w:rPr>
          <w:b/>
          <w:bCs/>
        </w:rPr>
        <w:t>误差特征</w:t>
      </w:r>
      <w:r w:rsidRPr="00282E3B">
        <w:t>，本研究设计了第六组实验。该实验旨在通过“分年际”与“分季节内”的精细化数据划分，系统性地分析方程在不同时间子集上的</w:t>
      </w:r>
      <w:r w:rsidRPr="00282E3B">
        <w:rPr>
          <w:b/>
          <w:bCs/>
        </w:rPr>
        <w:t>误差分布</w:t>
      </w:r>
      <w:r w:rsidRPr="00282E3B">
        <w:t>，特别是</w:t>
      </w:r>
      <w:r w:rsidRPr="00282E3B">
        <w:rPr>
          <w:b/>
          <w:bCs/>
        </w:rPr>
        <w:t>最大温度误差</w:t>
      </w:r>
      <w:r w:rsidRPr="00282E3B">
        <w:t>与</w:t>
      </w:r>
      <w:r w:rsidRPr="00282E3B">
        <w:rPr>
          <w:b/>
          <w:bCs/>
        </w:rPr>
        <w:t>标准差</w:t>
      </w:r>
      <w:r w:rsidRPr="00282E3B">
        <w:t>。具体而言，本实验将基于</w:t>
      </w:r>
      <w:r w:rsidRPr="00282E3B">
        <w:rPr>
          <w:b/>
          <w:bCs/>
        </w:rPr>
        <w:t>全局</w:t>
      </w:r>
      <w:r w:rsidRPr="00282E3B">
        <w:t xml:space="preserve"> QC=1 数据，首先按“年际”划分（如 2018 vs 2019），使用实验</w:t>
      </w:r>
      <w:proofErr w:type="gramStart"/>
      <w:r w:rsidRPr="00282E3B">
        <w:t>一</w:t>
      </w:r>
      <w:proofErr w:type="gramEnd"/>
      <w:r w:rsidRPr="00282E3B">
        <w:t>的</w:t>
      </w:r>
      <w:r w:rsidRPr="00282E3B">
        <w:rPr>
          <w:b/>
          <w:bCs/>
        </w:rPr>
        <w:t>全局固定系数</w:t>
      </w:r>
      <w:r w:rsidRPr="00282E3B">
        <w:t>，计算和比较</w:t>
      </w:r>
      <w:r w:rsidRPr="00282E3B">
        <w:rPr>
          <w:b/>
          <w:bCs/>
        </w:rPr>
        <w:t>不同年份</w:t>
      </w:r>
      <w:r w:rsidRPr="00282E3B">
        <w:t>的误差指标，以评估模型在应对年际变化（如 SSTA 异常）时的泛化能力；其次，在实验二所划分的</w:t>
      </w:r>
      <w:r w:rsidRPr="00282E3B">
        <w:rPr>
          <w:b/>
          <w:bCs/>
        </w:rPr>
        <w:t>同一季节区间</w:t>
      </w:r>
      <w:r w:rsidRPr="00282E3B">
        <w:t>内（例如 Season1），进一步按“天”（逐日）为单位进行数据分组，计算每日的误差统计量。实验最终采用</w:t>
      </w:r>
      <w:r w:rsidRPr="00282E3B">
        <w:rPr>
          <w:b/>
          <w:bCs/>
        </w:rPr>
        <w:t>带状图</w:t>
      </w:r>
      <w:r w:rsidRPr="00282E3B">
        <w:t>（如均值 ± 标准差图）来可视化和比较不同年份间、或同一季节内不同天数的误差分布与波动范围。通过这种多尺度的时间对比分析，可系统评估全局方程在应对短期波动与长期漂移时的</w:t>
      </w:r>
      <w:r w:rsidRPr="00282E3B">
        <w:rPr>
          <w:b/>
          <w:bCs/>
        </w:rPr>
        <w:t>性能稳定性</w:t>
      </w:r>
      <w:r w:rsidRPr="00282E3B">
        <w:t>与</w:t>
      </w:r>
      <w:r w:rsidRPr="00282E3B">
        <w:rPr>
          <w:b/>
          <w:bCs/>
        </w:rPr>
        <w:t>潜在失效风险</w:t>
      </w:r>
      <w:r w:rsidRPr="00282E3B">
        <w:t>，为模型在真实时间序列预测中的应用提供了关键的鲁棒性依据。</w:t>
      </w:r>
    </w:p>
    <w:p w14:paraId="7BBB8B59" w14:textId="77777777" w:rsidR="008655A9" w:rsidRDefault="008655A9" w:rsidP="00C3090C"/>
    <w:p w14:paraId="2D83B873" w14:textId="77777777" w:rsidR="008655A9" w:rsidRPr="00C3090C" w:rsidRDefault="008655A9" w:rsidP="00C3090C">
      <w:pPr>
        <w:rPr>
          <w:rFonts w:hint="eastAsia"/>
        </w:rPr>
      </w:pPr>
    </w:p>
    <w:p w14:paraId="44247224" w14:textId="77777777" w:rsidR="00C21298" w:rsidRPr="00C3090C" w:rsidRDefault="00C21298">
      <w:pPr>
        <w:rPr>
          <w:rFonts w:hint="eastAsia"/>
        </w:rPr>
      </w:pPr>
    </w:p>
    <w:sectPr w:rsidR="00C21298" w:rsidRPr="00C309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5CA"/>
    <w:rsid w:val="00005BE7"/>
    <w:rsid w:val="00067E50"/>
    <w:rsid w:val="00114222"/>
    <w:rsid w:val="00282E3B"/>
    <w:rsid w:val="0048226C"/>
    <w:rsid w:val="00494CB1"/>
    <w:rsid w:val="0073390B"/>
    <w:rsid w:val="007530DE"/>
    <w:rsid w:val="008655A9"/>
    <w:rsid w:val="00B52383"/>
    <w:rsid w:val="00C21298"/>
    <w:rsid w:val="00C3090C"/>
    <w:rsid w:val="00D135CA"/>
    <w:rsid w:val="00DD134E"/>
    <w:rsid w:val="00E6133C"/>
    <w:rsid w:val="00F0538B"/>
    <w:rsid w:val="00F53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03519"/>
  <w15:chartTrackingRefBased/>
  <w15:docId w15:val="{88A70CE7-FD96-42B8-B14B-B5EC5BF93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135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135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135C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135C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135C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135C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135C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35C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135C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35C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135C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135C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135CA"/>
    <w:rPr>
      <w:rFonts w:cstheme="majorBidi"/>
      <w:color w:val="0F4761" w:themeColor="accent1" w:themeShade="BF"/>
      <w:sz w:val="28"/>
      <w:szCs w:val="28"/>
    </w:rPr>
  </w:style>
  <w:style w:type="character" w:customStyle="1" w:styleId="50">
    <w:name w:val="标题 5 字符"/>
    <w:basedOn w:val="a0"/>
    <w:link w:val="5"/>
    <w:uiPriority w:val="9"/>
    <w:semiHidden/>
    <w:rsid w:val="00D135CA"/>
    <w:rPr>
      <w:rFonts w:cstheme="majorBidi"/>
      <w:color w:val="0F4761" w:themeColor="accent1" w:themeShade="BF"/>
      <w:sz w:val="24"/>
    </w:rPr>
  </w:style>
  <w:style w:type="character" w:customStyle="1" w:styleId="60">
    <w:name w:val="标题 6 字符"/>
    <w:basedOn w:val="a0"/>
    <w:link w:val="6"/>
    <w:uiPriority w:val="9"/>
    <w:semiHidden/>
    <w:rsid w:val="00D135CA"/>
    <w:rPr>
      <w:rFonts w:cstheme="majorBidi"/>
      <w:b/>
      <w:bCs/>
      <w:color w:val="0F4761" w:themeColor="accent1" w:themeShade="BF"/>
    </w:rPr>
  </w:style>
  <w:style w:type="character" w:customStyle="1" w:styleId="70">
    <w:name w:val="标题 7 字符"/>
    <w:basedOn w:val="a0"/>
    <w:link w:val="7"/>
    <w:uiPriority w:val="9"/>
    <w:semiHidden/>
    <w:rsid w:val="00D135CA"/>
    <w:rPr>
      <w:rFonts w:cstheme="majorBidi"/>
      <w:b/>
      <w:bCs/>
      <w:color w:val="595959" w:themeColor="text1" w:themeTint="A6"/>
    </w:rPr>
  </w:style>
  <w:style w:type="character" w:customStyle="1" w:styleId="80">
    <w:name w:val="标题 8 字符"/>
    <w:basedOn w:val="a0"/>
    <w:link w:val="8"/>
    <w:uiPriority w:val="9"/>
    <w:semiHidden/>
    <w:rsid w:val="00D135CA"/>
    <w:rPr>
      <w:rFonts w:cstheme="majorBidi"/>
      <w:color w:val="595959" w:themeColor="text1" w:themeTint="A6"/>
    </w:rPr>
  </w:style>
  <w:style w:type="character" w:customStyle="1" w:styleId="90">
    <w:name w:val="标题 9 字符"/>
    <w:basedOn w:val="a0"/>
    <w:link w:val="9"/>
    <w:uiPriority w:val="9"/>
    <w:semiHidden/>
    <w:rsid w:val="00D135CA"/>
    <w:rPr>
      <w:rFonts w:eastAsiaTheme="majorEastAsia" w:cstheme="majorBidi"/>
      <w:color w:val="595959" w:themeColor="text1" w:themeTint="A6"/>
    </w:rPr>
  </w:style>
  <w:style w:type="paragraph" w:styleId="a3">
    <w:name w:val="Title"/>
    <w:basedOn w:val="a"/>
    <w:next w:val="a"/>
    <w:link w:val="a4"/>
    <w:uiPriority w:val="10"/>
    <w:qFormat/>
    <w:rsid w:val="00D135C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35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35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35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35CA"/>
    <w:pPr>
      <w:spacing w:before="160"/>
      <w:jc w:val="center"/>
    </w:pPr>
    <w:rPr>
      <w:i/>
      <w:iCs/>
      <w:color w:val="404040" w:themeColor="text1" w:themeTint="BF"/>
    </w:rPr>
  </w:style>
  <w:style w:type="character" w:customStyle="1" w:styleId="a8">
    <w:name w:val="引用 字符"/>
    <w:basedOn w:val="a0"/>
    <w:link w:val="a7"/>
    <w:uiPriority w:val="29"/>
    <w:rsid w:val="00D135CA"/>
    <w:rPr>
      <w:i/>
      <w:iCs/>
      <w:color w:val="404040" w:themeColor="text1" w:themeTint="BF"/>
    </w:rPr>
  </w:style>
  <w:style w:type="paragraph" w:styleId="a9">
    <w:name w:val="List Paragraph"/>
    <w:basedOn w:val="a"/>
    <w:uiPriority w:val="34"/>
    <w:qFormat/>
    <w:rsid w:val="00D135CA"/>
    <w:pPr>
      <w:ind w:left="720"/>
      <w:contextualSpacing/>
    </w:pPr>
  </w:style>
  <w:style w:type="character" w:styleId="aa">
    <w:name w:val="Intense Emphasis"/>
    <w:basedOn w:val="a0"/>
    <w:uiPriority w:val="21"/>
    <w:qFormat/>
    <w:rsid w:val="00D135CA"/>
    <w:rPr>
      <w:i/>
      <w:iCs/>
      <w:color w:val="0F4761" w:themeColor="accent1" w:themeShade="BF"/>
    </w:rPr>
  </w:style>
  <w:style w:type="paragraph" w:styleId="ab">
    <w:name w:val="Intense Quote"/>
    <w:basedOn w:val="a"/>
    <w:next w:val="a"/>
    <w:link w:val="ac"/>
    <w:uiPriority w:val="30"/>
    <w:qFormat/>
    <w:rsid w:val="00D13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135CA"/>
    <w:rPr>
      <w:i/>
      <w:iCs/>
      <w:color w:val="0F4761" w:themeColor="accent1" w:themeShade="BF"/>
    </w:rPr>
  </w:style>
  <w:style w:type="character" w:styleId="ad">
    <w:name w:val="Intense Reference"/>
    <w:basedOn w:val="a0"/>
    <w:uiPriority w:val="32"/>
    <w:qFormat/>
    <w:rsid w:val="00D135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3</Pages>
  <Words>543</Words>
  <Characters>3099</Characters>
  <Application>Microsoft Office Word</Application>
  <DocSecurity>0</DocSecurity>
  <Lines>25</Lines>
  <Paragraphs>7</Paragraphs>
  <ScaleCrop>false</ScaleCrop>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e9674</dc:creator>
  <cp:keywords/>
  <dc:description/>
  <cp:lastModifiedBy>e9674</cp:lastModifiedBy>
  <cp:revision>15</cp:revision>
  <dcterms:created xsi:type="dcterms:W3CDTF">2025-11-09T13:09:00Z</dcterms:created>
  <dcterms:modified xsi:type="dcterms:W3CDTF">2025-11-09T14:42:00Z</dcterms:modified>
</cp:coreProperties>
</file>