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D594" w14:textId="50C3D7FD" w:rsidR="005B1FD0" w:rsidRPr="005B1FD0" w:rsidRDefault="00930E06" w:rsidP="005B1F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impact of i</w:t>
      </w:r>
      <w:r w:rsidR="005B1FD0" w:rsidRPr="005B1FD0">
        <w:rPr>
          <w:rFonts w:ascii="Times New Roman" w:hAnsi="Times New Roman" w:cs="Times New Roman"/>
        </w:rPr>
        <w:t xml:space="preserve">mmigration </w:t>
      </w:r>
      <w:r>
        <w:rPr>
          <w:rFonts w:ascii="Times New Roman" w:hAnsi="Times New Roman" w:cs="Times New Roman"/>
        </w:rPr>
        <w:t>on</w:t>
      </w:r>
      <w:r w:rsidR="005B1FD0" w:rsidRPr="005B1FD0">
        <w:rPr>
          <w:rFonts w:ascii="Times New Roman" w:hAnsi="Times New Roman" w:cs="Times New Roman"/>
        </w:rPr>
        <w:t xml:space="preserve"> housing prices in the US</w:t>
      </w:r>
    </w:p>
    <w:p w14:paraId="77CD81F6" w14:textId="6FF7E9F4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 xml:space="preserve">Immigration </w:t>
      </w:r>
      <w:r w:rsidR="00BF17A3">
        <w:rPr>
          <w:rFonts w:ascii="Times New Roman" w:hAnsi="Times New Roman" w:cs="Times New Roman"/>
        </w:rPr>
        <w:t>entails</w:t>
      </w:r>
      <w:r w:rsidRPr="005B1FD0">
        <w:rPr>
          <w:rFonts w:ascii="Times New Roman" w:hAnsi="Times New Roman" w:cs="Times New Roman"/>
        </w:rPr>
        <w:t xml:space="preserve"> </w:t>
      </w:r>
      <w:r w:rsidR="00BF17A3">
        <w:rPr>
          <w:rFonts w:ascii="Times New Roman" w:hAnsi="Times New Roman" w:cs="Times New Roman"/>
        </w:rPr>
        <w:t xml:space="preserve">the movement of </w:t>
      </w:r>
      <w:r w:rsidRPr="005B1FD0">
        <w:rPr>
          <w:rFonts w:ascii="Times New Roman" w:hAnsi="Times New Roman" w:cs="Times New Roman"/>
        </w:rPr>
        <w:t>people from one country to another to settle there permanently or temporarily.</w:t>
      </w:r>
      <w:r w:rsidR="00BF17A3">
        <w:rPr>
          <w:rFonts w:ascii="Times New Roman" w:hAnsi="Times New Roman" w:cs="Times New Roman"/>
        </w:rPr>
        <w:t xml:space="preserve"> However, in our context, we will also be taking into consideration intra-immigration (within the country).</w:t>
      </w:r>
    </w:p>
    <w:p w14:paraId="69497482" w14:textId="42C88EF0" w:rsidR="005B1FD0" w:rsidRPr="005B1FD0" w:rsidRDefault="00BF17A3" w:rsidP="005B1F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Numerous</w:t>
      </w:r>
      <w:r w:rsidR="005B1FD0" w:rsidRPr="005B1FD0">
        <w:rPr>
          <w:rFonts w:ascii="Times New Roman" w:hAnsi="Times New Roman" w:cs="Times New Roman"/>
        </w:rPr>
        <w:t xml:space="preserve"> factors, such as economic opportunities, escaping conflict or persecution, reuniting with family, or for educational purposes, </w:t>
      </w:r>
      <w:r w:rsidR="00E71E4A">
        <w:rPr>
          <w:rFonts w:ascii="Times New Roman" w:hAnsi="Times New Roman" w:cs="Times New Roman"/>
        </w:rPr>
        <w:t>inform</w:t>
      </w:r>
      <w:r w:rsidR="005B1FD0" w:rsidRPr="005B1FD0">
        <w:rPr>
          <w:rFonts w:ascii="Times New Roman" w:hAnsi="Times New Roman" w:cs="Times New Roman"/>
        </w:rPr>
        <w:t xml:space="preserve"> immigrat</w:t>
      </w:r>
      <w:r>
        <w:rPr>
          <w:rFonts w:ascii="Times New Roman" w:hAnsi="Times New Roman" w:cs="Times New Roman"/>
        </w:rPr>
        <w:t>ion decisions</w:t>
      </w:r>
      <w:r w:rsidR="001B5530">
        <w:rPr>
          <w:rFonts w:ascii="Times New Roman" w:hAnsi="Times New Roman" w:cs="Times New Roman"/>
        </w:rPr>
        <w:t xml:space="preserve"> </w:t>
      </w:r>
      <w:r w:rsidR="00AB1685">
        <w:rPr>
          <w:rFonts w:ascii="Times New Roman" w:hAnsi="Times New Roman" w:cs="Times New Roman"/>
        </w:rPr>
        <w:t>for person moving between</w:t>
      </w:r>
      <w:r w:rsidR="001B5530">
        <w:rPr>
          <w:rFonts w:ascii="Times New Roman" w:hAnsi="Times New Roman" w:cs="Times New Roman"/>
        </w:rPr>
        <w:t xml:space="preserve"> </w:t>
      </w:r>
      <w:r w:rsidR="00A37A32">
        <w:rPr>
          <w:rFonts w:ascii="Times New Roman" w:hAnsi="Times New Roman" w:cs="Times New Roman"/>
        </w:rPr>
        <w:t>nations.  Family, employment, educational pursuits</w:t>
      </w:r>
      <w:r w:rsidR="00EA46DC">
        <w:rPr>
          <w:rFonts w:ascii="Times New Roman" w:hAnsi="Times New Roman" w:cs="Times New Roman"/>
        </w:rPr>
        <w:t xml:space="preserve">, or other interests </w:t>
      </w:r>
      <w:r w:rsidR="009B292D">
        <w:rPr>
          <w:rFonts w:ascii="Times New Roman" w:hAnsi="Times New Roman" w:cs="Times New Roman"/>
        </w:rPr>
        <w:t>are some underlying reasons people may choose to relocate within the U.S.</w:t>
      </w:r>
    </w:p>
    <w:p w14:paraId="35BEDBB3" w14:textId="5807BFD9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 xml:space="preserve">Housing prices </w:t>
      </w:r>
      <w:r w:rsidR="00E71E4A">
        <w:rPr>
          <w:rFonts w:ascii="Times New Roman" w:hAnsi="Times New Roman" w:cs="Times New Roman"/>
        </w:rPr>
        <w:t>stand for</w:t>
      </w:r>
      <w:r w:rsidRPr="005B1FD0">
        <w:rPr>
          <w:rFonts w:ascii="Times New Roman" w:hAnsi="Times New Roman" w:cs="Times New Roman"/>
        </w:rPr>
        <w:t xml:space="preserve"> the cost of purchasing properties, such as houses, apartments, or condominiums.</w:t>
      </w:r>
    </w:p>
    <w:p w14:paraId="75FF32A6" w14:textId="0A6B55A3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 xml:space="preserve">Immigration </w:t>
      </w:r>
      <w:r w:rsidR="00E71E4A">
        <w:rPr>
          <w:rFonts w:ascii="Times New Roman" w:hAnsi="Times New Roman" w:cs="Times New Roman"/>
        </w:rPr>
        <w:t>significantly impacts all</w:t>
      </w:r>
      <w:r w:rsidRPr="005B1FD0">
        <w:rPr>
          <w:rFonts w:ascii="Times New Roman" w:hAnsi="Times New Roman" w:cs="Times New Roman"/>
        </w:rPr>
        <w:t xml:space="preserve"> </w:t>
      </w:r>
      <w:r w:rsidR="00E71E4A">
        <w:rPr>
          <w:rFonts w:ascii="Times New Roman" w:hAnsi="Times New Roman" w:cs="Times New Roman"/>
        </w:rPr>
        <w:t>facets</w:t>
      </w:r>
      <w:r w:rsidRPr="005B1FD0">
        <w:rPr>
          <w:rFonts w:ascii="Times New Roman" w:hAnsi="Times New Roman" w:cs="Times New Roman"/>
        </w:rPr>
        <w:t xml:space="preserve"> of the US economy, </w:t>
      </w:r>
      <w:r w:rsidR="00E71E4A">
        <w:rPr>
          <w:rFonts w:ascii="Times New Roman" w:hAnsi="Times New Roman" w:cs="Times New Roman"/>
        </w:rPr>
        <w:t>including the housing market</w:t>
      </w:r>
      <w:r w:rsidRPr="005B1FD0">
        <w:rPr>
          <w:rFonts w:ascii="Times New Roman" w:hAnsi="Times New Roman" w:cs="Times New Roman"/>
        </w:rPr>
        <w:t xml:space="preserve">. We </w:t>
      </w:r>
      <w:r w:rsidR="00E71E4A">
        <w:rPr>
          <w:rFonts w:ascii="Times New Roman" w:hAnsi="Times New Roman" w:cs="Times New Roman"/>
        </w:rPr>
        <w:t>want</w:t>
      </w:r>
      <w:r w:rsidRPr="005B1FD0">
        <w:rPr>
          <w:rFonts w:ascii="Times New Roman" w:hAnsi="Times New Roman" w:cs="Times New Roman"/>
        </w:rPr>
        <w:t xml:space="preserve"> to </w:t>
      </w:r>
      <w:r w:rsidR="00E71E4A">
        <w:rPr>
          <w:rFonts w:ascii="Times New Roman" w:hAnsi="Times New Roman" w:cs="Times New Roman"/>
        </w:rPr>
        <w:t>investigate</w:t>
      </w:r>
      <w:r w:rsidRPr="005B1FD0">
        <w:rPr>
          <w:rFonts w:ascii="Times New Roman" w:hAnsi="Times New Roman" w:cs="Times New Roman"/>
        </w:rPr>
        <w:t xml:space="preserve"> the </w:t>
      </w:r>
      <w:r w:rsidR="00E71E4A">
        <w:rPr>
          <w:rFonts w:ascii="Times New Roman" w:hAnsi="Times New Roman" w:cs="Times New Roman"/>
        </w:rPr>
        <w:t xml:space="preserve">impact </w:t>
      </w:r>
      <w:r w:rsidRPr="005B1FD0">
        <w:rPr>
          <w:rFonts w:ascii="Times New Roman" w:hAnsi="Times New Roman" w:cs="Times New Roman"/>
        </w:rPr>
        <w:t xml:space="preserve">of </w:t>
      </w:r>
      <w:r w:rsidR="00CD6C27" w:rsidRPr="005B1FD0">
        <w:rPr>
          <w:rFonts w:ascii="Times New Roman" w:hAnsi="Times New Roman" w:cs="Times New Roman"/>
        </w:rPr>
        <w:t>immigrants’</w:t>
      </w:r>
      <w:r w:rsidRPr="005B1FD0">
        <w:rPr>
          <w:rFonts w:ascii="Times New Roman" w:hAnsi="Times New Roman" w:cs="Times New Roman"/>
        </w:rPr>
        <w:t xml:space="preserve"> </w:t>
      </w:r>
      <w:r w:rsidR="00E71E4A" w:rsidRPr="005B1FD0">
        <w:rPr>
          <w:rFonts w:ascii="Times New Roman" w:hAnsi="Times New Roman" w:cs="Times New Roman"/>
        </w:rPr>
        <w:t xml:space="preserve">influx </w:t>
      </w:r>
      <w:r w:rsidRPr="005B1FD0">
        <w:rPr>
          <w:rFonts w:ascii="Times New Roman" w:hAnsi="Times New Roman" w:cs="Times New Roman"/>
        </w:rPr>
        <w:t>(</w:t>
      </w:r>
      <w:r w:rsidR="00E71E4A">
        <w:rPr>
          <w:rFonts w:ascii="Times New Roman" w:hAnsi="Times New Roman" w:cs="Times New Roman"/>
        </w:rPr>
        <w:t>both domestic</w:t>
      </w:r>
      <w:r w:rsidRPr="005B1FD0">
        <w:rPr>
          <w:rFonts w:ascii="Times New Roman" w:hAnsi="Times New Roman" w:cs="Times New Roman"/>
        </w:rPr>
        <w:t xml:space="preserve"> </w:t>
      </w:r>
      <w:r w:rsidR="00E71E4A">
        <w:rPr>
          <w:rFonts w:ascii="Times New Roman" w:hAnsi="Times New Roman" w:cs="Times New Roman"/>
        </w:rPr>
        <w:t>and foreign</w:t>
      </w:r>
      <w:r w:rsidRPr="005B1FD0">
        <w:rPr>
          <w:rFonts w:ascii="Times New Roman" w:hAnsi="Times New Roman" w:cs="Times New Roman"/>
        </w:rPr>
        <w:t xml:space="preserve">) </w:t>
      </w:r>
      <w:r w:rsidR="00CD6C27">
        <w:rPr>
          <w:rFonts w:ascii="Times New Roman" w:hAnsi="Times New Roman" w:cs="Times New Roman"/>
        </w:rPr>
        <w:t>on</w:t>
      </w:r>
      <w:r w:rsidRPr="005B1FD0">
        <w:rPr>
          <w:rFonts w:ascii="Times New Roman" w:hAnsi="Times New Roman" w:cs="Times New Roman"/>
        </w:rPr>
        <w:t xml:space="preserve"> </w:t>
      </w:r>
      <w:r w:rsidR="00ED7040">
        <w:rPr>
          <w:rFonts w:ascii="Times New Roman" w:hAnsi="Times New Roman" w:cs="Times New Roman"/>
        </w:rPr>
        <w:t xml:space="preserve">local </w:t>
      </w:r>
      <w:r w:rsidRPr="005B1FD0">
        <w:rPr>
          <w:rFonts w:ascii="Times New Roman" w:hAnsi="Times New Roman" w:cs="Times New Roman"/>
        </w:rPr>
        <w:t xml:space="preserve">housing prices, </w:t>
      </w:r>
      <w:r w:rsidR="00C358B6">
        <w:rPr>
          <w:rFonts w:ascii="Times New Roman" w:hAnsi="Times New Roman" w:cs="Times New Roman"/>
        </w:rPr>
        <w:t>considering</w:t>
      </w:r>
      <w:r w:rsidRPr="005B1FD0">
        <w:rPr>
          <w:rFonts w:ascii="Times New Roman" w:hAnsi="Times New Roman" w:cs="Times New Roman"/>
        </w:rPr>
        <w:t xml:space="preserve"> </w:t>
      </w:r>
      <w:r w:rsidR="00D26AE5">
        <w:rPr>
          <w:rFonts w:ascii="Times New Roman" w:hAnsi="Times New Roman" w:cs="Times New Roman"/>
        </w:rPr>
        <w:t xml:space="preserve">also </w:t>
      </w:r>
      <w:r w:rsidRPr="005B1FD0">
        <w:rPr>
          <w:rFonts w:ascii="Times New Roman" w:hAnsi="Times New Roman" w:cs="Times New Roman"/>
        </w:rPr>
        <w:t xml:space="preserve">the demand and supply </w:t>
      </w:r>
      <w:r w:rsidR="00CD6C27">
        <w:rPr>
          <w:rFonts w:ascii="Times New Roman" w:hAnsi="Times New Roman" w:cs="Times New Roman"/>
        </w:rPr>
        <w:t>factors in</w:t>
      </w:r>
      <w:r w:rsidRPr="005B1FD0">
        <w:rPr>
          <w:rFonts w:ascii="Times New Roman" w:hAnsi="Times New Roman" w:cs="Times New Roman"/>
        </w:rPr>
        <w:t xml:space="preserve"> the market</w:t>
      </w:r>
      <w:r w:rsidR="00D26AE5">
        <w:rPr>
          <w:rFonts w:ascii="Times New Roman" w:hAnsi="Times New Roman" w:cs="Times New Roman"/>
        </w:rPr>
        <w:t xml:space="preserve"> such as interest rates and </w:t>
      </w:r>
      <w:r w:rsidR="00466AD7">
        <w:rPr>
          <w:rFonts w:ascii="Times New Roman" w:hAnsi="Times New Roman" w:cs="Times New Roman"/>
        </w:rPr>
        <w:t>general population increases</w:t>
      </w:r>
      <w:r w:rsidRPr="005B1FD0">
        <w:rPr>
          <w:rFonts w:ascii="Times New Roman" w:hAnsi="Times New Roman" w:cs="Times New Roman"/>
        </w:rPr>
        <w:t>.</w:t>
      </w:r>
    </w:p>
    <w:p w14:paraId="6F3A93B3" w14:textId="77777777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Why it Matters.</w:t>
      </w:r>
    </w:p>
    <w:p w14:paraId="20897099" w14:textId="73A9DBE4" w:rsidR="005B1FD0" w:rsidRPr="005B1FD0" w:rsidRDefault="00CD6C27" w:rsidP="005B1F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begin with</w:t>
      </w:r>
      <w:r w:rsidR="005B1FD0" w:rsidRPr="005B1FD0">
        <w:rPr>
          <w:rFonts w:ascii="Times New Roman" w:hAnsi="Times New Roman" w:cs="Times New Roman"/>
        </w:rPr>
        <w:t xml:space="preserve">, it is </w:t>
      </w:r>
      <w:r>
        <w:rPr>
          <w:rFonts w:ascii="Times New Roman" w:hAnsi="Times New Roman" w:cs="Times New Roman"/>
        </w:rPr>
        <w:t>crucial</w:t>
      </w:r>
      <w:r w:rsidR="005B1FD0" w:rsidRPr="005B1F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="005B1FD0" w:rsidRPr="005B1FD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</w:t>
      </w:r>
      <w:r w:rsidR="005B1FD0" w:rsidRPr="005B1FD0">
        <w:rPr>
          <w:rFonts w:ascii="Times New Roman" w:hAnsi="Times New Roman" w:cs="Times New Roman"/>
        </w:rPr>
        <w:t xml:space="preserve"> policymakers as it </w:t>
      </w:r>
      <w:r>
        <w:rPr>
          <w:rFonts w:ascii="Times New Roman" w:hAnsi="Times New Roman" w:cs="Times New Roman"/>
        </w:rPr>
        <w:t>assists</w:t>
      </w:r>
      <w:r w:rsidR="005B1FD0" w:rsidRPr="005B1FD0">
        <w:rPr>
          <w:rFonts w:ascii="Times New Roman" w:hAnsi="Times New Roman" w:cs="Times New Roman"/>
        </w:rPr>
        <w:t xml:space="preserve"> them in making informed decisions </w:t>
      </w:r>
      <w:r>
        <w:rPr>
          <w:rFonts w:ascii="Times New Roman" w:hAnsi="Times New Roman" w:cs="Times New Roman"/>
        </w:rPr>
        <w:t>regarding</w:t>
      </w:r>
      <w:r w:rsidR="005B1FD0" w:rsidRPr="005B1FD0">
        <w:rPr>
          <w:rFonts w:ascii="Times New Roman" w:hAnsi="Times New Roman" w:cs="Times New Roman"/>
        </w:rPr>
        <w:t xml:space="preserve"> immigration, </w:t>
      </w:r>
      <w:r>
        <w:rPr>
          <w:rFonts w:ascii="Times New Roman" w:hAnsi="Times New Roman" w:cs="Times New Roman"/>
        </w:rPr>
        <w:t xml:space="preserve">with </w:t>
      </w:r>
      <w:r w:rsidR="005B1FD0" w:rsidRPr="005B1FD0">
        <w:rPr>
          <w:rFonts w:ascii="Times New Roman" w:hAnsi="Times New Roman" w:cs="Times New Roman"/>
        </w:rPr>
        <w:t xml:space="preserve">which they </w:t>
      </w:r>
      <w:r w:rsidRPr="005B1FD0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help</w:t>
      </w:r>
      <w:r w:rsidR="005B1FD0" w:rsidRPr="005B1FD0">
        <w:rPr>
          <w:rFonts w:ascii="Times New Roman" w:hAnsi="Times New Roman" w:cs="Times New Roman"/>
        </w:rPr>
        <w:t xml:space="preserve"> </w:t>
      </w:r>
      <w:r w:rsidRPr="005B1FD0">
        <w:rPr>
          <w:rFonts w:ascii="Times New Roman" w:hAnsi="Times New Roman" w:cs="Times New Roman"/>
        </w:rPr>
        <w:t>steady</w:t>
      </w:r>
      <w:r w:rsidR="005B1FD0" w:rsidRPr="005B1F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5B1FD0" w:rsidRPr="005B1FD0">
        <w:rPr>
          <w:rFonts w:ascii="Times New Roman" w:hAnsi="Times New Roman" w:cs="Times New Roman"/>
        </w:rPr>
        <w:t xml:space="preserve"> housing prices to ensure affordability and a high standard of living.</w:t>
      </w:r>
    </w:p>
    <w:p w14:paraId="54EF9914" w14:textId="5A69BA8A" w:rsidR="005B1FD0" w:rsidRPr="005B1FD0" w:rsidRDefault="00CD6C27" w:rsidP="005B1F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</w:t>
      </w:r>
      <w:r w:rsidR="005B1FD0" w:rsidRPr="005B1FD0">
        <w:rPr>
          <w:rFonts w:ascii="Times New Roman" w:hAnsi="Times New Roman" w:cs="Times New Roman"/>
        </w:rPr>
        <w:t xml:space="preserve">, it can </w:t>
      </w:r>
      <w:r>
        <w:rPr>
          <w:rFonts w:ascii="Times New Roman" w:hAnsi="Times New Roman" w:cs="Times New Roman"/>
        </w:rPr>
        <w:t>facilitate</w:t>
      </w:r>
      <w:r w:rsidR="005B1FD0" w:rsidRPr="005B1FD0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 establishment of</w:t>
      </w:r>
      <w:r w:rsidR="005B1FD0" w:rsidRPr="005B1FD0">
        <w:rPr>
          <w:rFonts w:ascii="Times New Roman" w:hAnsi="Times New Roman" w:cs="Times New Roman"/>
        </w:rPr>
        <w:t xml:space="preserve"> a stable market, as both homeowners and renters </w:t>
      </w:r>
      <w:r>
        <w:rPr>
          <w:rFonts w:ascii="Times New Roman" w:hAnsi="Times New Roman" w:cs="Times New Roman"/>
        </w:rPr>
        <w:t>have</w:t>
      </w:r>
      <w:r w:rsidR="005B1FD0" w:rsidRPr="005B1FD0">
        <w:rPr>
          <w:rFonts w:ascii="Times New Roman" w:hAnsi="Times New Roman" w:cs="Times New Roman"/>
        </w:rPr>
        <w:t xml:space="preserve"> a </w:t>
      </w:r>
      <w:r w:rsidRPr="005B1FD0">
        <w:rPr>
          <w:rFonts w:ascii="Times New Roman" w:hAnsi="Times New Roman" w:cs="Times New Roman"/>
        </w:rPr>
        <w:t>reasonable</w:t>
      </w:r>
      <w:r w:rsidR="005B1FD0" w:rsidRPr="005B1FD0">
        <w:rPr>
          <w:rFonts w:ascii="Times New Roman" w:hAnsi="Times New Roman" w:cs="Times New Roman"/>
        </w:rPr>
        <w:t xml:space="preserve"> </w:t>
      </w:r>
      <w:r w:rsidRPr="005B1FD0">
        <w:rPr>
          <w:rFonts w:ascii="Times New Roman" w:hAnsi="Times New Roman" w:cs="Times New Roman"/>
        </w:rPr>
        <w:t>insight</w:t>
      </w:r>
      <w:r w:rsidR="005B1FD0" w:rsidRPr="005B1FD0">
        <w:rPr>
          <w:rFonts w:ascii="Times New Roman" w:hAnsi="Times New Roman" w:cs="Times New Roman"/>
        </w:rPr>
        <w:t xml:space="preserve"> </w:t>
      </w:r>
      <w:r w:rsidR="00AE7E47" w:rsidRPr="005B1FD0">
        <w:rPr>
          <w:rFonts w:ascii="Times New Roman" w:hAnsi="Times New Roman" w:cs="Times New Roman"/>
        </w:rPr>
        <w:t>into</w:t>
      </w:r>
      <w:r w:rsidR="005B1FD0" w:rsidRPr="005B1FD0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fluctuations</w:t>
      </w:r>
      <w:r w:rsidR="005B1FD0" w:rsidRPr="005B1FD0">
        <w:rPr>
          <w:rFonts w:ascii="Times New Roman" w:hAnsi="Times New Roman" w:cs="Times New Roman"/>
        </w:rPr>
        <w:t xml:space="preserve"> in the housing market.</w:t>
      </w:r>
    </w:p>
    <w:p w14:paraId="03F4C0CE" w14:textId="77777777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Lastly, it can also serve as a guide for urban planning and infrastructure planning and development.</w:t>
      </w:r>
    </w:p>
    <w:p w14:paraId="7ED1353D" w14:textId="77777777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Research Questions</w:t>
      </w:r>
    </w:p>
    <w:p w14:paraId="4D62CCA3" w14:textId="2A1AB247" w:rsidR="005B1FD0" w:rsidRPr="005B1FD0" w:rsidRDefault="005B1FD0" w:rsidP="005B1F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 xml:space="preserve">How does the </w:t>
      </w:r>
      <w:r w:rsidR="00FD0D95">
        <w:rPr>
          <w:rFonts w:ascii="Times New Roman" w:hAnsi="Times New Roman" w:cs="Times New Roman"/>
        </w:rPr>
        <w:t>net</w:t>
      </w:r>
      <w:r w:rsidRPr="005B1FD0">
        <w:rPr>
          <w:rFonts w:ascii="Times New Roman" w:hAnsi="Times New Roman" w:cs="Times New Roman"/>
        </w:rPr>
        <w:t xml:space="preserve"> </w:t>
      </w:r>
      <w:r w:rsidR="00FD0D95">
        <w:rPr>
          <w:rFonts w:ascii="Times New Roman" w:hAnsi="Times New Roman" w:cs="Times New Roman"/>
        </w:rPr>
        <w:t>migration</w:t>
      </w:r>
      <w:r w:rsidRPr="005B1FD0">
        <w:rPr>
          <w:rFonts w:ascii="Times New Roman" w:hAnsi="Times New Roman" w:cs="Times New Roman"/>
        </w:rPr>
        <w:t xml:space="preserve"> affect housing prices?</w:t>
      </w:r>
    </w:p>
    <w:p w14:paraId="625168F9" w14:textId="4D963AE7" w:rsidR="005B1FD0" w:rsidRPr="005B1FD0" w:rsidRDefault="005B1FD0" w:rsidP="005B1F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How does the effect on housing prices vary according to counties?</w:t>
      </w:r>
    </w:p>
    <w:p w14:paraId="6834F78A" w14:textId="4100A0BC" w:rsidR="005B1FD0" w:rsidRPr="005B1FD0" w:rsidRDefault="005B1FD0" w:rsidP="005B1F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What</w:t>
      </w:r>
      <w:r w:rsidR="00CD6C27">
        <w:rPr>
          <w:rFonts w:ascii="Times New Roman" w:hAnsi="Times New Roman" w:cs="Times New Roman"/>
        </w:rPr>
        <w:t xml:space="preserve"> strategies</w:t>
      </w:r>
      <w:r w:rsidRPr="005B1FD0">
        <w:rPr>
          <w:rFonts w:ascii="Times New Roman" w:hAnsi="Times New Roman" w:cs="Times New Roman"/>
        </w:rPr>
        <w:t xml:space="preserve"> can we</w:t>
      </w:r>
      <w:r w:rsidR="00CD6C27">
        <w:rPr>
          <w:rFonts w:ascii="Times New Roman" w:hAnsi="Times New Roman" w:cs="Times New Roman"/>
        </w:rPr>
        <w:t xml:space="preserve"> </w:t>
      </w:r>
      <w:r w:rsidR="00FD0D95">
        <w:rPr>
          <w:rFonts w:ascii="Times New Roman" w:hAnsi="Times New Roman" w:cs="Times New Roman"/>
        </w:rPr>
        <w:t>make</w:t>
      </w:r>
      <w:r w:rsidR="00CD6C27">
        <w:rPr>
          <w:rFonts w:ascii="Times New Roman" w:hAnsi="Times New Roman" w:cs="Times New Roman"/>
        </w:rPr>
        <w:t xml:space="preserve"> to alleviate</w:t>
      </w:r>
      <w:r w:rsidRPr="005B1FD0">
        <w:rPr>
          <w:rFonts w:ascii="Times New Roman" w:hAnsi="Times New Roman" w:cs="Times New Roman"/>
        </w:rPr>
        <w:t xml:space="preserve"> the </w:t>
      </w:r>
      <w:r w:rsidR="00CD6C27" w:rsidRPr="005B1FD0">
        <w:rPr>
          <w:rFonts w:ascii="Times New Roman" w:hAnsi="Times New Roman" w:cs="Times New Roman"/>
        </w:rPr>
        <w:t>bad</w:t>
      </w:r>
      <w:r w:rsidRPr="005B1FD0">
        <w:rPr>
          <w:rFonts w:ascii="Times New Roman" w:hAnsi="Times New Roman" w:cs="Times New Roman"/>
        </w:rPr>
        <w:t xml:space="preserve"> </w:t>
      </w:r>
      <w:r w:rsidR="00CD6C27" w:rsidRPr="005B1FD0">
        <w:rPr>
          <w:rFonts w:ascii="Times New Roman" w:hAnsi="Times New Roman" w:cs="Times New Roman"/>
        </w:rPr>
        <w:t>outcomes</w:t>
      </w:r>
      <w:r w:rsidRPr="005B1FD0">
        <w:rPr>
          <w:rFonts w:ascii="Times New Roman" w:hAnsi="Times New Roman" w:cs="Times New Roman"/>
        </w:rPr>
        <w:t xml:space="preserve"> of migration </w:t>
      </w:r>
      <w:r w:rsidR="00985616" w:rsidRPr="005B1FD0">
        <w:rPr>
          <w:rFonts w:ascii="Times New Roman" w:hAnsi="Times New Roman" w:cs="Times New Roman"/>
        </w:rPr>
        <w:t>to</w:t>
      </w:r>
      <w:r w:rsidRPr="005B1FD0">
        <w:rPr>
          <w:rFonts w:ascii="Times New Roman" w:hAnsi="Times New Roman" w:cs="Times New Roman"/>
        </w:rPr>
        <w:t xml:space="preserve"> housing prices</w:t>
      </w:r>
      <w:r w:rsidR="003C6CAE">
        <w:rPr>
          <w:rFonts w:ascii="Times New Roman" w:hAnsi="Times New Roman" w:cs="Times New Roman"/>
        </w:rPr>
        <w:t>, or facilitate the availability of affordable housing</w:t>
      </w:r>
      <w:r w:rsidRPr="005B1FD0">
        <w:rPr>
          <w:rFonts w:ascii="Times New Roman" w:hAnsi="Times New Roman" w:cs="Times New Roman"/>
        </w:rPr>
        <w:t>?</w:t>
      </w:r>
    </w:p>
    <w:p w14:paraId="1E9C3627" w14:textId="006DD329" w:rsidR="005B1FD0" w:rsidRDefault="00985616" w:rsidP="005B1F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M</w:t>
      </w:r>
      <w:r w:rsidR="005B1FD0" w:rsidRPr="005B1FD0">
        <w:rPr>
          <w:rFonts w:ascii="Times New Roman" w:hAnsi="Times New Roman" w:cs="Times New Roman"/>
          <w:b/>
          <w:bCs/>
        </w:rPr>
        <w:t>igration data sets</w:t>
      </w:r>
      <w:r w:rsidR="005B1FD0" w:rsidRPr="005B1FD0">
        <w:rPr>
          <w:rFonts w:ascii="Times New Roman" w:hAnsi="Times New Roman" w:cs="Times New Roman"/>
        </w:rPr>
        <w:t>. (</w:t>
      </w:r>
      <w:hyperlink r:id="rId5" w:history="1">
        <w:r w:rsidR="005B1FD0" w:rsidRPr="00787432">
          <w:rPr>
            <w:rStyle w:val="Hyperlink"/>
            <w:rFonts w:ascii="Times New Roman" w:hAnsi="Times New Roman" w:cs="Times New Roman"/>
          </w:rPr>
          <w:t>https://www.irs.gov/statistics/soi-tax-stats-migration-data-2021-2022</w:t>
        </w:r>
      </w:hyperlink>
      <w:r w:rsidR="005B1FD0" w:rsidRPr="005B1FD0">
        <w:rPr>
          <w:rFonts w:ascii="Times New Roman" w:hAnsi="Times New Roman" w:cs="Times New Roman"/>
        </w:rPr>
        <w:t>)</w:t>
      </w:r>
    </w:p>
    <w:p w14:paraId="68034547" w14:textId="6D8D720E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The</w:t>
      </w:r>
      <w:r w:rsidR="00985616">
        <w:rPr>
          <w:rFonts w:ascii="Times New Roman" w:hAnsi="Times New Roman" w:cs="Times New Roman"/>
        </w:rPr>
        <w:t xml:space="preserve"> data was sourced from the</w:t>
      </w:r>
      <w:r w:rsidRPr="005B1FD0">
        <w:rPr>
          <w:rFonts w:ascii="Times New Roman" w:hAnsi="Times New Roman" w:cs="Times New Roman"/>
        </w:rPr>
        <w:t xml:space="preserve"> Internal Revenue Service (IRS)</w:t>
      </w:r>
      <w:r w:rsidR="00985616">
        <w:rPr>
          <w:rFonts w:ascii="Times New Roman" w:hAnsi="Times New Roman" w:cs="Times New Roman"/>
        </w:rPr>
        <w:t>.</w:t>
      </w:r>
      <w:r w:rsidRPr="005B1FD0">
        <w:rPr>
          <w:rFonts w:ascii="Times New Roman" w:hAnsi="Times New Roman" w:cs="Times New Roman"/>
        </w:rPr>
        <w:t xml:space="preserve"> </w:t>
      </w:r>
      <w:r w:rsidR="00985616">
        <w:rPr>
          <w:rFonts w:ascii="Times New Roman" w:hAnsi="Times New Roman" w:cs="Times New Roman"/>
        </w:rPr>
        <w:t>T</w:t>
      </w:r>
      <w:r w:rsidRPr="005B1FD0">
        <w:rPr>
          <w:rFonts w:ascii="Times New Roman" w:hAnsi="Times New Roman" w:cs="Times New Roman"/>
        </w:rPr>
        <w:t>he migrat</w:t>
      </w:r>
      <w:r w:rsidR="00985616">
        <w:rPr>
          <w:rFonts w:ascii="Times New Roman" w:hAnsi="Times New Roman" w:cs="Times New Roman"/>
        </w:rPr>
        <w:t>ion is</w:t>
      </w:r>
      <w:r w:rsidRPr="005B1FD0">
        <w:rPr>
          <w:rFonts w:ascii="Times New Roman" w:hAnsi="Times New Roman" w:cs="Times New Roman"/>
        </w:rPr>
        <w:t xml:space="preserve"> data based on year-to-year address changes reported on individual income tax returns filed with the IRS. We use county-level data from 2021 to 2022. </w:t>
      </w:r>
      <w:r w:rsidR="00FD0D95">
        <w:rPr>
          <w:rFonts w:ascii="Times New Roman" w:hAnsi="Times New Roman" w:cs="Times New Roman"/>
        </w:rPr>
        <w:t xml:space="preserve">The migration data </w:t>
      </w:r>
      <w:r w:rsidR="0090382F">
        <w:rPr>
          <w:rFonts w:ascii="Times New Roman" w:hAnsi="Times New Roman" w:cs="Times New Roman"/>
        </w:rPr>
        <w:t>consists</w:t>
      </w:r>
      <w:r w:rsidR="00FD0D95">
        <w:rPr>
          <w:rFonts w:ascii="Times New Roman" w:hAnsi="Times New Roman" w:cs="Times New Roman"/>
        </w:rPr>
        <w:t xml:space="preserve"> of both inflows and outflows people within and outside the country.</w:t>
      </w:r>
    </w:p>
    <w:p w14:paraId="7FEE60D0" w14:textId="77777777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N1 is the number of returns filed, approximating the number of migrated households.</w:t>
      </w:r>
    </w:p>
    <w:p w14:paraId="1556CA56" w14:textId="77777777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N2: number of personal exemptions claimed. Which approximates the number of individuals.</w:t>
      </w:r>
    </w:p>
    <w:p w14:paraId="4A7CF6D3" w14:textId="31C26D17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Agi is the aggregate migration flows at the state level, which are determined by the size of adjusted gross income (AGI) and the age of the primary taxpayer.</w:t>
      </w:r>
      <w:r w:rsidR="0090382F">
        <w:rPr>
          <w:rFonts w:ascii="Times New Roman" w:hAnsi="Times New Roman" w:cs="Times New Roman"/>
        </w:rPr>
        <w:t xml:space="preserve"> It is reported in thousands of dollars.</w:t>
      </w:r>
    </w:p>
    <w:p w14:paraId="6F3E628A" w14:textId="5038F74E" w:rsid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985616">
        <w:rPr>
          <w:rFonts w:ascii="Times New Roman" w:hAnsi="Times New Roman" w:cs="Times New Roman"/>
          <w:b/>
          <w:bCs/>
        </w:rPr>
        <w:t>Housing Prices data set</w:t>
      </w:r>
      <w:r w:rsidRPr="005B1FD0">
        <w:rPr>
          <w:rFonts w:ascii="Times New Roman" w:hAnsi="Times New Roman" w:cs="Times New Roman"/>
        </w:rPr>
        <w:t xml:space="preserve"> (</w:t>
      </w:r>
      <w:hyperlink r:id="rId6" w:history="1">
        <w:r w:rsidRPr="00787432">
          <w:rPr>
            <w:rStyle w:val="Hyperlink"/>
            <w:rFonts w:ascii="Times New Roman" w:hAnsi="Times New Roman" w:cs="Times New Roman"/>
          </w:rPr>
          <w:t>https://www.fhfa.gov/sites/default/files/2024-09/UADAggs_county_v3_2.zip</w:t>
        </w:r>
      </w:hyperlink>
      <w:r w:rsidRPr="005B1FD0">
        <w:rPr>
          <w:rFonts w:ascii="Times New Roman" w:hAnsi="Times New Roman" w:cs="Times New Roman"/>
        </w:rPr>
        <w:t>)</w:t>
      </w:r>
    </w:p>
    <w:p w14:paraId="16E18489" w14:textId="6B7EFC72" w:rsidR="00985616" w:rsidRPr="00985616" w:rsidRDefault="005B1FD0" w:rsidP="00985616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The Federal Housing Finance Agency (FHFA) provided the housing price data set. We used the uniform appraisal dataset—aggregate statistics on appraisal—from the FHFA</w:t>
      </w:r>
      <w:r w:rsidR="00985616">
        <w:rPr>
          <w:rFonts w:ascii="Times New Roman" w:hAnsi="Times New Roman" w:cs="Times New Roman"/>
        </w:rPr>
        <w:t xml:space="preserve">. </w:t>
      </w:r>
      <w:r w:rsidR="00985616" w:rsidRPr="00985616">
        <w:rPr>
          <w:rFonts w:ascii="Times New Roman" w:hAnsi="Times New Roman" w:cs="Times New Roman"/>
        </w:rPr>
        <w:t>An appraisal is an assessment of a property's value performed by a certified appraiser.</w:t>
      </w:r>
    </w:p>
    <w:p w14:paraId="64F8D73B" w14:textId="64A63264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 xml:space="preserve"> It is quarterly data. The data spans from 2021- to 2022-year period.</w:t>
      </w:r>
    </w:p>
    <w:p w14:paraId="1348D4DC" w14:textId="77777777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Value is the worth of the statistical series.</w:t>
      </w:r>
    </w:p>
    <w:p w14:paraId="59B8CBD8" w14:textId="77777777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Quarter – 1 = January – March</w:t>
      </w:r>
    </w:p>
    <w:p w14:paraId="04E66DB9" w14:textId="77777777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2 = April-June</w:t>
      </w:r>
    </w:p>
    <w:p w14:paraId="40DBB7EC" w14:textId="7747A478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3 = July-September.</w:t>
      </w:r>
    </w:p>
    <w:p w14:paraId="4F4C04A0" w14:textId="77777777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4 = October-December</w:t>
      </w:r>
    </w:p>
    <w:p w14:paraId="4E1FCE0A" w14:textId="77777777" w:rsid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5 = all four quarters (yearly)</w:t>
      </w:r>
    </w:p>
    <w:p w14:paraId="27EAD49A" w14:textId="146708E7" w:rsidR="0090382F" w:rsidRPr="005B1FD0" w:rsidRDefault="0090382F" w:rsidP="005B1F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NB: For this research purpose we are using 5 which represent annual housing value.</w:t>
      </w:r>
    </w:p>
    <w:p w14:paraId="13131838" w14:textId="77777777" w:rsid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Geoname is the formal name of a geographic unit (counties).</w:t>
      </w:r>
    </w:p>
    <w:p w14:paraId="0FBAE262" w14:textId="58F0E1EC" w:rsidR="0090382F" w:rsidRDefault="0090382F" w:rsidP="005B1F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control variables are population growth and interest rate from 2020 to 2021.</w:t>
      </w:r>
    </w:p>
    <w:p w14:paraId="75A37B32" w14:textId="0ECC6696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  <w:b/>
          <w:bCs/>
        </w:rPr>
        <w:lastRenderedPageBreak/>
        <w:t>How Migration data and Housing data are related</w:t>
      </w:r>
      <w:r>
        <w:rPr>
          <w:rFonts w:ascii="Times New Roman" w:hAnsi="Times New Roman" w:cs="Times New Roman"/>
        </w:rPr>
        <w:t>.</w:t>
      </w:r>
    </w:p>
    <w:p w14:paraId="11651564" w14:textId="1753C93A" w:rsidR="005B1FD0" w:rsidRPr="005B1FD0" w:rsidRDefault="005B1FD0" w:rsidP="005B1FD0">
      <w:pPr>
        <w:spacing w:line="360" w:lineRule="auto"/>
        <w:rPr>
          <w:rFonts w:ascii="Times New Roman" w:hAnsi="Times New Roman" w:cs="Times New Roman"/>
        </w:rPr>
      </w:pPr>
      <w:r w:rsidRPr="005B1FD0">
        <w:rPr>
          <w:rFonts w:ascii="Times New Roman" w:hAnsi="Times New Roman" w:cs="Times New Roman"/>
        </w:rPr>
        <w:t>There is a close relationship between migration data and the housing data set. Migration patterns can directly influence the demand for housing. Are</w:t>
      </w:r>
      <w:r w:rsidR="00176F95">
        <w:rPr>
          <w:rFonts w:ascii="Times New Roman" w:hAnsi="Times New Roman" w:cs="Times New Roman"/>
        </w:rPr>
        <w:t>a</w:t>
      </w:r>
      <w:r w:rsidRPr="005B1FD0">
        <w:rPr>
          <w:rFonts w:ascii="Times New Roman" w:hAnsi="Times New Roman" w:cs="Times New Roman"/>
        </w:rPr>
        <w:t>s facing elevated levels of immigration may see increased development to meet demand. This can affect housing prices depending on how fast supply can catch up.</w:t>
      </w:r>
    </w:p>
    <w:p w14:paraId="30AC24C4" w14:textId="77777777" w:rsidR="004A0A68" w:rsidRPr="005B1FD0" w:rsidRDefault="004A0A68" w:rsidP="005B1FD0">
      <w:pPr>
        <w:spacing w:line="360" w:lineRule="auto"/>
      </w:pPr>
    </w:p>
    <w:sectPr w:rsidR="004A0A68" w:rsidRPr="005B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77211"/>
    <w:multiLevelType w:val="hybridMultilevel"/>
    <w:tmpl w:val="41F82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14B55"/>
    <w:multiLevelType w:val="hybridMultilevel"/>
    <w:tmpl w:val="4AA4E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17248">
    <w:abstractNumId w:val="0"/>
  </w:num>
  <w:num w:numId="2" w16cid:durableId="571624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5B"/>
    <w:rsid w:val="000871FB"/>
    <w:rsid w:val="001108EF"/>
    <w:rsid w:val="00176F95"/>
    <w:rsid w:val="001B5530"/>
    <w:rsid w:val="001E6138"/>
    <w:rsid w:val="001F4178"/>
    <w:rsid w:val="003C6CAE"/>
    <w:rsid w:val="00466AD7"/>
    <w:rsid w:val="004A0A68"/>
    <w:rsid w:val="004A255B"/>
    <w:rsid w:val="004E1DC5"/>
    <w:rsid w:val="0059334A"/>
    <w:rsid w:val="005B1FD0"/>
    <w:rsid w:val="007A656D"/>
    <w:rsid w:val="008978CE"/>
    <w:rsid w:val="0090382F"/>
    <w:rsid w:val="00930E06"/>
    <w:rsid w:val="00985616"/>
    <w:rsid w:val="009B292D"/>
    <w:rsid w:val="00A37A32"/>
    <w:rsid w:val="00AB1685"/>
    <w:rsid w:val="00AE7E47"/>
    <w:rsid w:val="00B1647C"/>
    <w:rsid w:val="00B16653"/>
    <w:rsid w:val="00B366BE"/>
    <w:rsid w:val="00BF17A3"/>
    <w:rsid w:val="00C358B6"/>
    <w:rsid w:val="00CD6C27"/>
    <w:rsid w:val="00D26AE5"/>
    <w:rsid w:val="00D81AEA"/>
    <w:rsid w:val="00DA5900"/>
    <w:rsid w:val="00DE5F77"/>
    <w:rsid w:val="00E141C6"/>
    <w:rsid w:val="00E363E2"/>
    <w:rsid w:val="00E45D18"/>
    <w:rsid w:val="00E71E4A"/>
    <w:rsid w:val="00EA46DC"/>
    <w:rsid w:val="00EB1FE1"/>
    <w:rsid w:val="00ED7040"/>
    <w:rsid w:val="00F6644C"/>
    <w:rsid w:val="00FD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FD44"/>
  <w15:chartTrackingRefBased/>
  <w15:docId w15:val="{4716799F-1A02-41CC-80A5-448B5A0D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5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F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hfa.gov/sites/default/files/2024-09/UADAggs_county_v3_2.zip" TargetMode="External"/><Relationship Id="rId5" Type="http://schemas.openxmlformats.org/officeDocument/2006/relationships/hyperlink" Target="https://www.irs.gov/statistics/soi-tax-stats-migration-data-2021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Antwi Boasiako, Simon Atta</dc:creator>
  <cp:keywords/>
  <dc:description/>
  <cp:lastModifiedBy>Durtka, Steven</cp:lastModifiedBy>
  <cp:revision>5</cp:revision>
  <dcterms:created xsi:type="dcterms:W3CDTF">2024-10-13T21:04:00Z</dcterms:created>
  <dcterms:modified xsi:type="dcterms:W3CDTF">2024-10-13T21:07:00Z</dcterms:modified>
</cp:coreProperties>
</file>