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52"/>
          <w:szCs w:val="52"/>
        </w:rPr>
        <w:t xml:space="preserve">CITY NEWSROOM</w:t>
      </w:r>
    </w:p>
    <w:p>
      <w:pPr>
        <w:spacing w:after="340"/>
        <w:jc w:val="center"/>
      </w:pPr>
      <w:r>
        <w:rPr>
          <w:i/>
          <w:iCs/>
          <w:sz w:val="24"/>
          <w:szCs w:val="24"/>
        </w:rPr>
        <w:t xml:space="preserve">Teacher's Compendium — running the tip desk in your classroom</w:t>
      </w:r>
    </w:p>
    <w:p>
      <w:pPr>
        <w:pStyle w:val="Heading1"/>
      </w:pPr>
      <w:r>
        <w:t xml:space="preserve">1. What the game is and what it teaches</w:t>
      </w:r>
    </w:p>
    <w:p>
      <w:pPr>
        <w:spacing w:after="120"/>
      </w:pPr>
      <w:r>
        <w:t xml:space="preserve">City Newsroom is a browser game (20–40 minutes, no accounts, no installs) in English, Swedish, Finnish and Estonian. Students play a trial applicant at the tip desk of a city newsroom that was attacked the day before. Across three levels of five tips each, they verify incoming claims with two tools — Text Search and Reverse Image Search — pin evidence, and stamp each tip PUBLISH or FLAG AS FALSE.</w:t>
      </w:r>
    </w:p>
    <w:p>
      <w:pPr>
        <w:spacing w:after="120"/>
      </w:pPr>
      <w:r>
        <w:t xml:space="preserve">The game teaches lateral reading (leaving a claim to check what other sources say about it; Wineburg &amp; McGrew, 2019) and inoculates against eight manipulation techniques by name (technique-based prebunking in the tradition of the Bad News game; Roozenbeek &amp; van der Linden, 2019; Axelsson et al., 2024): manipulated media, out-of-context material, conspiracy framing, unverified claims, polarization, fabricated events, sponsored content in disguise — and the reverse lesson that emotional stories can still be true.</w:t>
      </w:r>
    </w:p>
    <w:p>
      <w:pPr>
        <w:spacing w:after="120"/>
      </w:pPr>
      <w:r>
        <w:t xml:space="preserve">Two ideas do most of the pedagogical work: mistakes have institutional consequences (credibility, readers, and ultimately the job), and verification is a repeatable discipline, not a talent.</w:t>
      </w:r>
    </w:p>
    <w:p>
      <w:pPr>
        <w:pStyle w:val="Heading1"/>
      </w:pPr>
      <w:r>
        <w:t xml:space="preserve">2. Before class — 10-minute checklist</w:t>
      </w:r>
    </w:p>
    <w:p>
      <w:pPr>
        <w:pStyle w:val="ListParagraph"/>
        <w:numPr>
          <w:ilvl w:val="0"/>
          <w:numId w:val="2"/>
        </w:numPr>
        <w:spacing w:after="60"/>
      </w:pPr>
      <w:r>
        <w:t xml:space="preserve">Open the game link yourself once; press Ctrl+Shift+R to make sure you see the current version.</w:t>
      </w:r>
    </w:p>
    <w:p>
      <w:pPr>
        <w:pStyle w:val="ListParagraph"/>
        <w:numPr>
          <w:ilvl w:val="0"/>
          <w:numId w:val="2"/>
        </w:numPr>
        <w:spacing w:after="60"/>
      </w:pPr>
      <w:r>
        <w:t xml:space="preserve">Devices: any laptop, Chromebook or tablet with a modern browser. One device per student is ideal; pairs also work well (verbalizing the reasoning is itself the exercise).</w:t>
      </w:r>
    </w:p>
    <w:p>
      <w:pPr>
        <w:pStyle w:val="ListParagraph"/>
        <w:numPr>
          <w:ilvl w:val="0"/>
          <w:numId w:val="2"/>
        </w:numPr>
        <w:spacing w:after="60"/>
      </w:pPr>
      <w:r>
        <w:t xml:space="preserve">Choose language on the start screen; students can differ within one class.</w:t>
      </w:r>
    </w:p>
    <w:p>
      <w:pPr>
        <w:pStyle w:val="ListParagraph"/>
        <w:numPr>
          <w:ilvl w:val="0"/>
          <w:numId w:val="2"/>
        </w:numPr>
        <w:spacing w:after="60"/>
      </w:pPr>
      <w:r>
        <w:t xml:space="preserve">Sound is optional but recommended (headphones); a mute switch is in the top bar.</w:t>
      </w:r>
    </w:p>
    <w:p>
      <w:pPr>
        <w:pStyle w:val="ListParagraph"/>
        <w:numPr>
          <w:ilvl w:val="0"/>
          <w:numId w:val="2"/>
        </w:numPr>
        <w:spacing w:after="60"/>
      </w:pPr>
      <w:r>
        <w:t xml:space="preserve">Plan 40–60 minutes total: brief intro, one full playthrough, debrief.</w:t>
      </w:r>
    </w:p>
    <w:p>
      <w:pPr>
        <w:pStyle w:val="Heading1"/>
      </w:pPr>
      <w:r>
        <w:t xml:space="preserve">3. The rules students should know going in</w:t>
      </w:r>
    </w:p>
    <w:p>
      <w:pPr>
        <w:pStyle w:val="ListParagraph"/>
        <w:numPr>
          <w:ilvl w:val="0"/>
          <w:numId w:val="2"/>
        </w:numPr>
        <w:spacing w:after="60"/>
      </w:pPr>
      <w:r>
        <w:t xml:space="preserve">Three levels, five tips each. Difficulty rises: Level 3 fakes do not look fake.</w:t>
      </w:r>
    </w:p>
    <w:p>
      <w:pPr>
        <w:pStyle w:val="ListParagraph"/>
        <w:numPr>
          <w:ilvl w:val="0"/>
          <w:numId w:val="2"/>
        </w:numPr>
        <w:spacing w:after="60"/>
      </w:pPr>
      <w:r>
        <w:t xml:space="preserve">One wrong stamp per level is tolerated. A second restarts the level (same tips, fresh eyes, meters restored).</w:t>
      </w:r>
    </w:p>
    <w:p>
      <w:pPr>
        <w:pStyle w:val="ListParagraph"/>
        <w:numPr>
          <w:ilvl w:val="0"/>
          <w:numId w:val="2"/>
        </w:numPr>
        <w:spacing w:after="60"/>
      </w:pPr>
      <w:r>
        <w:t xml:space="preserve">Three restarts are available in total. After a fourth failed level, Sarah — the editor — politely shows the applicant the door. The game can be replayed immediately.</w:t>
      </w:r>
    </w:p>
    <w:p>
      <w:pPr>
        <w:pStyle w:val="ListParagraph"/>
        <w:numPr>
          <w:ilvl w:val="0"/>
          <w:numId w:val="2"/>
        </w:numPr>
        <w:spacing w:after="60"/>
      </w:pPr>
      <w:r>
        <w:t xml:space="preserve">Both errors count: publishing a fake AND flagging a true story. Over-caution is a mistake too.</w:t>
      </w:r>
    </w:p>
    <w:p>
      <w:pPr>
        <w:pStyle w:val="ListParagraph"/>
        <w:numPr>
          <w:ilvl w:val="0"/>
          <w:numId w:val="2"/>
        </w:numPr>
        <w:spacing w:after="60"/>
      </w:pPr>
      <w:r>
        <w:t xml:space="preserve">Pins are limited to three: choosing the strongest evidence is the skill.</w:t>
      </w:r>
    </w:p>
    <w:p>
      <w:pPr>
        <w:pStyle w:val="Heading1"/>
      </w:pPr>
      <w:r>
        <w:t xml:space="preserve">4. Suggested lesson flow</w:t>
      </w:r>
    </w:p>
    <w:p>
      <w:pPr>
        <w:pStyle w:val="Heading2"/>
      </w:pPr>
      <w:r>
        <w:t xml:space="preserve">Intro (5–10 min)</w:t>
      </w:r>
    </w:p>
    <w:p>
      <w:pPr>
        <w:spacing w:after="120"/>
      </w:pPr>
      <w:r>
        <w:t xml:space="preserve">Ask: 'How do professionals check whether something online is true?' Draw out the key move — they leave the page. Name it: lateral reading. Tell students the game will hold them to a newsroom's standard: at most one mistake per level.</w:t>
      </w:r>
    </w:p>
    <w:p>
      <w:pPr>
        <w:pStyle w:val="Heading2"/>
      </w:pPr>
      <w:r>
        <w:t xml:space="preserve">Play (25–40 min)</w:t>
      </w:r>
    </w:p>
    <w:p>
      <w:pPr>
        <w:spacing w:after="120"/>
      </w:pPr>
      <w:r>
        <w:t xml:space="preserve">Let students play through the debrief. Encourage use of the three in-game guides (click the section emblems: Incoming Tips, Text Search, Reverse Image Search) and the taped checklist on the evidence board. Do not rescue students from a level restart — the retry is the mastery mechanic, and the level report tells them exactly which technique beat them.</w:t>
      </w:r>
    </w:p>
    <w:p>
      <w:pPr>
        <w:pStyle w:val="Heading2"/>
      </w:pPr>
      <w:r>
        <w:t xml:space="preserve">Debrief (10–15 min)</w:t>
      </w:r>
    </w:p>
    <w:p>
      <w:pPr>
        <w:pStyle w:val="ListParagraph"/>
        <w:numPr>
          <w:ilvl w:val="0"/>
          <w:numId w:val="2"/>
        </w:numPr>
        <w:spacing w:after="60"/>
      </w:pPr>
      <w:r>
        <w:t xml:space="preserve">Badge Case: which badges did you earn? Which card is grey — and what does its back teach?</w:t>
      </w:r>
    </w:p>
    <w:p>
      <w:pPr>
        <w:pStyle w:val="ListParagraph"/>
        <w:numPr>
          <w:ilvl w:val="0"/>
          <w:numId w:val="2"/>
        </w:numPr>
        <w:spacing w:after="60"/>
      </w:pPr>
      <w:r>
        <w:t xml:space="preserve">Which tip fooled you, and what evidence would have saved you?</w:t>
      </w:r>
    </w:p>
    <w:p>
      <w:pPr>
        <w:pStyle w:val="ListParagraph"/>
        <w:numPr>
          <w:ilvl w:val="0"/>
          <w:numId w:val="2"/>
        </w:numPr>
        <w:spacing w:after="60"/>
      </w:pPr>
      <w:r>
        <w:t xml:space="preserve">'Silence is a clue': when did the ABSENCE of coverage prove something?</w:t>
      </w:r>
    </w:p>
    <w:p>
      <w:pPr>
        <w:pStyle w:val="ListParagraph"/>
        <w:numPr>
          <w:ilvl w:val="0"/>
          <w:numId w:val="2"/>
        </w:numPr>
        <w:spacing w:after="60"/>
      </w:pPr>
      <w:r>
        <w:t xml:space="preserve">The footballer case: what is the difference between 'a test happened' and 'the test was positive'?</w:t>
      </w:r>
    </w:p>
    <w:p>
      <w:pPr>
        <w:pStyle w:val="ListParagraph"/>
        <w:numPr>
          <w:ilvl w:val="0"/>
          <w:numId w:val="2"/>
        </w:numPr>
        <w:spacing w:after="60"/>
      </w:pPr>
      <w:r>
        <w:t xml:space="preserve">The convoy case: one two-year-old advertisement became tonight's invasion rumour. Who benefits from your click?</w:t>
      </w:r>
    </w:p>
    <w:p>
      <w:pPr>
        <w:pStyle w:val="ListParagraph"/>
        <w:numPr>
          <w:ilvl w:val="0"/>
          <w:numId w:val="2"/>
        </w:numPr>
        <w:spacing w:after="60"/>
      </w:pPr>
      <w:r>
        <w:t xml:space="preserve">The storming case: the photo was real — so what was the lie? (The crop. Context lives at the edges of the frame.)</w:t>
      </w:r>
    </w:p>
    <w:p>
      <w:pPr>
        <w:pStyle w:val="ListParagraph"/>
        <w:numPr>
          <w:ilvl w:val="0"/>
          <w:numId w:val="2"/>
        </w:numPr>
        <w:spacing w:after="60"/>
      </w:pPr>
      <w:r>
        <w:t xml:space="preserve">When did a story make you FEEL strongly — and what does the game say your feelings are? (The target.)</w:t>
      </w:r>
    </w:p>
    <w:p>
      <w:pPr>
        <w:pStyle w:val="Heading1"/>
      </w:pPr>
      <w:r>
        <w:t xml:space="preserve">5. The take-home artifacts</w:t>
      </w:r>
    </w:p>
    <w:p>
      <w:pPr>
        <w:spacing w:after="120"/>
      </w:pPr>
      <w:r>
        <w:t xml:space="preserve">Each student can download an Applicant Report (press card) at the debrief: their verdict ledger, every badge with its explanation, and areas for improvement. It works as an exit ticket, a portfolio piece, or the basis of a short written reflection ('Pick one badge you did NOT earn and explain the technique in your own words').</w:t>
      </w:r>
    </w:p>
    <w:p>
      <w:pPr>
        <w:pStyle w:val="Heading1"/>
      </w:pPr>
      <w:r>
        <w:t xml:space="preserve">6. Technique glossary — game term to classroom language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E9E6DC" w:val="clear"/>
            <w:tcMar>
              <w:top w:type="dxa" w:w="60"/>
              <w:left w:type="dxa" w:w="100"/>
              <w:bottom w:type="dxa" w:w="60"/>
              <w:right w:type="dxa" w:w="100"/>
            </w:tcMar>
          </w:tcPr>
          <w:p>
            <w:r>
              <w:rPr>
                <w:b/>
                <w:bCs/>
                <w:sz w:val="19"/>
                <w:szCs w:val="19"/>
              </w:rPr>
              <w:t xml:space="preserve">Badge</w:t>
            </w:r>
          </w:p>
        </w:tc>
        <w:tc>
          <w:tcPr>
            <w:tcW w:type="dxa" w:w="6600"/>
            <w:shd w:fill="E9E6DC" w:val="clear"/>
            <w:tcMar>
              <w:top w:type="dxa" w:w="60"/>
              <w:left w:type="dxa" w:w="100"/>
              <w:bottom w:type="dxa" w:w="60"/>
              <w:right w:type="dxa" w:w="100"/>
            </w:tcMar>
          </w:tcPr>
          <w:p>
            <w:r>
              <w:rPr>
                <w:b/>
                <w:bCs/>
                <w:sz w:val="19"/>
                <w:szCs w:val="19"/>
              </w:rPr>
              <w:t xml:space="preserve">Plain-language meaning</w:t>
            </w:r>
          </w:p>
        </w:tc>
      </w:tr>
      <w:tr>
        <w:tc>
          <w:tcPr>
            <w:tcW w:type="dxa" w:w="2600"/>
            <w:tcMar>
              <w:top w:type="dxa" w:w="60"/>
              <w:left w:type="dxa" w:w="100"/>
              <w:bottom w:type="dxa" w:w="60"/>
              <w:right w:type="dxa" w:w="100"/>
            </w:tcMar>
          </w:tcPr>
          <w:p>
            <w:r>
              <w:rPr>
                <w:b/>
                <w:bCs/>
                <w:sz w:val="19"/>
                <w:szCs w:val="19"/>
              </w:rPr>
              <w:t xml:space="preserve">Manipulated</w:t>
            </w:r>
          </w:p>
        </w:tc>
        <w:tc>
          <w:tcPr>
            <w:tcW w:type="dxa" w:w="6600"/>
            <w:tcMar>
              <w:top w:type="dxa" w:w="60"/>
              <w:left w:type="dxa" w:w="100"/>
              <w:bottom w:type="dxa" w:w="60"/>
              <w:right w:type="dxa" w:w="100"/>
            </w:tcMar>
          </w:tcPr>
          <w:p>
            <w:r>
              <w:rPr>
                <w:b w:val="false"/>
                <w:bCs w:val="false"/>
                <w:sz w:val="19"/>
                <w:szCs w:val="19"/>
              </w:rPr>
              <w:t xml:space="preserve">The picture was edited — or entirely made by AI.</w:t>
            </w:r>
          </w:p>
        </w:tc>
      </w:tr>
      <w:tr>
        <w:tc>
          <w:tcPr>
            <w:tcW w:type="dxa" w:w="2600"/>
            <w:tcMar>
              <w:top w:type="dxa" w:w="60"/>
              <w:left w:type="dxa" w:w="100"/>
              <w:bottom w:type="dxa" w:w="60"/>
              <w:right w:type="dxa" w:w="100"/>
            </w:tcMar>
          </w:tcPr>
          <w:p>
            <w:r>
              <w:rPr>
                <w:b/>
                <w:bCs/>
                <w:sz w:val="19"/>
                <w:szCs w:val="19"/>
              </w:rPr>
              <w:t xml:space="preserve">Out of context</w:t>
            </w:r>
          </w:p>
        </w:tc>
        <w:tc>
          <w:tcPr>
            <w:tcW w:type="dxa" w:w="6600"/>
            <w:tcMar>
              <w:top w:type="dxa" w:w="60"/>
              <w:left w:type="dxa" w:w="100"/>
              <w:bottom w:type="dxa" w:w="60"/>
              <w:right w:type="dxa" w:w="100"/>
            </w:tcMar>
          </w:tcPr>
          <w:p>
            <w:r>
              <w:rPr>
                <w:b w:val="false"/>
                <w:bCs w:val="false"/>
                <w:sz w:val="19"/>
                <w:szCs w:val="19"/>
              </w:rPr>
              <w:t xml:space="preserve">Real picture, wrong story. Check where and when it FIRST appeared.</w:t>
            </w:r>
          </w:p>
        </w:tc>
      </w:tr>
      <w:tr>
        <w:tc>
          <w:tcPr>
            <w:tcW w:type="dxa" w:w="2600"/>
            <w:tcMar>
              <w:top w:type="dxa" w:w="60"/>
              <w:left w:type="dxa" w:w="100"/>
              <w:bottom w:type="dxa" w:w="60"/>
              <w:right w:type="dxa" w:w="100"/>
            </w:tcMar>
          </w:tcPr>
          <w:p>
            <w:r>
              <w:rPr>
                <w:b/>
                <w:bCs/>
                <w:sz w:val="19"/>
                <w:szCs w:val="19"/>
              </w:rPr>
              <w:t xml:space="preserve">Conspiracy</w:t>
            </w:r>
          </w:p>
        </w:tc>
        <w:tc>
          <w:tcPr>
            <w:tcW w:type="dxa" w:w="6600"/>
            <w:tcMar>
              <w:top w:type="dxa" w:w="60"/>
              <w:left w:type="dxa" w:w="100"/>
              <w:bottom w:type="dxa" w:w="60"/>
              <w:right w:type="dxa" w:w="100"/>
            </w:tcMar>
          </w:tcPr>
          <w:p>
            <w:r>
              <w:rPr>
                <w:b w:val="false"/>
                <w:bCs w:val="false"/>
                <w:sz w:val="19"/>
                <w:szCs w:val="19"/>
              </w:rPr>
              <w:t xml:space="preserve">A hidden-hand explanation glued onto ordinary footage.</w:t>
            </w:r>
          </w:p>
        </w:tc>
      </w:tr>
      <w:tr>
        <w:tc>
          <w:tcPr>
            <w:tcW w:type="dxa" w:w="2600"/>
            <w:tcMar>
              <w:top w:type="dxa" w:w="60"/>
              <w:left w:type="dxa" w:w="100"/>
              <w:bottom w:type="dxa" w:w="60"/>
              <w:right w:type="dxa" w:w="100"/>
            </w:tcMar>
          </w:tcPr>
          <w:p>
            <w:r>
              <w:rPr>
                <w:b/>
                <w:bCs/>
                <w:sz w:val="19"/>
                <w:szCs w:val="19"/>
              </w:rPr>
              <w:t xml:space="preserve">Unverified</w:t>
            </w:r>
          </w:p>
        </w:tc>
        <w:tc>
          <w:tcPr>
            <w:tcW w:type="dxa" w:w="6600"/>
            <w:tcMar>
              <w:top w:type="dxa" w:w="60"/>
              <w:left w:type="dxa" w:w="100"/>
              <w:bottom w:type="dxa" w:w="60"/>
              <w:right w:type="dxa" w:w="100"/>
            </w:tcMar>
          </w:tcPr>
          <w:p>
            <w:r>
              <w:rPr>
                <w:b w:val="false"/>
                <w:bCs w:val="false"/>
                <w:sz w:val="19"/>
                <w:szCs w:val="19"/>
              </w:rPr>
              <w:t xml:space="preserve">'Sources say' with no source you can check. A claim is not a fact.</w:t>
            </w:r>
          </w:p>
        </w:tc>
      </w:tr>
      <w:tr>
        <w:tc>
          <w:tcPr>
            <w:tcW w:type="dxa" w:w="2600"/>
            <w:tcMar>
              <w:top w:type="dxa" w:w="60"/>
              <w:left w:type="dxa" w:w="100"/>
              <w:bottom w:type="dxa" w:w="60"/>
              <w:right w:type="dxa" w:w="100"/>
            </w:tcMar>
          </w:tcPr>
          <w:p>
            <w:r>
              <w:rPr>
                <w:b/>
                <w:bCs/>
                <w:sz w:val="19"/>
                <w:szCs w:val="19"/>
              </w:rPr>
              <w:t xml:space="preserve">Polarization</w:t>
            </w:r>
          </w:p>
        </w:tc>
        <w:tc>
          <w:tcPr>
            <w:tcW w:type="dxa" w:w="6600"/>
            <w:tcMar>
              <w:top w:type="dxa" w:w="60"/>
              <w:left w:type="dxa" w:w="100"/>
              <w:bottom w:type="dxa" w:w="60"/>
              <w:right w:type="dxa" w:w="100"/>
            </w:tcMar>
          </w:tcPr>
          <w:p>
            <w:r>
              <w:rPr>
                <w:b w:val="false"/>
                <w:bCs w:val="false"/>
                <w:sz w:val="19"/>
                <w:szCs w:val="19"/>
              </w:rPr>
              <w:t xml:space="preserve">An enemy written into a harmless scene: us versus them.</w:t>
            </w:r>
          </w:p>
        </w:tc>
      </w:tr>
      <w:tr>
        <w:tc>
          <w:tcPr>
            <w:tcW w:type="dxa" w:w="2600"/>
            <w:tcMar>
              <w:top w:type="dxa" w:w="60"/>
              <w:left w:type="dxa" w:w="100"/>
              <w:bottom w:type="dxa" w:w="60"/>
              <w:right w:type="dxa" w:w="100"/>
            </w:tcMar>
          </w:tcPr>
          <w:p>
            <w:r>
              <w:rPr>
                <w:b/>
                <w:bCs/>
                <w:sz w:val="19"/>
                <w:szCs w:val="19"/>
              </w:rPr>
              <w:t xml:space="preserve">Fabricated</w:t>
            </w:r>
          </w:p>
        </w:tc>
        <w:tc>
          <w:tcPr>
            <w:tcW w:type="dxa" w:w="6600"/>
            <w:tcMar>
              <w:top w:type="dxa" w:w="60"/>
              <w:left w:type="dxa" w:w="100"/>
              <w:bottom w:type="dxa" w:w="60"/>
              <w:right w:type="dxa" w:w="100"/>
            </w:tcMar>
          </w:tcPr>
          <w:p>
            <w:r>
              <w:rPr>
                <w:b w:val="false"/>
                <w:bCs w:val="false"/>
                <w:sz w:val="19"/>
                <w:szCs w:val="19"/>
              </w:rPr>
              <w:t xml:space="preserve">The event never happened at all (the BAD DOG 'death').</w:t>
            </w:r>
          </w:p>
        </w:tc>
      </w:tr>
      <w:tr>
        <w:tc>
          <w:tcPr>
            <w:tcW w:type="dxa" w:w="2600"/>
            <w:tcMar>
              <w:top w:type="dxa" w:w="60"/>
              <w:left w:type="dxa" w:w="100"/>
              <w:bottom w:type="dxa" w:w="60"/>
              <w:right w:type="dxa" w:w="100"/>
            </w:tcMar>
          </w:tcPr>
          <w:p>
            <w:r>
              <w:rPr>
                <w:b/>
                <w:bCs/>
                <w:sz w:val="19"/>
                <w:szCs w:val="19"/>
              </w:rPr>
              <w:t xml:space="preserve">Emotion ≠ false</w:t>
            </w:r>
          </w:p>
        </w:tc>
        <w:tc>
          <w:tcPr>
            <w:tcW w:type="dxa" w:w="6600"/>
            <w:tcMar>
              <w:top w:type="dxa" w:w="60"/>
              <w:left w:type="dxa" w:w="100"/>
              <w:bottom w:type="dxa" w:w="60"/>
              <w:right w:type="dxa" w:w="100"/>
            </w:tcMar>
          </w:tcPr>
          <w:p>
            <w:r>
              <w:rPr>
                <w:b w:val="false"/>
                <w:bCs w:val="false"/>
                <w:sz w:val="19"/>
                <w:szCs w:val="19"/>
              </w:rPr>
              <w:t xml:space="preserve">Scary and sad can still be TRUE. Feelings tell you to check, not to reject.</w:t>
            </w:r>
          </w:p>
        </w:tc>
      </w:tr>
      <w:tr>
        <w:tc>
          <w:tcPr>
            <w:tcW w:type="dxa" w:w="2600"/>
            <w:tcMar>
              <w:top w:type="dxa" w:w="60"/>
              <w:left w:type="dxa" w:w="100"/>
              <w:bottom w:type="dxa" w:w="60"/>
              <w:right w:type="dxa" w:w="100"/>
            </w:tcMar>
          </w:tcPr>
          <w:p>
            <w:r>
              <w:rPr>
                <w:b/>
                <w:bCs/>
                <w:sz w:val="19"/>
                <w:szCs w:val="19"/>
              </w:rPr>
              <w:t xml:space="preserve">Ad-Spotter</w:t>
            </w:r>
          </w:p>
        </w:tc>
        <w:tc>
          <w:tcPr>
            <w:tcW w:type="dxa" w:w="6600"/>
            <w:tcMar>
              <w:top w:type="dxa" w:w="60"/>
              <w:left w:type="dxa" w:w="100"/>
              <w:bottom w:type="dxa" w:w="60"/>
              <w:right w:type="dxa" w:w="100"/>
            </w:tcMar>
          </w:tcPr>
          <w:p>
            <w:r>
              <w:rPr>
                <w:b w:val="false"/>
                <w:bCs w:val="false"/>
                <w:sz w:val="19"/>
                <w:szCs w:val="19"/>
              </w:rPr>
              <w:t xml:space="preserve">Search engines sell the top of the page. Ads dressed as results.</w:t>
            </w:r>
          </w:p>
        </w:tc>
      </w:tr>
    </w:tbl>
    <w:p>
      <w:pPr>
        <w:pStyle w:val="Heading1"/>
      </w:pPr>
      <w:r>
        <w:t xml:space="preserve">7. Using the game in research (optional)</w:t>
      </w:r>
    </w:p>
    <w:p>
      <w:pPr>
        <w:spacing w:after="120"/>
      </w:pPr>
      <w:r>
        <w:t xml:space="preserve">The project includes a pre/post discernment instrument (RESEARCH_INSTRUMENT.md) with two parallel 8-item forms in the game's own tip format. For consenting study classes, adding ?research=1 to the game address shows a 'Research log (JSON)' button on the debrief: one click downloads an anonymous file of the student's decisions (technique, level, verdict, correctness, tool use, evidence pins, timestamps). No names, no accounts, nothing leaves the device without the student clicking. Follow your institution's ethics procedures; the log is designed to be analyzable at technique level, comparable to Axelsson et al. (2024).</w:t>
      </w:r>
    </w:p>
    <w:p>
      <w:pPr>
        <w:pStyle w:val="Heading1"/>
      </w:pPr>
      <w:r>
        <w:t xml:space="preserve">8. Differentiation and accessibility</w:t>
      </w:r>
    </w:p>
    <w:p>
      <w:pPr>
        <w:pStyle w:val="ListParagraph"/>
        <w:numPr>
          <w:ilvl w:val="0"/>
          <w:numId w:val="2"/>
        </w:numPr>
        <w:spacing w:after="60"/>
      </w:pPr>
      <w:r>
        <w:t xml:space="preserve">Struggling readers: play in pairs with a 'read aloud, decide together' rule; the guides are short and concrete.</w:t>
      </w:r>
    </w:p>
    <w:p>
      <w:pPr>
        <w:pStyle w:val="ListParagraph"/>
        <w:numPr>
          <w:ilvl w:val="0"/>
          <w:numId w:val="2"/>
        </w:numPr>
        <w:spacing w:after="60"/>
      </w:pPr>
      <w:r>
        <w:t xml:space="preserve">Fast finishers: replay for the Master Badge (all eight), or challenge them to get politely fired ON PURPOSE and explain each mistake — surprisingly instructive.</w:t>
      </w:r>
    </w:p>
    <w:p>
      <w:pPr>
        <w:pStyle w:val="ListParagraph"/>
        <w:numPr>
          <w:ilvl w:val="0"/>
          <w:numId w:val="2"/>
        </w:numPr>
        <w:spacing w:after="60"/>
      </w:pPr>
      <w:r>
        <w:t xml:space="preserve">Motion sensitivity: the game respects the system 'reduce motion' setting; animations switch off automatically.</w:t>
      </w:r>
    </w:p>
    <w:p>
      <w:pPr>
        <w:pStyle w:val="ListParagraph"/>
        <w:numPr>
          <w:ilvl w:val="0"/>
          <w:numId w:val="2"/>
        </w:numPr>
        <w:spacing w:after="60"/>
      </w:pPr>
      <w:r>
        <w:t xml:space="preserve">Language classrooms: the four languages make the game usable in modern-language teaching — play in the target language, debrief in the classroom language.</w:t>
      </w:r>
    </w:p>
    <w:p>
      <w:pPr>
        <w:pStyle w:val="Heading1"/>
      </w:pPr>
      <w:r>
        <w:t xml:space="preserve">9. Troubleshooting</w:t>
      </w:r>
    </w:p>
    <w:p>
      <w:pPr>
        <w:pStyle w:val="ListParagraph"/>
        <w:numPr>
          <w:ilvl w:val="0"/>
          <w:numId w:val="2"/>
        </w:numPr>
        <w:spacing w:after="60"/>
      </w:pPr>
      <w:r>
        <w:t xml:space="preserve">Old version or odd layout → hard refresh: Ctrl+Shift+R (Cmd+Shift+R on Mac).</w:t>
      </w:r>
    </w:p>
    <w:p>
      <w:pPr>
        <w:pStyle w:val="ListParagraph"/>
        <w:numPr>
          <w:ilvl w:val="0"/>
          <w:numId w:val="2"/>
        </w:numPr>
        <w:spacing w:after="60"/>
      </w:pPr>
      <w:r>
        <w:t xml:space="preserve">A picture shows a small placeholder symbol → note the file path shown and report it to the project team.</w:t>
      </w:r>
    </w:p>
    <w:p>
      <w:pPr>
        <w:pStyle w:val="ListParagraph"/>
        <w:numPr>
          <w:ilvl w:val="0"/>
          <w:numId w:val="2"/>
        </w:numPr>
        <w:spacing w:after="60"/>
      </w:pPr>
      <w:r>
        <w:t xml:space="preserve">No sound → check the mute switch in the top bar, then the device volume; sound starts after the first click.</w:t>
      </w:r>
    </w:p>
    <w:p>
      <w:pPr>
        <w:pStyle w:val="ListParagraph"/>
        <w:numPr>
          <w:ilvl w:val="0"/>
          <w:numId w:val="2"/>
        </w:numPr>
        <w:spacing w:after="60"/>
      </w:pPr>
      <w:r>
        <w:t xml:space="preserve">A student closed the tab mid-game → progress is not saved by design; a fresh run takes 20 minutes and repetition is pedagogically fine.</w:t>
      </w:r>
    </w:p>
    <w:p>
      <w:pPr>
        <w:pStyle w:val="Heading1"/>
      </w:pPr>
      <w:r>
        <w:t xml:space="preserve">10. The learning design — why the game teaches the way it does</w:t>
      </w:r>
    </w:p>
    <w:p>
      <w:pPr>
        <w:spacing w:after="120"/>
      </w:pPr>
      <w:r>
        <w:t xml:space="preserve">The game's structure follows James Paul Gee's principles of learning in good games (Gee 2003; 2005). Knowing them helps you teach WITH the design rather than around it:</w:t>
      </w:r>
    </w:p>
    <w:p>
      <w:pPr>
        <w:pStyle w:val="ListParagraph"/>
        <w:numPr>
          <w:ilvl w:val="0"/>
          <w:numId w:val="2"/>
        </w:numPr>
        <w:spacing w:after="60"/>
      </w:pPr>
      <w:r>
        <w:t xml:space="preserve">Identity: students are not doing an exercise — they are a trial applicant with a press card, judged by a named editor. Let the fiction stand; it is doing motivational work.</w:t>
      </w:r>
    </w:p>
    <w:p>
      <w:pPr>
        <w:pStyle w:val="ListParagraph"/>
        <w:numPr>
          <w:ilvl w:val="0"/>
          <w:numId w:val="2"/>
        </w:numPr>
        <w:spacing w:after="60"/>
      </w:pPr>
      <w:r>
        <w:t xml:space="preserve">Safe risk (psychosocial moratorium): the retry system exists so students can be brave. A failed level restores everything and names the technique that won. This is why we ask you not to rescue them from restarts.</w:t>
      </w:r>
    </w:p>
    <w:p>
      <w:pPr>
        <w:pStyle w:val="ListParagraph"/>
        <w:numPr>
          <w:ilvl w:val="0"/>
          <w:numId w:val="2"/>
        </w:numPr>
        <w:spacing w:after="60"/>
      </w:pPr>
      <w:r>
        <w:t xml:space="preserve">Cycles of expertise: techniques return in harder forms (a crude photo edit at Level 1 becomes a fully AI-generated image at Level 3). A student who struggles at Level 3 is not regressing — the game has deliberately destabilized a skill to deepen it.</w:t>
      </w:r>
    </w:p>
    <w:p>
      <w:pPr>
        <w:pStyle w:val="ListParagraph"/>
        <w:numPr>
          <w:ilvl w:val="0"/>
          <w:numId w:val="2"/>
        </w:numPr>
        <w:spacing w:after="60"/>
      </w:pPr>
      <w:r>
        <w:t xml:space="preserve">Just-in-time information: almost nothing is taught up front, on purpose. The guides open from the station emblems when wanted; the checklist sits on the board at the moment of decision. Resist the urge to pre-teach the techniques — the game hands each one over exactly when it is needed.</w:t>
      </w:r>
    </w:p>
    <w:p>
      <w:pPr>
        <w:pStyle w:val="ListParagraph"/>
        <w:numPr>
          <w:ilvl w:val="0"/>
          <w:numId w:val="2"/>
        </w:numPr>
        <w:spacing w:after="60"/>
      </w:pPr>
      <w:r>
        <w:t xml:space="preserve">Situated vocabulary: words like 'out of context' or 'unverified' get their meaning from a lived case first and a definition second. In the debrief, ask students to explain a badge USING its case — that is the transfer moment.</w:t>
      </w:r>
    </w:p>
    <w:p>
      <w:pPr>
        <w:pStyle w:val="ListParagraph"/>
        <w:numPr>
          <w:ilvl w:val="0"/>
          <w:numId w:val="2"/>
        </w:numPr>
        <w:spacing w:after="60"/>
      </w:pPr>
      <w:r>
        <w:t xml:space="preserve">Performance before competence: students stamp verdicts from the first tip, before they could pass any quiz. Competence grows out of scaffolded doing — which is why pair-play talk is so valuable.</w:t>
      </w:r>
    </w:p>
    <w:p>
      <w:pPr>
        <w:spacing w:after="120"/>
      </w:pPr>
      <w:r>
        <w:t xml:space="preserve">A fuller principle-by-principle mapping is in GEE_ALIGNMENT.md in the project repository.</w:t>
      </w:r>
    </w:p>
    <w:p>
      <w:pPr>
        <w:pStyle w:val="Heading1"/>
      </w:pPr>
      <w:r>
        <w:t xml:space="preserve">11. The research behind the design</w:t>
      </w:r>
    </w:p>
    <w:p>
      <w:pPr>
        <w:spacing w:after="120"/>
      </w:pPr>
      <w:r>
        <w:t xml:space="preserve">Lateral reading and click restraint: Wineburg &amp; McGrew (2019). Technique-based inoculation through play: Roozenbeek &amp; van der Linden (2019); classroom evidence with teenagers: Axelsson, Nygren, Roozenbeek &amp; van der Linden (2024). Information influence and societal resilience: Falkheimer &amp; Pamment (2026, MPF). Identity-targeted disinformation: Hedling (2025). Documented campaign anatomy (astroturfing, domestic–international linkage): Ranstorp &amp; Ahlerup (2023). Threat context for attacks on media institutions: Säkerhetspolisen, Lägesbild 2025–2026. Boundary reference on hate speech (which the game deliberately stops short of reproducing): Siegel (2020). A fuller mapping is in RESEARCH_ALIGNMENT.md.</w:t>
      </w:r>
    </w:p>
    <w:p>
      <w:pPr>
        <w:spacing w:after="120"/>
      </w:pPr>
      <w:r>
        <w:t xml:space="preserve"> </w:t>
      </w:r>
    </w:p>
    <w:p>
      <w:pPr>
        <w:pBdr>
          <w:top w:val="single" w:color="AAAAAA" w:sz="4"/>
        </w:pBdr>
        <w:spacing w:before="200"/>
      </w:pPr>
      <w:r>
        <w:rPr>
          <w:i/>
          <w:iCs/>
          <w:color w:val="5B6377"/>
          <w:sz w:val="18"/>
          <w:szCs w:val="18"/>
        </w:rPr>
        <w:t xml:space="preserve">City Newsroom · Level 2 of the SOURCE trilogy · This compendium accompanies the game version of July 2026.</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40" w:before="280"/>
    </w:pPr>
    <w:rPr>
      <w:b/>
      <w:bCs/>
      <w:color w:val="20293A"/>
      <w:sz w:val="34"/>
      <w:szCs w:val="34"/>
    </w:rPr>
  </w:style>
  <w:style w:type="paragraph" w:styleId="Heading2">
    <w:name w:val="Heading 2"/>
    <w:basedOn w:val="Normal"/>
    <w:pPr>
      <w:spacing w:after="110" w:before="220"/>
    </w:pPr>
    <w:rPr>
      <w:b/>
      <w:bCs/>
      <w:color w:val="2029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2026-07-25T07:58:16.042Z</dcterms:created>
  <dcterms:modified xsi:type="dcterms:W3CDTF">2026-07-25T07:58:16.055Z</dcterms:modified>
</cp:coreProperties>
</file>

<file path=docProps/custom.xml><?xml version="1.0" encoding="utf-8"?>
<Properties xmlns="http://schemas.openxmlformats.org/officeDocument/2006/custom-properties" xmlns:vt="http://schemas.openxmlformats.org/officeDocument/2006/docPropsVTypes"/>
</file>