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(weak)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 (weak)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Botium Toys should implement access control policies enforcing least privilege and separation of duties to minimize insider threat risk. Install an Intrusion Detection System (IDS) and develop comprehensive disaster recovery and backup plans. Replace nominal password policies with industry-standard complexity rules and deploy a centralized password management system. Finally, begin encrypting customer data, especially cardholder data, to meet PCI DSS standards, and formally classify/inventory all data to align with GDPR and SOC frameworks.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