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A6A4B">
      <w:pPr>
        <w:pStyle w:val="166"/>
      </w:pPr>
      <w:r>
        <w:rPr>
          <w:rFonts w:ascii="Times New Roman" w:hAnsi="Times New Roman" w:eastAsia="宋体"/>
          <w:b/>
          <w:color w:val="1F4E79"/>
          <w:sz w:val="40"/>
        </w:rPr>
        <w:t>Kaggle 使用说明书</w:t>
      </w:r>
    </w:p>
    <w:p w14:paraId="6455977D">
      <w:pPr>
        <w:spacing w:after="160"/>
        <w:jc w:val="center"/>
      </w:pPr>
      <w:r>
        <w:rPr>
          <w:rFonts w:ascii="Times New Roman" w:hAnsi="Times New Roman" w:eastAsia="宋体"/>
          <w:b w:val="0"/>
          <w:color w:val="5A5A5A"/>
          <w:sz w:val="21"/>
        </w:rPr>
        <w:t>——注册、数据上传、GPU 开启、版本保存与结果下载——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BEF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EEF4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C26BB5A">
            <w:pPr>
              <w:pStyle w:val="168"/>
              <w:rPr>
                <w:rFonts w:ascii="Times New Roman" w:hAnsi="Times New Roman" w:eastAsia="宋体"/>
                <w:b w:val="0"/>
              </w:rPr>
            </w:pPr>
            <w:r>
              <w:rPr>
                <w:rFonts w:ascii="Times New Roman" w:hAnsi="Times New Roman" w:eastAsia="宋体"/>
                <w:b/>
              </w:rPr>
              <w:t>平台网址：</w:t>
            </w:r>
            <w:r>
              <w:rPr>
                <w:rFonts w:ascii="Times New Roman" w:hAnsi="Times New Roman" w:eastAsia="宋体"/>
                <w:b w:val="0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</w:rPr>
              <w:instrText xml:space="preserve"> HYPERLINK "https://www.kaggle.com/" </w:instrText>
            </w:r>
            <w:r>
              <w:rPr>
                <w:rFonts w:ascii="Times New Roman" w:hAnsi="Times New Roman" w:eastAsia="宋体"/>
                <w:b w:val="0"/>
              </w:rPr>
              <w:fldChar w:fldCharType="separate"/>
            </w:r>
            <w:r>
              <w:rPr>
                <w:rStyle w:val="134"/>
                <w:rFonts w:ascii="Times New Roman" w:hAnsi="Times New Roman" w:eastAsia="宋体"/>
                <w:b w:val="0"/>
              </w:rPr>
              <w:t>https://www.</w:t>
            </w:r>
            <w:bookmarkStart w:id="0" w:name="_GoBack"/>
            <w:bookmarkEnd w:id="0"/>
            <w:r>
              <w:rPr>
                <w:rStyle w:val="134"/>
                <w:rFonts w:ascii="Times New Roman" w:hAnsi="Times New Roman" w:eastAsia="宋体"/>
                <w:b w:val="0"/>
              </w:rPr>
              <w:t>kaggle.com/</w:t>
            </w:r>
            <w:r>
              <w:rPr>
                <w:rFonts w:ascii="Times New Roman" w:hAnsi="Times New Roman" w:eastAsia="宋体"/>
                <w:b w:val="0"/>
              </w:rPr>
              <w:fldChar w:fldCharType="end"/>
            </w:r>
          </w:p>
          <w:p w14:paraId="726E5FC6">
            <w:pPr>
              <w:pStyle w:val="168"/>
              <w:rPr>
                <w:rFonts w:hint="eastAsia" w:ascii="Times New Roman" w:hAnsi="Times New Roman" w:eastAsia="宋体"/>
                <w:b w:val="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lang w:val="en-US" w:eastAsia="zh-CN"/>
              </w:rPr>
              <w:t>代码网址：</w:t>
            </w:r>
            <w:r>
              <w:rPr>
                <w:rFonts w:hint="eastAsia" w:ascii="Times New Roman" w:hAnsi="Times New Roman" w:eastAsia="宋体"/>
                <w:b w:val="0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/>
                <w:b w:val="0"/>
                <w:lang w:val="en-US" w:eastAsia="zh-CN"/>
              </w:rPr>
              <w:instrText xml:space="preserve"> HYPERLINK "https://github.com/StevenDeng4568/unet-kaggle" </w:instrText>
            </w:r>
            <w:r>
              <w:rPr>
                <w:rFonts w:hint="eastAsia" w:ascii="Times New Roman" w:hAnsi="Times New Roman" w:eastAsia="宋体"/>
                <w:b w:val="0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Times New Roman" w:hAnsi="Times New Roman" w:eastAsia="宋体"/>
                <w:b w:val="0"/>
                <w:lang w:val="en-US" w:eastAsia="zh-CN"/>
              </w:rPr>
              <w:t>https://github.com/StevenDeng4568/unet-kaggle</w:t>
            </w:r>
            <w:r>
              <w:rPr>
                <w:rFonts w:hint="eastAsia" w:ascii="Times New Roman" w:hAnsi="Times New Roman" w:eastAsia="宋体"/>
                <w:b w:val="0"/>
                <w:lang w:val="en-US" w:eastAsia="zh-CN"/>
              </w:rPr>
              <w:fldChar w:fldCharType="end"/>
            </w:r>
          </w:p>
          <w:p w14:paraId="75B0DA0B">
            <w:pPr>
              <w:pStyle w:val="168"/>
              <w:rPr>
                <w:rFonts w:hint="default" w:ascii="Times New Roman" w:hAnsi="Times New Roman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lang w:val="en-US" w:eastAsia="zh-CN"/>
              </w:rPr>
              <w:t>数据集网址：</w:t>
            </w:r>
            <w:r>
              <w:rPr>
                <w:rStyle w:val="136"/>
                <w:rFonts w:hint="eastAsia" w:ascii="Times New Roman" w:hAnsi="Times New Roman" w:eastAsia="宋体"/>
                <w:b w:val="0"/>
                <w:color w:val="0000FF"/>
                <w:lang w:val="en-US" w:eastAsia="zh-CN"/>
              </w:rPr>
              <w:fldChar w:fldCharType="begin"/>
            </w:r>
            <w:r>
              <w:rPr>
                <w:rStyle w:val="136"/>
                <w:rFonts w:hint="eastAsia" w:ascii="Times New Roman" w:hAnsi="Times New Roman" w:eastAsia="宋体"/>
                <w:b w:val="0"/>
                <w:color w:val="0000FF"/>
                <w:lang w:val="en-US" w:eastAsia="zh-CN"/>
              </w:rPr>
              <w:instrText xml:space="preserve"> HYPERLINK "https://www.kaggle.com/datasets/steven4568/crack-data-class" </w:instrText>
            </w:r>
            <w:r>
              <w:rPr>
                <w:rStyle w:val="136"/>
                <w:rFonts w:hint="eastAsia" w:ascii="Times New Roman" w:hAnsi="Times New Roman" w:eastAsia="宋体"/>
                <w:b w:val="0"/>
                <w:color w:val="0000FF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Times New Roman" w:hAnsi="Times New Roman" w:eastAsia="宋体"/>
                <w:b w:val="0"/>
                <w:color w:val="0000FF"/>
                <w:lang w:val="en-US" w:eastAsia="zh-CN"/>
              </w:rPr>
              <w:t>https://www.kaggle.com/datasets/steven4568/crack-data-class</w:t>
            </w:r>
            <w:r>
              <w:rPr>
                <w:rStyle w:val="136"/>
                <w:rFonts w:hint="eastAsia" w:ascii="Times New Roman" w:hAnsi="Times New Roman" w:eastAsia="宋体"/>
                <w:b w:val="0"/>
                <w:color w:val="0000FF"/>
                <w:lang w:val="en-US" w:eastAsia="zh-CN"/>
              </w:rPr>
              <w:fldChar w:fldCharType="end"/>
            </w:r>
          </w:p>
          <w:p w14:paraId="6219BC3B">
            <w:pPr>
              <w:pStyle w:val="168"/>
            </w:pPr>
            <w:r>
              <w:rPr>
                <w:rFonts w:ascii="Times New Roman" w:hAnsi="Times New Roman" w:eastAsia="宋体"/>
                <w:b/>
              </w:rPr>
              <w:t>适用说明：</w:t>
            </w:r>
            <w:r>
              <w:rPr>
                <w:rFonts w:ascii="Times New Roman" w:hAnsi="Times New Roman" w:eastAsia="宋体"/>
                <w:b w:val="0"/>
              </w:rPr>
              <w:t>本文档适用于使用 Kaggle Notebook 进行深度学习模型训练的基础操作。</w:t>
            </w:r>
          </w:p>
          <w:p w14:paraId="6EF879FE">
            <w:pPr>
              <w:pStyle w:val="168"/>
            </w:pPr>
            <w:r>
              <w:rPr>
                <w:rFonts w:ascii="Times New Roman" w:hAnsi="Times New Roman" w:eastAsia="宋体"/>
                <w:b/>
              </w:rPr>
              <w:t>使用特点：</w:t>
            </w:r>
            <w:r>
              <w:rPr>
                <w:rFonts w:ascii="Times New Roman" w:hAnsi="Times New Roman" w:eastAsia="宋体"/>
                <w:b w:val="0"/>
              </w:rPr>
              <w:t>Kaggle 主要提供在线运行环境，适合模型训练、调试与结果导出；若代码本身存在问题，通常仍需在本地完成修改后重新上传。</w:t>
            </w:r>
          </w:p>
          <w:p w14:paraId="7BB2BB9E">
            <w:pPr>
              <w:pStyle w:val="168"/>
            </w:pPr>
            <w:r>
              <w:rPr>
                <w:rFonts w:ascii="Times New Roman" w:hAnsi="Times New Roman" w:eastAsia="宋体"/>
                <w:b/>
              </w:rPr>
              <w:t>资源提示：</w:t>
            </w:r>
            <w:r>
              <w:rPr>
                <w:rFonts w:ascii="Times New Roman" w:hAnsi="Times New Roman" w:eastAsia="宋体"/>
                <w:b w:val="0"/>
              </w:rPr>
              <w:t>Kaggle 官方文档说明，免费 GPU 配额按周重置，通常为 30 小时；Notebook 可通过“Save &amp; Run All”生成独立版本继续运行。具体界面和资源类型以平台当时显示为准。</w:t>
            </w:r>
          </w:p>
        </w:tc>
      </w:tr>
    </w:tbl>
    <w:p w14:paraId="6A946856"/>
    <w:p w14:paraId="77A9F00F">
      <w:pPr>
        <w:pStyle w:val="3"/>
      </w:pPr>
      <w:r>
        <w:t>一、注册账号并完成手机号验证</w:t>
      </w:r>
    </w:p>
    <w:p w14:paraId="079C4F03">
      <w:pPr>
        <w:pStyle w:val="167"/>
      </w:pPr>
      <w:r>
        <w:rPr>
          <w:rFonts w:ascii="Times New Roman" w:hAnsi="Times New Roman" w:eastAsia="宋体"/>
          <w:b w:val="0"/>
        </w:rPr>
        <w:t>（1）打开 Kaggle 官网，点击右上角“Register”或“Sign Up”进行注册。可使用邮箱或其他支持的登录方式创建账号。</w:t>
      </w:r>
    </w:p>
    <w:p w14:paraId="5536A369">
      <w:pPr>
        <w:pStyle w:val="167"/>
      </w:pPr>
      <w:r>
        <w:rPr>
          <w:rFonts w:ascii="Times New Roman" w:hAnsi="Times New Roman" w:eastAsia="宋体"/>
          <w:b w:val="0"/>
        </w:rPr>
        <w:t>（2）注册完成后，点击页面右上角头像进入账户设置页面，找到手机验证区域，按提示完成手机号验证。</w:t>
      </w:r>
    </w:p>
    <w:p w14:paraId="715F608B">
      <w:pPr>
        <w:pStyle w:val="167"/>
      </w:pPr>
      <w:r>
        <w:rPr>
          <w:rFonts w:ascii="Times New Roman" w:hAnsi="Times New Roman" w:eastAsia="宋体"/>
          <w:b w:val="0"/>
        </w:rPr>
        <w:t>（3）完成验证后，方可正常使用 Kaggle 的部分加速计算资源。若收不到验证码，可检查地区、号码格式或稍后重试。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9DB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839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D833C">
            <w:pPr>
              <w:jc w:val="center"/>
            </w:pPr>
            <w:r>
              <w:drawing>
                <wp:inline distT="0" distB="0" distL="114300" distR="114300">
                  <wp:extent cx="1828800" cy="2461260"/>
                  <wp:effectExtent l="0" t="0" r="0" b="152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6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378EC">
      <w:pPr>
        <w:pStyle w:val="169"/>
      </w:pPr>
      <w:r>
        <w:rPr>
          <w:rFonts w:ascii="Times New Roman" w:hAnsi="Times New Roman" w:eastAsia="宋体"/>
          <w:b w:val="0"/>
          <w:color w:val="646464"/>
          <w:sz w:val="20"/>
        </w:rPr>
        <w:t>图1  Kaggle 注册页面</w:t>
      </w:r>
    </w:p>
    <w:p w14:paraId="38F0AF2E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806E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839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8AD8F">
            <w:pPr>
              <w:jc w:val="center"/>
            </w:pPr>
            <w:r>
              <w:drawing>
                <wp:inline distT="0" distB="0" distL="114300" distR="114300">
                  <wp:extent cx="5486400" cy="273431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B4540">
      <w:pPr>
        <w:pStyle w:val="169"/>
      </w:pPr>
      <w:r>
        <w:rPr>
          <w:rFonts w:ascii="Times New Roman" w:hAnsi="Times New Roman" w:eastAsia="宋体"/>
          <w:b w:val="0"/>
          <w:color w:val="646464"/>
          <w:sz w:val="20"/>
        </w:rPr>
        <w:t>图2  手机号验证页面</w:t>
      </w:r>
    </w:p>
    <w:p w14:paraId="74073F26">
      <w:pPr>
        <w:pStyle w:val="3"/>
      </w:pPr>
      <w:r>
        <w:t>二、上传数据集与代码</w:t>
      </w:r>
    </w:p>
    <w:p w14:paraId="33B3AE13">
      <w:pPr>
        <w:pStyle w:val="167"/>
      </w:pPr>
      <w:r>
        <w:rPr>
          <w:rFonts w:ascii="Times New Roman" w:hAnsi="Times New Roman" w:eastAsia="宋体"/>
          <w:b w:val="0"/>
        </w:rPr>
        <w:t>（1）点击左侧工具栏中的“Datasets”，选择“New Dataset”，分别上传数据集文件与代码文件。</w:t>
      </w:r>
    </w:p>
    <w:p w14:paraId="48990AC8">
      <w:pPr>
        <w:pStyle w:val="167"/>
      </w:pPr>
      <w:r>
        <w:rPr>
          <w:rFonts w:ascii="Times New Roman" w:hAnsi="Times New Roman" w:eastAsia="宋体"/>
          <w:b w:val="0"/>
        </w:rPr>
        <w:t>（2）建议将“数据集”和“代码”分开上传。这样做便于后续重复调用数据，也方便代码修改后单独更新，避免每次都重新上传全部内容。</w:t>
      </w:r>
    </w:p>
    <w:p w14:paraId="74DF0418">
      <w:pPr>
        <w:pStyle w:val="167"/>
      </w:pPr>
      <w:r>
        <w:rPr>
          <w:rFonts w:ascii="Times New Roman" w:hAnsi="Times New Roman" w:eastAsia="宋体"/>
          <w:b w:val="0"/>
        </w:rPr>
        <w:t>（3）若数据集体积较大，可先在本地进行压缩后再上传。上传完成后，应在 Notebook 中检查数据路径、文件结构。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9F42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6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30E81F3">
            <w:pPr>
              <w:pStyle w:val="168"/>
            </w:pPr>
            <w:r>
              <w:rPr>
                <w:rFonts w:ascii="Times New Roman" w:hAnsi="Times New Roman" w:eastAsia="宋体"/>
                <w:b/>
                <w:color w:val="935C00"/>
              </w:rPr>
              <w:t>建议：</w:t>
            </w:r>
            <w:r>
              <w:rPr>
                <w:rFonts w:ascii="Times New Roman" w:hAnsi="Times New Roman" w:eastAsia="宋体"/>
                <w:b w:val="0"/>
              </w:rPr>
              <w:t xml:space="preserve"> 若模型训练频繁中断或需要多次实验，优先保持数据集路径稳定，把代码单独作为输入管理，这样更利于断点续训和版本对比。</w:t>
            </w:r>
          </w:p>
        </w:tc>
      </w:tr>
    </w:tbl>
    <w:p w14:paraId="7FD61B8D">
      <w:pPr>
        <w:pStyle w:val="3"/>
      </w:pPr>
      <w:r>
        <w:t>三、创建 Notebook 工作区并导入资源</w:t>
      </w:r>
    </w:p>
    <w:p w14:paraId="169A31F1">
      <w:pPr>
        <w:pStyle w:val="167"/>
      </w:pPr>
      <w:r>
        <w:rPr>
          <w:rFonts w:ascii="Times New Roman" w:hAnsi="Times New Roman" w:eastAsia="宋体"/>
          <w:b w:val="0"/>
        </w:rPr>
        <w:t>（1）在 Kaggle 页面中点击“Create”</w:t>
      </w:r>
      <w:r>
        <w:rPr>
          <w:rFonts w:hint="eastAsia"/>
          <w:b w:val="0"/>
          <w:lang w:eastAsia="zh-CN"/>
        </w:rPr>
        <w:t>、</w:t>
      </w:r>
      <w:r>
        <w:rPr>
          <w:rFonts w:ascii="Times New Roman" w:hAnsi="Times New Roman" w:eastAsia="宋体"/>
          <w:b w:val="0"/>
        </w:rPr>
        <w:t>“New Notebook”，新建一个 Notebook 工作区。</w:t>
      </w:r>
    </w:p>
    <w:p w14:paraId="349458D0">
      <w:pPr>
        <w:pStyle w:val="167"/>
      </w:pPr>
      <w:r>
        <w:rPr>
          <w:rFonts w:ascii="Times New Roman" w:hAnsi="Times New Roman" w:eastAsia="宋体"/>
          <w:b w:val="0"/>
        </w:rPr>
        <w:t>（2）</w:t>
      </w:r>
      <w:r>
        <w:rPr>
          <w:rFonts w:hint="eastAsia"/>
          <w:b w:val="0"/>
          <w:lang w:val="en-US" w:eastAsia="zh-CN"/>
        </w:rPr>
        <w:t>将</w:t>
      </w:r>
      <w:r>
        <w:rPr>
          <w:rFonts w:ascii="Times New Roman" w:hAnsi="Times New Roman" w:eastAsia="宋体"/>
          <w:b w:val="0"/>
        </w:rPr>
        <w:t>已有</w:t>
      </w:r>
      <w:r>
        <w:rPr>
          <w:rFonts w:hint="eastAsia"/>
          <w:b w:val="0"/>
          <w:lang w:val="en-US" w:eastAsia="zh-CN"/>
        </w:rPr>
        <w:t>的</w:t>
      </w:r>
      <w:r>
        <w:rPr>
          <w:rFonts w:ascii="Times New Roman" w:hAnsi="Times New Roman" w:eastAsia="宋体"/>
          <w:b w:val="0"/>
        </w:rPr>
        <w:t>本地编写好的 .ipynb 文件通过导入功能上传到当前工作区。</w:t>
      </w:r>
    </w:p>
    <w:p w14:paraId="7C75D5C5">
      <w:pPr>
        <w:pStyle w:val="167"/>
      </w:pPr>
      <w:r>
        <w:rPr>
          <w:rFonts w:ascii="Times New Roman" w:hAnsi="Times New Roman" w:eastAsia="宋体"/>
          <w:b w:val="0"/>
        </w:rPr>
        <w:t>（3）进入工作区后，点击右侧或顶部的“Add Input”，将之前上传的数据集和代码资源添加到当前 Notebook 中。添加完成后，相关文件会挂载到 Notebook 的输入目录，可直接在代码中调用。</w:t>
      </w:r>
    </w:p>
    <w:p w14:paraId="06E3C0FE">
      <w:pPr>
        <w:pStyle w:val="3"/>
      </w:pPr>
      <w:r>
        <w:t>四、开启 GPU 并运行训练</w:t>
      </w:r>
    </w:p>
    <w:p w14:paraId="1200E6C4">
      <w:pPr>
        <w:pStyle w:val="167"/>
      </w:pPr>
      <w:r>
        <w:rPr>
          <w:rFonts w:ascii="Times New Roman" w:hAnsi="Times New Roman" w:eastAsia="宋体"/>
          <w:b w:val="0"/>
        </w:rPr>
        <w:t>（1）在 Notebook 中打开“Settings”，找到“Accelerator”选项，将运行环境切换为 GPU。平台提供的具体 GPU 类型和数量会随配额与资源情况变化，以页面实际显示为准。</w:t>
      </w:r>
    </w:p>
    <w:p w14:paraId="2C8914B5">
      <w:pPr>
        <w:pStyle w:val="167"/>
      </w:pPr>
      <w:r>
        <w:rPr>
          <w:rFonts w:ascii="Times New Roman" w:hAnsi="Times New Roman" w:eastAsia="宋体"/>
          <w:b w:val="0"/>
        </w:rPr>
        <w:t>（2）环境启动后，依次运行各个代码单元（cell）。若代码使用命令行方式训练，可在 Notebook 单元中直接输入对应命令执行，其使用逻辑与本地终端运行类似。</w:t>
      </w:r>
    </w:p>
    <w:p w14:paraId="55B833BB">
      <w:pPr>
        <w:pStyle w:val="167"/>
      </w:pPr>
      <w:r>
        <w:rPr>
          <w:rFonts w:ascii="Times New Roman" w:hAnsi="Times New Roman" w:eastAsia="宋体"/>
          <w:b w:val="0"/>
        </w:rPr>
        <w:t>（3）在正式长时间训练前，建议先进行一次小规模试运行，确认数据路径、依赖环境、日志输出和权重保存逻辑均正常后，再开始完整训练。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9038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</w:trPr>
        <w:tc>
          <w:tcPr>
            <w:tcW w:w="839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1C667">
            <w:pPr>
              <w:jc w:val="center"/>
            </w:pPr>
            <w:r>
              <w:drawing>
                <wp:inline distT="0" distB="0" distL="114300" distR="114300">
                  <wp:extent cx="5486400" cy="273431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04EFE">
      <w:pPr>
        <w:pStyle w:val="169"/>
      </w:pPr>
      <w:r>
        <w:rPr>
          <w:rFonts w:ascii="Times New Roman" w:hAnsi="Times New Roman" w:eastAsia="宋体"/>
          <w:b w:val="0"/>
          <w:color w:val="646464"/>
          <w:sz w:val="20"/>
        </w:rPr>
        <w:t>图3  打开 GPU（Accelerator）设置页面</w:t>
      </w:r>
    </w:p>
    <w:p w14:paraId="7882DDC6">
      <w:pPr>
        <w:pStyle w:val="3"/>
      </w:pPr>
      <w:r>
        <w:t>五、保存版本并让训练在后台继续运行</w:t>
      </w:r>
    </w:p>
    <w:p w14:paraId="10A01DC5">
      <w:pPr>
        <w:pStyle w:val="167"/>
      </w:pPr>
      <w:r>
        <w:rPr>
          <w:rFonts w:ascii="Times New Roman" w:hAnsi="Times New Roman" w:eastAsia="宋体"/>
          <w:b w:val="0"/>
        </w:rPr>
        <w:t>（1）仅在交互式页面中直接运行代码时，如果会话中断、页面长时间空闲或实例被回收，训练可能会停止，未保存的重要输出也可能无法保留。</w:t>
      </w:r>
    </w:p>
    <w:p w14:paraId="20D82D47">
      <w:pPr>
        <w:pStyle w:val="167"/>
      </w:pPr>
      <w:r>
        <w:rPr>
          <w:rFonts w:ascii="Times New Roman" w:hAnsi="Times New Roman" w:eastAsia="宋体"/>
          <w:b w:val="0"/>
        </w:rPr>
        <w:t>（2）当确认模型能够正常运行后，点击右上角“Save Version”，再选择相应的保存方式。Kaggle</w:t>
      </w:r>
      <w:r>
        <w:rPr>
          <w:rFonts w:hint="eastAsia"/>
          <w:b w:val="0"/>
          <w:lang w:val="en-US" w:eastAsia="zh-CN"/>
        </w:rPr>
        <w:t>的</w:t>
      </w:r>
      <w:r>
        <w:rPr>
          <w:rFonts w:ascii="Times New Roman" w:hAnsi="Times New Roman" w:eastAsia="宋体"/>
          <w:b w:val="0"/>
        </w:rPr>
        <w:t>“Save &amp; Run All”会从头到尾在一个独立会话中执行 Notebook，并生成可查看的版本记录。</w:t>
      </w:r>
    </w:p>
    <w:p w14:paraId="349CA9AB">
      <w:pPr>
        <w:pStyle w:val="167"/>
      </w:pPr>
      <w:r>
        <w:rPr>
          <w:rFonts w:ascii="Times New Roman" w:hAnsi="Times New Roman" w:eastAsia="宋体"/>
          <w:b w:val="0"/>
        </w:rPr>
        <w:t>（3）保存版本后，即使关闭网页，已提交的版本仍可继续执行。运行结束后通常可在对应版本页面查看日志和输出结果，必要时还可通过邮箱通知获知执行状态。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BF0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atLeast"/>
          <w:jc w:val="center"/>
        </w:trPr>
        <w:tc>
          <w:tcPr>
            <w:tcW w:w="839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4ADAA">
            <w:pPr>
              <w:jc w:val="center"/>
            </w:pPr>
            <w:r>
              <w:drawing>
                <wp:inline distT="0" distB="0" distL="114300" distR="114300">
                  <wp:extent cx="5486400" cy="273431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64486">
      <w:pPr>
        <w:pStyle w:val="169"/>
      </w:pPr>
      <w:r>
        <w:rPr>
          <w:rFonts w:ascii="Times New Roman" w:hAnsi="Times New Roman" w:eastAsia="宋体"/>
          <w:b w:val="0"/>
          <w:color w:val="646464"/>
          <w:sz w:val="20"/>
        </w:rPr>
        <w:t>图4  点击 Save Version / Save &amp; Run All</w:t>
      </w:r>
    </w:p>
    <w:p w14:paraId="376665C2">
      <w:pPr>
        <w:pStyle w:val="3"/>
      </w:pPr>
      <w:r>
        <w:t>六、查看并下载 Output 结果</w:t>
      </w:r>
    </w:p>
    <w:p w14:paraId="79076CFE">
      <w:pPr>
        <w:pStyle w:val="167"/>
      </w:pPr>
      <w:r>
        <w:rPr>
          <w:rFonts w:ascii="Times New Roman" w:hAnsi="Times New Roman" w:eastAsia="宋体"/>
          <w:b w:val="0"/>
        </w:rPr>
        <w:t>（1）训练完成后，可在 Notebook 的版本记录（Versions）中找到对应运行结果，进入该版本页面查看输出内容。</w:t>
      </w:r>
    </w:p>
    <w:p w14:paraId="61FD440D">
      <w:pPr>
        <w:pStyle w:val="167"/>
      </w:pPr>
      <w:r>
        <w:rPr>
          <w:rFonts w:ascii="Times New Roman" w:hAnsi="Times New Roman" w:eastAsia="宋体"/>
          <w:b w:val="0"/>
        </w:rPr>
        <w:t>（2）模型权重、日志文件、预测结果等通常会出现在输出目录中。若训练脚本已将结果保存到工作目录，便可在 Output 区域进行下载。</w:t>
      </w:r>
    </w:p>
    <w:p w14:paraId="18E118D8">
      <w:pPr>
        <w:pStyle w:val="167"/>
      </w:pPr>
      <w:r>
        <w:rPr>
          <w:rFonts w:ascii="Times New Roman" w:hAnsi="Times New Roman" w:eastAsia="宋体"/>
          <w:b w:val="0"/>
        </w:rPr>
        <w:t>（3）建议在训练脚本中明确设置保存路径和文件命名规则，便于后续区分不同实验版本，防止结果混淆。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F8C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atLeast"/>
          <w:jc w:val="center"/>
        </w:trPr>
        <w:tc>
          <w:tcPr>
            <w:tcW w:w="839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5BAAE">
            <w:pPr>
              <w:jc w:val="center"/>
            </w:pPr>
            <w:r>
              <w:drawing>
                <wp:inline distT="0" distB="0" distL="114300" distR="114300">
                  <wp:extent cx="5166360" cy="2574925"/>
                  <wp:effectExtent l="0" t="0" r="15240" b="158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57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69665">
      <w:pPr>
        <w:pStyle w:val="169"/>
      </w:pPr>
      <w:r>
        <w:rPr>
          <w:rFonts w:ascii="Times New Roman" w:hAnsi="Times New Roman" w:eastAsia="宋体"/>
          <w:b w:val="0"/>
          <w:color w:val="646464"/>
          <w:sz w:val="20"/>
        </w:rPr>
        <w:t>图5  下载 Output 输出结果</w:t>
      </w:r>
    </w:p>
    <w:p w14:paraId="195FCEF6">
      <w:pPr>
        <w:pStyle w:val="3"/>
      </w:pPr>
      <w:r>
        <w:t>七、使用注意事项</w:t>
      </w:r>
    </w:p>
    <w:p w14:paraId="2467D447">
      <w:pPr>
        <w:pStyle w:val="167"/>
        <w:ind w:firstLine="0"/>
      </w:pPr>
      <w:r>
        <w:rPr>
          <w:rFonts w:ascii="Times New Roman" w:hAnsi="Times New Roman" w:eastAsia="宋体"/>
          <w:b w:val="0"/>
        </w:rPr>
        <w:t>1. 先小规模试跑，再正式训练：避免因路径、依赖或显存问题造成长时间训练失败。</w:t>
      </w:r>
    </w:p>
    <w:p w14:paraId="378CABE5">
      <w:pPr>
        <w:pStyle w:val="167"/>
        <w:ind w:firstLine="0"/>
      </w:pPr>
      <w:r>
        <w:rPr>
          <w:rFonts w:ascii="Times New Roman" w:hAnsi="Times New Roman" w:eastAsia="宋体"/>
          <w:b w:val="0"/>
        </w:rPr>
        <w:t>2. 养成定期保存版本的习惯：重要实验不要只停留在交互式运行状态。</w:t>
      </w:r>
    </w:p>
    <w:p w14:paraId="695412C6">
      <w:pPr>
        <w:pStyle w:val="167"/>
        <w:ind w:firstLine="0"/>
      </w:pPr>
      <w:r>
        <w:rPr>
          <w:rFonts w:ascii="Times New Roman" w:hAnsi="Times New Roman" w:eastAsia="宋体"/>
          <w:b w:val="0"/>
        </w:rPr>
        <w:t>3. 统一管理数据集与代码版本：便于复现实验，也方便后续论文写作时整理参数与结果。</w:t>
      </w:r>
    </w:p>
    <w:p w14:paraId="34CDA1D9">
      <w:pPr>
        <w:pStyle w:val="167"/>
        <w:ind w:firstLine="0"/>
      </w:pPr>
      <w:r>
        <w:rPr>
          <w:rFonts w:ascii="Times New Roman" w:hAnsi="Times New Roman" w:eastAsia="宋体"/>
          <w:b w:val="0"/>
        </w:rPr>
        <w:t>4. 若训练时间较长，应提前设置 checkpoint 保存策略，以防单次会话结束后无法继续。</w:t>
      </w:r>
    </w:p>
    <w:p w14:paraId="4CE6CEB9"/>
    <w:p w14:paraId="669BF9DE">
      <w:pPr>
        <w:jc w:val="right"/>
      </w:pPr>
      <w:r>
        <w:rPr>
          <w:rFonts w:ascii="Times New Roman" w:hAnsi="Times New Roman" w:eastAsia="宋体"/>
          <w:b w:val="0"/>
          <w:color w:val="6E6E6E"/>
          <w:sz w:val="18"/>
        </w:rPr>
        <w:t>注：本文档中的界面名称可能会随 Kaggle 页面更新略有变化，实际操作请以平台当前显示为准。</w:t>
      </w:r>
    </w:p>
    <w:sectPr>
      <w:pgSz w:w="12240" w:h="15840"/>
      <w:pgMar w:top="1134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4C3FFD"/>
    <w:rsid w:val="15580DC9"/>
    <w:rsid w:val="4143359F"/>
    <w:rsid w:val="744C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8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373737"/>
      <w:sz w:val="24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rbel" w:hAnsi="Corbel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itleCustom"/>
    <w:qFormat/>
    <w:uiPriority w:val="0"/>
    <w:pPr>
      <w:spacing w:after="120" w:line="276" w:lineRule="auto"/>
      <w:jc w:val="center"/>
    </w:pPr>
    <w:rPr>
      <w:rFonts w:ascii="Times New Roman" w:hAnsi="Times New Roman" w:eastAsia="黑体" w:cstheme="minorBidi"/>
      <w:b/>
      <w:color w:val="1F4E79"/>
      <w:sz w:val="40"/>
      <w:szCs w:val="22"/>
      <w:lang w:val="en-US" w:eastAsia="en-US" w:bidi="ar-SA"/>
    </w:rPr>
  </w:style>
  <w:style w:type="paragraph" w:customStyle="1" w:styleId="167">
    <w:name w:val="BodyCustom"/>
    <w:qFormat/>
    <w:uiPriority w:val="0"/>
    <w:pPr>
      <w:spacing w:after="40" w:line="348" w:lineRule="auto"/>
      <w:ind w:firstLine="420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customStyle="1" w:styleId="168">
    <w:name w:val="NoteBox"/>
    <w:qFormat/>
    <w:uiPriority w:val="0"/>
    <w:pPr>
      <w:spacing w:after="20" w:line="300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customStyle="1" w:styleId="169">
    <w:name w:val="CaptionCustom"/>
    <w:qFormat/>
    <w:uiPriority w:val="0"/>
    <w:pPr>
      <w:spacing w:after="120" w:line="276" w:lineRule="auto"/>
      <w:jc w:val="center"/>
    </w:pPr>
    <w:rPr>
      <w:rFonts w:ascii="Times New Roman" w:hAnsi="Times New Roman" w:eastAsia="宋体" w:cstheme="minorBidi"/>
      <w:color w:val="5F5F5F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1523</Words>
  <Characters>1866</Characters>
  <Lines>0</Lines>
  <Paragraphs>0</Paragraphs>
  <TotalTime>62</TotalTime>
  <ScaleCrop>false</ScaleCrop>
  <LinksUpToDate>false</LinksUpToDate>
  <CharactersWithSpaces>1953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东文 邓</cp:lastModifiedBy>
  <dcterms:modified xsi:type="dcterms:W3CDTF">2026-04-07T14:05:14Z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eyJoZGlkIjoiNTBkYzEyNDY4Nzg0Yzc2Yzc3OTk2OGQ2NzRmYmZlMWIiLCJ1c2VySWQiOiIxNTk1Njc2Nzg1In0=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0934911F2E924E83B339E6A5C38065F1_12</vt:lpwstr>
  </property>
</Properties>
</file>