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446F1"/>
          <w:sz w:val="18"/>
          <w:szCs w:val="18"/>
        </w:rPr>
        <w:t xml:space="preserve">SOUTHWEST RECOVERY SERVICES</w:t>
      </w:r>
    </w:p>
    <w:p>
      <w:pPr>
        <w:spacing w:after="40"/>
      </w:pPr>
      <w:r>
        <w:rPr>
          <w:rFonts w:ascii="Calibri" w:cs="Calibri" w:eastAsia="Calibri" w:hAnsi="Calibri"/>
          <w:b/>
          <w:bCs/>
          <w:color w:val="070B97"/>
          <w:sz w:val="36"/>
          <w:szCs w:val="36"/>
        </w:rPr>
        <w:t xml:space="preserve">Vixxo Kansas, LLC — Complete Client File</w:t>
      </w:r>
    </w:p>
    <w:p>
      <w:pPr>
        <w:spacing w:after="80"/>
      </w:pPr>
      <w:r>
        <w:rPr>
          <w:rFonts w:ascii="Calibri" w:cs="Calibri" w:eastAsia="Calibri" w:hAnsi="Calibri"/>
          <w:color w:val="6B7280"/>
          <w:sz w:val="19"/>
          <w:szCs w:val="19"/>
        </w:rPr>
        <w:t xml:space="preserve">ADS ClientKey 11258 · NutShellID 179236-accounts · Prepared September 23, 2026</w:t>
      </w:r>
    </w:p>
    <w:p>
      <w:pPr>
        <w:pBdr>
          <w:bottom w:val="single" w:color="0446F1" w:sz="12"/>
        </w:pBdr>
        <w:spacing w:after="260"/>
      </w:pPr>
      <w:r>
        <w:rPr>
          <w:rFonts w:ascii="Calibri" w:cs="Calibri" w:eastAsia="Calibri" w:hAnsi="Calibri"/>
          <w:b/>
          <w:bCs/>
          <w:color w:val="C0392B"/>
          <w:sz w:val="18"/>
          <w:szCs w:val="18"/>
        </w:rPr>
        <w:t xml:space="preserve">INTERNAL — contains debtor detail and litigation strategy.</w:t>
      </w:r>
    </w:p>
    <w:p>
      <w:pPr>
        <w:pStyle w:val="Heading1"/>
        <w:spacing w:after="120" w:before="320"/>
      </w:pPr>
      <w:r>
        <w:rPr>
          <w:rFonts w:ascii="Calibri" w:cs="Calibri" w:eastAsia="Calibri" w:hAnsi="Calibri"/>
          <w:b/>
          <w:bCs/>
          <w:color w:val="070B97"/>
          <w:sz w:val="30"/>
          <w:szCs w:val="30"/>
        </w:rPr>
        <w:t xml:space="preserve">1. Start Here — The Five Things That Matter</w:t>
      </w:r>
    </w:p>
    <w:p>
      <w:pPr>
        <w:spacing w:after="40"/>
      </w:pPr>
      <w:r>
        <w:rPr>
          <w:rFonts w:ascii="Calibri" w:cs="Calibri" w:eastAsia="Calibri" w:hAnsi="Calibri"/>
          <w:b/>
          <w:bCs/>
          <w:color w:val="070B97"/>
          <w:sz w:val="21"/>
          <w:szCs w:val="21"/>
        </w:rPr>
        <w:t xml:space="preserve">1. The portfolio is performing well, not badly.</w:t>
      </w:r>
    </w:p>
    <w:p>
      <w:pPr>
        <w:spacing w:after="140"/>
        <w:ind w:left="280"/>
      </w:pPr>
      <w:r>
        <w:rPr>
          <w:rFonts w:ascii="Calibri" w:cs="Calibri" w:eastAsia="Calibri" w:hAnsi="Calibri"/>
          <w:sz w:val="20"/>
          <w:szCs w:val="20"/>
        </w:rPr>
        <w:t xml:space="preserve">Overall recovery is 40.59%, dragged down by one account. Excluding Pet Retail Brands, recovery is 75.8%. Three of four placement waves returned 73–91%.</w:t>
      </w:r>
    </w:p>
    <w:p>
      <w:pPr>
        <w:spacing w:after="40"/>
      </w:pPr>
      <w:r>
        <w:rPr>
          <w:rFonts w:ascii="Calibri" w:cs="Calibri" w:eastAsia="Calibri" w:hAnsi="Calibri"/>
          <w:b/>
          <w:bCs/>
          <w:color w:val="070B97"/>
          <w:sz w:val="21"/>
          <w:szCs w:val="21"/>
        </w:rPr>
        <w:t xml:space="preserve">2. Pet Retail Brands ($170,196.03) should not be written down.</w:t>
      </w:r>
    </w:p>
    <w:p>
      <w:pPr>
        <w:spacing w:after="140"/>
        <w:ind w:left="280"/>
      </w:pPr>
      <w:r>
        <w:rPr>
          <w:rFonts w:ascii="Calibri" w:cs="Calibri" w:eastAsia="Calibri" w:hAnsi="Calibri"/>
          <w:sz w:val="20"/>
          <w:szCs w:val="20"/>
        </w:rPr>
        <w:t xml:space="preserve">The debtor is Pet Supermarket, Inc. — an ACTIVE Florida corporation verified from the state registry. It was closed "Cancel" because our collector could not find a living contact, not because the debtor cannot pay.</w:t>
      </w:r>
    </w:p>
    <w:p>
      <w:pPr>
        <w:spacing w:after="40"/>
      </w:pPr>
      <w:r>
        <w:rPr>
          <w:rFonts w:ascii="Calibri" w:cs="Calibri" w:eastAsia="Calibri" w:hAnsi="Calibri"/>
          <w:b/>
          <w:bCs/>
          <w:color w:val="070B97"/>
          <w:sz w:val="21"/>
          <w:szCs w:val="21"/>
        </w:rPr>
        <w:t xml:space="preserve">3. Harper-Allen is not out of business.</w:t>
      </w:r>
    </w:p>
    <w:p>
      <w:pPr>
        <w:spacing w:after="140"/>
        <w:ind w:left="280"/>
      </w:pPr>
      <w:r>
        <w:rPr>
          <w:rFonts w:ascii="Calibri" w:cs="Calibri" w:eastAsia="Calibri" w:hAnsi="Calibri"/>
          <w:sz w:val="20"/>
          <w:szCs w:val="20"/>
        </w:rPr>
        <w:t xml:space="preserve">The debtor told us it closed. Public records show the LLC as an active defendant in an Indiana small-claims case filed August 26, 2026. Remove from write-down pending review.</w:t>
      </w:r>
    </w:p>
    <w:p>
      <w:pPr>
        <w:spacing w:after="40"/>
      </w:pPr>
      <w:r>
        <w:rPr>
          <w:rFonts w:ascii="Calibri" w:cs="Calibri" w:eastAsia="Calibri" w:hAnsi="Calibri"/>
          <w:b/>
          <w:bCs/>
          <w:color w:val="070B97"/>
          <w:sz w:val="21"/>
          <w:szCs w:val="21"/>
        </w:rPr>
        <w:t xml:space="preserve">4. "The Abeco Organization" is a trade name with no legal existence.</w:t>
      </w:r>
    </w:p>
    <w:p>
      <w:pPr>
        <w:spacing w:after="140"/>
        <w:ind w:left="280"/>
      </w:pPr>
      <w:r>
        <w:rPr>
          <w:rFonts w:ascii="Calibri" w:cs="Calibri" w:eastAsia="Calibri" w:hAnsi="Calibri"/>
          <w:sz w:val="20"/>
          <w:szCs w:val="20"/>
        </w:rPr>
        <w:t xml:space="preserve">A judgment in that name would be unenforceable. The real registered entities are identified in this file.</w:t>
      </w:r>
    </w:p>
    <w:p>
      <w:pPr>
        <w:spacing w:after="40"/>
      </w:pPr>
      <w:r>
        <w:rPr>
          <w:rFonts w:ascii="Calibri" w:cs="Calibri" w:eastAsia="Calibri" w:hAnsi="Calibri"/>
          <w:b/>
          <w:bCs/>
          <w:color w:val="070B97"/>
          <w:sz w:val="21"/>
          <w:szCs w:val="21"/>
        </w:rPr>
        <w:t xml:space="preserve">5. Nothing has been sent.</w:t>
      </w:r>
    </w:p>
    <w:p>
      <w:pPr>
        <w:spacing w:after="140"/>
        <w:ind w:left="280"/>
      </w:pPr>
      <w:r>
        <w:rPr>
          <w:rFonts w:ascii="Calibri" w:cs="Calibri" w:eastAsia="Calibri" w:hAnsi="Calibri"/>
          <w:sz w:val="20"/>
          <w:szCs w:val="20"/>
        </w:rPr>
        <w:t xml:space="preserve">Two emails and one letter are drafted and awaiting your GO.</w:t>
      </w:r>
    </w:p>
    <w:p>
      <w:pPr>
        <w:pStyle w:val="Heading1"/>
        <w:spacing w:after="120" w:before="320"/>
      </w:pPr>
      <w:r>
        <w:rPr>
          <w:rFonts w:ascii="Calibri" w:cs="Calibri" w:eastAsia="Calibri" w:hAnsi="Calibri"/>
          <w:b/>
          <w:bCs/>
          <w:color w:val="070B97"/>
          <w:sz w:val="30"/>
          <w:szCs w:val="30"/>
        </w:rPr>
        <w:t xml:space="preserve">2. Portfolio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Metric</w:t>
            </w:r>
          </w:p>
        </w:tc>
        <w:tc>
          <w:tcPr>
            <w:tcW w:type="dxa" w:w="33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6000"/>
            <w:tcMar>
              <w:top w:type="dxa" w:w="60"/>
              <w:left w:type="dxa" w:w="100"/>
              <w:bottom w:type="dxa" w:w="60"/>
              <w:right w:type="dxa" w:w="100"/>
            </w:tcMar>
          </w:tcPr>
          <w:p>
            <w:r>
              <w:rPr>
                <w:rFonts w:ascii="Calibri" w:cs="Calibri" w:eastAsia="Calibri" w:hAnsi="Calibri"/>
                <w:sz w:val="18"/>
                <w:szCs w:val="18"/>
              </w:rPr>
              <w:t xml:space="preserve">Accounts placed</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14</w:t>
            </w:r>
          </w:p>
        </w:tc>
      </w:tr>
      <w:tr>
        <w:tc>
          <w:tcPr>
            <w:tcW w:type="dxa" w:w="6000"/>
            <w:tcMar>
              <w:top w:type="dxa" w:w="60"/>
              <w:left w:type="dxa" w:w="100"/>
              <w:bottom w:type="dxa" w:w="60"/>
              <w:right w:type="dxa" w:w="100"/>
            </w:tcMar>
          </w:tcPr>
          <w:p>
            <w:r>
              <w:rPr>
                <w:rFonts w:ascii="Calibri" w:cs="Calibri" w:eastAsia="Calibri" w:hAnsi="Calibri"/>
                <w:sz w:val="18"/>
                <w:szCs w:val="18"/>
              </w:rPr>
              <w:t xml:space="preserve">Total placed</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$366,526.18</w:t>
            </w:r>
          </w:p>
        </w:tc>
      </w:tr>
      <w:tr>
        <w:tc>
          <w:tcPr>
            <w:tcW w:type="dxa" w:w="6000"/>
            <w:tcMar>
              <w:top w:type="dxa" w:w="60"/>
              <w:left w:type="dxa" w:w="100"/>
              <w:bottom w:type="dxa" w:w="60"/>
              <w:right w:type="dxa" w:w="100"/>
            </w:tcMar>
          </w:tcPr>
          <w:p>
            <w:r>
              <w:rPr>
                <w:rFonts w:ascii="Calibri" w:cs="Calibri" w:eastAsia="Calibri" w:hAnsi="Calibri"/>
                <w:sz w:val="18"/>
                <w:szCs w:val="18"/>
              </w:rPr>
              <w:t xml:space="preserve">Total collected</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$148,787.44</w:t>
            </w:r>
          </w:p>
        </w:tc>
      </w:tr>
      <w:tr>
        <w:tc>
          <w:tcPr>
            <w:tcW w:type="dxa" w:w="6000"/>
            <w:tcMar>
              <w:top w:type="dxa" w:w="60"/>
              <w:left w:type="dxa" w:w="100"/>
              <w:bottom w:type="dxa" w:w="60"/>
              <w:right w:type="dxa" w:w="100"/>
            </w:tcMar>
          </w:tcPr>
          <w:p>
            <w:r>
              <w:rPr>
                <w:rFonts w:ascii="Calibri" w:cs="Calibri" w:eastAsia="Calibri" w:hAnsi="Calibri"/>
                <w:sz w:val="18"/>
                <w:szCs w:val="18"/>
              </w:rPr>
              <w:t xml:space="preserve">Open balance</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$217,738.74</w:t>
            </w:r>
          </w:p>
        </w:tc>
      </w:tr>
      <w:tr>
        <w:tc>
          <w:tcPr>
            <w:tcW w:type="dxa" w:w="6000"/>
            <w:tcMar>
              <w:top w:type="dxa" w:w="60"/>
              <w:left w:type="dxa" w:w="100"/>
              <w:bottom w:type="dxa" w:w="60"/>
              <w:right w:type="dxa" w:w="100"/>
            </w:tcMar>
          </w:tcPr>
          <w:p>
            <w:r>
              <w:rPr>
                <w:rFonts w:ascii="Calibri" w:cs="Calibri" w:eastAsia="Calibri" w:hAnsi="Calibri"/>
                <w:sz w:val="18"/>
                <w:szCs w:val="18"/>
              </w:rPr>
              <w:t xml:space="preserve">Overall recovery</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40.59%</w:t>
            </w:r>
          </w:p>
        </w:tc>
      </w:tr>
      <w:tr>
        <w:tc>
          <w:tcPr>
            <w:tcW w:type="dxa" w:w="6000"/>
            <w:tcMar>
              <w:top w:type="dxa" w:w="60"/>
              <w:left w:type="dxa" w:w="100"/>
              <w:bottom w:type="dxa" w:w="60"/>
              <w:right w:type="dxa" w:w="100"/>
            </w:tcMar>
          </w:tcPr>
          <w:p>
            <w:r>
              <w:rPr>
                <w:rFonts w:ascii="Calibri" w:cs="Calibri" w:eastAsia="Calibri" w:hAnsi="Calibri"/>
                <w:sz w:val="18"/>
                <w:szCs w:val="18"/>
              </w:rPr>
              <w:t xml:space="preserve">Recovery excluding Pet Retail Brands</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75.8%</w:t>
            </w:r>
          </w:p>
        </w:tc>
      </w:tr>
      <w:tr>
        <w:tc>
          <w:tcPr>
            <w:tcW w:type="dxa" w:w="6000"/>
            <w:tcMar>
              <w:top w:type="dxa" w:w="60"/>
              <w:left w:type="dxa" w:w="100"/>
              <w:bottom w:type="dxa" w:w="60"/>
              <w:right w:type="dxa" w:w="100"/>
            </w:tcMar>
          </w:tcPr>
          <w:p>
            <w:r>
              <w:rPr>
                <w:rFonts w:ascii="Calibri" w:cs="Calibri" w:eastAsia="Calibri" w:hAnsi="Calibri"/>
                <w:sz w:val="18"/>
                <w:szCs w:val="18"/>
              </w:rPr>
              <w:t xml:space="preserve">Reconciliation check</w:t>
            </w:r>
          </w:p>
        </w:tc>
        <w:tc>
          <w:tcPr>
            <w:tcW w:type="dxa" w:w="3360"/>
            <w:tcMar>
              <w:top w:type="dxa" w:w="60"/>
              <w:left w:type="dxa" w:w="100"/>
              <w:bottom w:type="dxa" w:w="60"/>
              <w:right w:type="dxa" w:w="100"/>
            </w:tcMar>
          </w:tcPr>
          <w:p>
            <w:pPr>
              <w:jc w:val="right"/>
            </w:pPr>
            <w:r>
              <w:rPr>
                <w:rFonts w:ascii="Calibri" w:cs="Calibri" w:eastAsia="Calibri" w:hAnsi="Calibri"/>
                <w:sz w:val="18"/>
                <w:szCs w:val="18"/>
              </w:rPr>
              <w:t xml:space="preserve">$0.00 — ties exactly</w:t>
            </w:r>
          </w:p>
        </w:tc>
      </w:tr>
    </w:tbl>
    <w:p>
      <w:pPr>
        <w:spacing w:after="1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070B97"/>
          <w:sz w:val="24"/>
          <w:szCs w:val="24"/>
        </w:rPr>
        <w:t xml:space="preserve">Recovery by placement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300"/>
        <w:gridCol w:w="2300"/>
        <w:gridCol w:w="1760"/>
      </w:tblGrid>
      <w:tr>
        <w:trPr>
          <w:tblHeader/>
        </w:trPr>
        <w:tc>
          <w:tcPr>
            <w:tcW w:type="dxa" w:w="20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Placed (DOA)</w:t>
            </w:r>
          </w:p>
        </w:tc>
        <w:tc>
          <w:tcPr>
            <w:tcW w:type="dxa" w:w="10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Accts</w:t>
            </w:r>
          </w:p>
        </w:tc>
        <w:tc>
          <w:tcPr>
            <w:tcW w:type="dxa" w:w="23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Placed</w:t>
            </w:r>
          </w:p>
        </w:tc>
        <w:tc>
          <w:tcPr>
            <w:tcW w:type="dxa" w:w="23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Collected</w:t>
            </w:r>
          </w:p>
        </w:tc>
        <w:tc>
          <w:tcPr>
            <w:tcW w:type="dxa" w:w="17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Recovery</w:t>
            </w:r>
          </w:p>
        </w:tc>
      </w:tr>
      <w:tr>
        <w:tc>
          <w:tcPr>
            <w:tcW w:type="dxa" w:w="2000"/>
            <w:tcMar>
              <w:top w:type="dxa" w:w="60"/>
              <w:left w:type="dxa" w:w="100"/>
              <w:bottom w:type="dxa" w:w="60"/>
              <w:right w:type="dxa" w:w="100"/>
            </w:tcMar>
          </w:tcPr>
          <w:p>
            <w:r>
              <w:rPr>
                <w:rFonts w:ascii="Calibri" w:cs="Calibri" w:eastAsia="Calibri" w:hAnsi="Calibri"/>
                <w:sz w:val="18"/>
                <w:szCs w:val="18"/>
              </w:rPr>
              <w:t xml:space="preserve">12/03/2025</w:t>
            </w:r>
          </w:p>
        </w:tc>
        <w:tc>
          <w:tcPr>
            <w:tcW w:type="dxa" w:w="1000"/>
            <w:tcMar>
              <w:top w:type="dxa" w:w="60"/>
              <w:left w:type="dxa" w:w="100"/>
              <w:bottom w:type="dxa" w:w="60"/>
              <w:right w:type="dxa" w:w="100"/>
            </w:tcMar>
          </w:tcPr>
          <w:p>
            <w:pPr>
              <w:jc w:val="right"/>
            </w:pPr>
            <w:r>
              <w:rPr>
                <w:rFonts w:ascii="Calibri" w:cs="Calibri" w:eastAsia="Calibri" w:hAnsi="Calibri"/>
                <w:sz w:val="18"/>
                <w:szCs w:val="18"/>
              </w:rPr>
              <w:t xml:space="preserve">4</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$57,111.09</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$42,870.50</w:t>
            </w:r>
          </w:p>
        </w:tc>
        <w:tc>
          <w:tcPr>
            <w:tcW w:type="dxa" w:w="1760"/>
            <w:tcMar>
              <w:top w:type="dxa" w:w="60"/>
              <w:left w:type="dxa" w:w="100"/>
              <w:bottom w:type="dxa" w:w="60"/>
              <w:right w:type="dxa" w:w="100"/>
            </w:tcMar>
          </w:tcPr>
          <w:p>
            <w:pPr>
              <w:jc w:val="right"/>
            </w:pPr>
            <w:r>
              <w:rPr>
                <w:rFonts w:ascii="Calibri" w:cs="Calibri" w:eastAsia="Calibri" w:hAnsi="Calibri"/>
                <w:sz w:val="18"/>
                <w:szCs w:val="18"/>
              </w:rPr>
              <w:t xml:space="preserve">75.1%</w:t>
            </w:r>
          </w:p>
        </w:tc>
      </w:tr>
      <w:tr>
        <w:tc>
          <w:tcPr>
            <w:tcW w:type="dxa" w:w="2000"/>
            <w:tcMar>
              <w:top w:type="dxa" w:w="60"/>
              <w:left w:type="dxa" w:w="100"/>
              <w:bottom w:type="dxa" w:w="60"/>
              <w:right w:type="dxa" w:w="100"/>
            </w:tcMar>
          </w:tcPr>
          <w:p>
            <w:r>
              <w:rPr>
                <w:rFonts w:ascii="Calibri" w:cs="Calibri" w:eastAsia="Calibri" w:hAnsi="Calibri"/>
                <w:sz w:val="18"/>
                <w:szCs w:val="18"/>
              </w:rPr>
              <w:t xml:space="preserve">01/21/2026</w:t>
            </w:r>
          </w:p>
        </w:tc>
        <w:tc>
          <w:tcPr>
            <w:tcW w:type="dxa" w:w="1000"/>
            <w:tcMar>
              <w:top w:type="dxa" w:w="60"/>
              <w:left w:type="dxa" w:w="100"/>
              <w:bottom w:type="dxa" w:w="60"/>
              <w:right w:type="dxa" w:w="100"/>
            </w:tcMar>
          </w:tcPr>
          <w:p>
            <w:pPr>
              <w:jc w:val="right"/>
            </w:pPr>
            <w:r>
              <w:rPr>
                <w:rFonts w:ascii="Calibri" w:cs="Calibri" w:eastAsia="Calibri" w:hAnsi="Calibri"/>
                <w:sz w:val="18"/>
                <w:szCs w:val="18"/>
              </w:rPr>
              <w:t xml:space="preserve">1</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$85,850.79</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$77,942.09</w:t>
            </w:r>
          </w:p>
        </w:tc>
        <w:tc>
          <w:tcPr>
            <w:tcW w:type="dxa" w:w="1760"/>
            <w:tcMar>
              <w:top w:type="dxa" w:w="60"/>
              <w:left w:type="dxa" w:w="100"/>
              <w:bottom w:type="dxa" w:w="60"/>
              <w:right w:type="dxa" w:w="100"/>
            </w:tcMar>
          </w:tcPr>
          <w:p>
            <w:pPr>
              <w:jc w:val="right"/>
            </w:pPr>
            <w:r>
              <w:rPr>
                <w:rFonts w:ascii="Calibri" w:cs="Calibri" w:eastAsia="Calibri" w:hAnsi="Calibri"/>
                <w:sz w:val="18"/>
                <w:szCs w:val="18"/>
              </w:rPr>
              <w:t xml:space="preserve">90.8%</w:t>
            </w:r>
          </w:p>
        </w:tc>
      </w:tr>
      <w:tr>
        <w:tc>
          <w:tcPr>
            <w:tcW w:type="dxa" w:w="2000"/>
            <w:tcMar>
              <w:top w:type="dxa" w:w="60"/>
              <w:left w:type="dxa" w:w="100"/>
              <w:bottom w:type="dxa" w:w="60"/>
              <w:right w:type="dxa" w:w="100"/>
            </w:tcMar>
          </w:tcPr>
          <w:p>
            <w:r>
              <w:rPr>
                <w:rFonts w:ascii="Calibri" w:cs="Calibri" w:eastAsia="Calibri" w:hAnsi="Calibri"/>
                <w:sz w:val="18"/>
                <w:szCs w:val="18"/>
              </w:rPr>
              <w:t xml:space="preserve">02/04/2026</w:t>
            </w:r>
          </w:p>
        </w:tc>
        <w:tc>
          <w:tcPr>
            <w:tcW w:type="dxa" w:w="1000"/>
            <w:tcMar>
              <w:top w:type="dxa" w:w="60"/>
              <w:left w:type="dxa" w:w="100"/>
              <w:bottom w:type="dxa" w:w="60"/>
              <w:right w:type="dxa" w:w="100"/>
            </w:tcMar>
          </w:tcPr>
          <w:p>
            <w:pPr>
              <w:jc w:val="right"/>
            </w:pPr>
            <w:r>
              <w:rPr>
                <w:rFonts w:ascii="Calibri" w:cs="Calibri" w:eastAsia="Calibri" w:hAnsi="Calibri"/>
                <w:sz w:val="18"/>
                <w:szCs w:val="18"/>
              </w:rPr>
              <w:t xml:space="preserve">3</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$185,441.00</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$0.00</w:t>
            </w:r>
          </w:p>
        </w:tc>
        <w:tc>
          <w:tcPr>
            <w:tcW w:type="dxa" w:w="1760"/>
            <w:tcMar>
              <w:top w:type="dxa" w:w="60"/>
              <w:left w:type="dxa" w:w="100"/>
              <w:bottom w:type="dxa" w:w="60"/>
              <w:right w:type="dxa" w:w="100"/>
            </w:tcMar>
          </w:tcPr>
          <w:p>
            <w:pPr>
              <w:jc w:val="right"/>
            </w:pPr>
            <w:r>
              <w:rPr>
                <w:rFonts w:ascii="Calibri" w:cs="Calibri" w:eastAsia="Calibri" w:hAnsi="Calibri"/>
                <w:sz w:val="18"/>
                <w:szCs w:val="18"/>
              </w:rPr>
              <w:t xml:space="preserve">0.0%</w:t>
            </w:r>
          </w:p>
        </w:tc>
      </w:tr>
      <w:tr>
        <w:tc>
          <w:tcPr>
            <w:tcW w:type="dxa" w:w="2000"/>
            <w:tcMar>
              <w:top w:type="dxa" w:w="60"/>
              <w:left w:type="dxa" w:w="100"/>
              <w:bottom w:type="dxa" w:w="60"/>
              <w:right w:type="dxa" w:w="100"/>
            </w:tcMar>
          </w:tcPr>
          <w:p>
            <w:r>
              <w:rPr>
                <w:rFonts w:ascii="Calibri" w:cs="Calibri" w:eastAsia="Calibri" w:hAnsi="Calibri"/>
                <w:sz w:val="18"/>
                <w:szCs w:val="18"/>
              </w:rPr>
              <w:t xml:space="preserve">06/04/2026</w:t>
            </w:r>
          </w:p>
        </w:tc>
        <w:tc>
          <w:tcPr>
            <w:tcW w:type="dxa" w:w="1000"/>
            <w:tcMar>
              <w:top w:type="dxa" w:w="60"/>
              <w:left w:type="dxa" w:w="100"/>
              <w:bottom w:type="dxa" w:w="60"/>
              <w:right w:type="dxa" w:w="100"/>
            </w:tcMar>
          </w:tcPr>
          <w:p>
            <w:pPr>
              <w:jc w:val="right"/>
            </w:pPr>
            <w:r>
              <w:rPr>
                <w:rFonts w:ascii="Calibri" w:cs="Calibri" w:eastAsia="Calibri" w:hAnsi="Calibri"/>
                <w:sz w:val="18"/>
                <w:szCs w:val="18"/>
              </w:rPr>
              <w:t xml:space="preserve">6</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$38,123.30</w:t>
            </w:r>
          </w:p>
        </w:tc>
        <w:tc>
          <w:tcPr>
            <w:tcW w:type="dxa" w:w="2300"/>
            <w:tcMar>
              <w:top w:type="dxa" w:w="60"/>
              <w:left w:type="dxa" w:w="100"/>
              <w:bottom w:type="dxa" w:w="60"/>
              <w:right w:type="dxa" w:w="100"/>
            </w:tcMar>
          </w:tcPr>
          <w:p>
            <w:pPr>
              <w:jc w:val="right"/>
            </w:pPr>
            <w:r>
              <w:rPr>
                <w:rFonts w:ascii="Calibri" w:cs="Calibri" w:eastAsia="Calibri" w:hAnsi="Calibri"/>
                <w:sz w:val="18"/>
                <w:szCs w:val="18"/>
              </w:rPr>
              <w:t xml:space="preserve">$27,974.85</w:t>
            </w:r>
          </w:p>
        </w:tc>
        <w:tc>
          <w:tcPr>
            <w:tcW w:type="dxa" w:w="1760"/>
            <w:tcMar>
              <w:top w:type="dxa" w:w="60"/>
              <w:left w:type="dxa" w:w="100"/>
              <w:bottom w:type="dxa" w:w="60"/>
              <w:right w:type="dxa" w:w="100"/>
            </w:tcMar>
          </w:tcPr>
          <w:p>
            <w:pPr>
              <w:jc w:val="right"/>
            </w:pPr>
            <w:r>
              <w:rPr>
                <w:rFonts w:ascii="Calibri" w:cs="Calibri" w:eastAsia="Calibri" w:hAnsi="Calibri"/>
                <w:sz w:val="18"/>
                <w:szCs w:val="18"/>
              </w:rPr>
              <w:t xml:space="preserve">73.4%</w:t>
            </w:r>
          </w:p>
        </w:tc>
      </w:tr>
    </w:tbl>
    <w:p>
      <w:pPr>
        <w:spacing w:after="160"/>
      </w:pPr>
      <w:r>
        <w:rPr>
          <w:rFonts w:ascii="Calibri" w:cs="Calibri" w:eastAsia="Calibri" w:hAnsi="Calibri"/>
          <w:i/>
          <w:iCs/>
          <w:color w:val="6B7280"/>
          <w:sz w:val="20"/>
          <w:szCs w:val="20"/>
        </w:rPr>
        <w:t xml:space="preserve">The February 2026 wave is the only zero and contains exactly the three problem accounts: Pet Retail Brands, Planet Mars and Melrose.</w:t>
      </w:r>
    </w:p>
    <w:p>
      <w:pPr>
        <w:pStyle w:val="Heading2"/>
        <w:spacing w:after="120" w:before="240"/>
      </w:pPr>
      <w:r>
        <w:rPr>
          <w:rFonts w:ascii="Calibri" w:cs="Calibri" w:eastAsia="Calibri" w:hAnsi="Calibri"/>
          <w:b/>
          <w:bCs/>
          <w:color w:val="070B97"/>
          <w:sz w:val="24"/>
          <w:szCs w:val="24"/>
        </w:rPr>
        <w:t xml:space="preserve">Successful recoveries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2100"/>
        <w:gridCol w:w="2100"/>
        <w:gridCol w:w="1500"/>
      </w:tblGrid>
      <w:tr>
        <w:trPr>
          <w:tblHeader/>
        </w:trPr>
        <w:tc>
          <w:tcPr>
            <w:tcW w:type="dxa" w:w="36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Debtor</w:t>
            </w:r>
          </w:p>
        </w:tc>
        <w:tc>
          <w:tcPr>
            <w:tcW w:type="dxa" w:w="21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Placed</w:t>
            </w:r>
          </w:p>
        </w:tc>
        <w:tc>
          <w:tcPr>
            <w:tcW w:type="dxa" w:w="21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Recovered</w:t>
            </w:r>
          </w:p>
        </w:tc>
        <w:tc>
          <w:tcPr>
            <w:tcW w:type="dxa" w:w="15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r>
      <w:tr>
        <w:tc>
          <w:tcPr>
            <w:tcW w:type="dxa" w:w="3660"/>
            <w:tcMar>
              <w:top w:type="dxa" w:w="60"/>
              <w:left w:type="dxa" w:w="100"/>
              <w:bottom w:type="dxa" w:w="60"/>
              <w:right w:type="dxa" w:w="100"/>
            </w:tcMar>
          </w:tcPr>
          <w:p>
            <w:r>
              <w:rPr>
                <w:rFonts w:ascii="Calibri" w:cs="Calibri" w:eastAsia="Calibri" w:hAnsi="Calibri"/>
                <w:sz w:val="18"/>
                <w:szCs w:val="18"/>
              </w:rPr>
              <w:t xml:space="preserve">Ottobock</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$85,850.79</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$77,942.09</w:t>
            </w:r>
          </w:p>
        </w:tc>
        <w:tc>
          <w:tcPr>
            <w:tcW w:type="dxa" w:w="1500"/>
            <w:tcMar>
              <w:top w:type="dxa" w:w="60"/>
              <w:left w:type="dxa" w:w="100"/>
              <w:bottom w:type="dxa" w:w="60"/>
              <w:right w:type="dxa" w:w="100"/>
            </w:tcMar>
          </w:tcPr>
          <w:p>
            <w:pPr>
              <w:jc w:val="right"/>
            </w:pPr>
            <w:r>
              <w:rPr>
                <w:rFonts w:ascii="Calibri" w:cs="Calibri" w:eastAsia="Calibri" w:hAnsi="Calibri"/>
                <w:sz w:val="18"/>
                <w:szCs w:val="18"/>
              </w:rPr>
              <w:t xml:space="preserve">90.8%</w:t>
            </w:r>
          </w:p>
        </w:tc>
      </w:tr>
      <w:tr>
        <w:tc>
          <w:tcPr>
            <w:tcW w:type="dxa" w:w="3660"/>
            <w:tcMar>
              <w:top w:type="dxa" w:w="60"/>
              <w:left w:type="dxa" w:w="100"/>
              <w:bottom w:type="dxa" w:w="60"/>
              <w:right w:type="dxa" w:w="100"/>
            </w:tcMar>
          </w:tcPr>
          <w:p>
            <w:r>
              <w:rPr>
                <w:rFonts w:ascii="Calibri" w:cs="Calibri" w:eastAsia="Calibri" w:hAnsi="Calibri"/>
                <w:sz w:val="18"/>
                <w:szCs w:val="18"/>
              </w:rPr>
              <w:t xml:space="preserve">The Abeco Organization</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$42,387.27</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$37,310.01</w:t>
            </w:r>
          </w:p>
        </w:tc>
        <w:tc>
          <w:tcPr>
            <w:tcW w:type="dxa" w:w="1500"/>
            <w:tcMar>
              <w:top w:type="dxa" w:w="60"/>
              <w:left w:type="dxa" w:w="100"/>
              <w:bottom w:type="dxa" w:w="60"/>
              <w:right w:type="dxa" w:w="100"/>
            </w:tcMar>
          </w:tcPr>
          <w:p>
            <w:pPr>
              <w:jc w:val="right"/>
            </w:pPr>
            <w:r>
              <w:rPr>
                <w:rFonts w:ascii="Calibri" w:cs="Calibri" w:eastAsia="Calibri" w:hAnsi="Calibri"/>
                <w:sz w:val="18"/>
                <w:szCs w:val="18"/>
              </w:rPr>
              <w:t xml:space="preserve">88.0%</w:t>
            </w:r>
          </w:p>
        </w:tc>
      </w:tr>
      <w:tr>
        <w:tc>
          <w:tcPr>
            <w:tcW w:type="dxa" w:w="3660"/>
            <w:tcMar>
              <w:top w:type="dxa" w:w="60"/>
              <w:left w:type="dxa" w:w="100"/>
              <w:bottom w:type="dxa" w:w="60"/>
              <w:right w:type="dxa" w:w="100"/>
            </w:tcMar>
          </w:tcPr>
          <w:p>
            <w:r>
              <w:rPr>
                <w:rFonts w:ascii="Calibri" w:cs="Calibri" w:eastAsia="Calibri" w:hAnsi="Calibri"/>
                <w:sz w:val="18"/>
                <w:szCs w:val="18"/>
              </w:rPr>
              <w:t xml:space="preserve">Vision General Construction</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$26,373.84</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$26,373.84</w:t>
            </w:r>
          </w:p>
        </w:tc>
        <w:tc>
          <w:tcPr>
            <w:tcW w:type="dxa" w:w="1500"/>
            <w:tcMar>
              <w:top w:type="dxa" w:w="60"/>
              <w:left w:type="dxa" w:w="100"/>
              <w:bottom w:type="dxa" w:w="60"/>
              <w:right w:type="dxa" w:w="100"/>
            </w:tcMar>
          </w:tcPr>
          <w:p>
            <w:pPr>
              <w:jc w:val="right"/>
            </w:pPr>
            <w:r>
              <w:rPr>
                <w:rFonts w:ascii="Calibri" w:cs="Calibri" w:eastAsia="Calibri" w:hAnsi="Calibri"/>
                <w:sz w:val="18"/>
                <w:szCs w:val="18"/>
              </w:rPr>
              <w:t xml:space="preserve">100%</w:t>
            </w:r>
          </w:p>
        </w:tc>
      </w:tr>
      <w:tr>
        <w:tc>
          <w:tcPr>
            <w:tcW w:type="dxa" w:w="3660"/>
            <w:tcMar>
              <w:top w:type="dxa" w:w="60"/>
              <w:left w:type="dxa" w:w="100"/>
              <w:bottom w:type="dxa" w:w="60"/>
              <w:right w:type="dxa" w:w="100"/>
            </w:tcMar>
          </w:tcPr>
          <w:p>
            <w:r>
              <w:rPr>
                <w:rFonts w:ascii="Calibri" w:cs="Calibri" w:eastAsia="Calibri" w:hAnsi="Calibri"/>
                <w:sz w:val="18"/>
                <w:szCs w:val="18"/>
              </w:rPr>
              <w:t xml:space="preserve">Alrig USA</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$5,560.49</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$5,560.49</w:t>
            </w:r>
          </w:p>
        </w:tc>
        <w:tc>
          <w:tcPr>
            <w:tcW w:type="dxa" w:w="1500"/>
            <w:tcMar>
              <w:top w:type="dxa" w:w="60"/>
              <w:left w:type="dxa" w:w="100"/>
              <w:bottom w:type="dxa" w:w="60"/>
              <w:right w:type="dxa" w:w="100"/>
            </w:tcMar>
          </w:tcPr>
          <w:p>
            <w:pPr>
              <w:jc w:val="right"/>
            </w:pPr>
            <w:r>
              <w:rPr>
                <w:rFonts w:ascii="Calibri" w:cs="Calibri" w:eastAsia="Calibri" w:hAnsi="Calibri"/>
                <w:sz w:val="18"/>
                <w:szCs w:val="18"/>
              </w:rPr>
              <w:t xml:space="preserve">100%</w:t>
            </w:r>
          </w:p>
        </w:tc>
      </w:tr>
      <w:tr>
        <w:tc>
          <w:tcPr>
            <w:tcW w:type="dxa" w:w="3660"/>
            <w:tcMar>
              <w:top w:type="dxa" w:w="60"/>
              <w:left w:type="dxa" w:w="100"/>
              <w:bottom w:type="dxa" w:w="60"/>
              <w:right w:type="dxa" w:w="100"/>
            </w:tcMar>
          </w:tcPr>
          <w:p>
            <w:r>
              <w:rPr>
                <w:rFonts w:ascii="Calibri" w:cs="Calibri" w:eastAsia="Calibri" w:hAnsi="Calibri"/>
                <w:sz w:val="18"/>
                <w:szCs w:val="18"/>
              </w:rPr>
              <w:t xml:space="preserve">Jim Wood Company</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$1,601.07</w:t>
            </w:r>
          </w:p>
        </w:tc>
        <w:tc>
          <w:tcPr>
            <w:tcW w:type="dxa" w:w="2100"/>
            <w:tcMar>
              <w:top w:type="dxa" w:w="60"/>
              <w:left w:type="dxa" w:w="100"/>
              <w:bottom w:type="dxa" w:w="60"/>
              <w:right w:type="dxa" w:w="100"/>
            </w:tcMar>
          </w:tcPr>
          <w:p>
            <w:pPr>
              <w:jc w:val="right"/>
            </w:pPr>
            <w:r>
              <w:rPr>
                <w:rFonts w:ascii="Calibri" w:cs="Calibri" w:eastAsia="Calibri" w:hAnsi="Calibri"/>
                <w:sz w:val="18"/>
                <w:szCs w:val="18"/>
              </w:rPr>
              <w:t xml:space="preserve">$1,601.01</w:t>
            </w:r>
          </w:p>
        </w:tc>
        <w:tc>
          <w:tcPr>
            <w:tcW w:type="dxa" w:w="1500"/>
            <w:tcMar>
              <w:top w:type="dxa" w:w="60"/>
              <w:left w:type="dxa" w:w="100"/>
              <w:bottom w:type="dxa" w:w="60"/>
              <w:right w:type="dxa" w:w="100"/>
            </w:tcMar>
          </w:tcPr>
          <w:p>
            <w:pPr>
              <w:jc w:val="right"/>
            </w:pPr>
            <w:r>
              <w:rPr>
                <w:rFonts w:ascii="Calibri" w:cs="Calibri" w:eastAsia="Calibri" w:hAnsi="Calibri"/>
                <w:sz w:val="18"/>
                <w:szCs w:val="18"/>
              </w:rPr>
              <w:t xml:space="preserve">100%</w:t>
            </w:r>
          </w:p>
        </w:tc>
      </w:tr>
    </w:tbl>
    <w:p>
      <w:r>
        <w:br w:type="page"/>
      </w:r>
    </w:p>
    <w:p>
      <w:pPr>
        <w:pStyle w:val="Heading1"/>
        <w:spacing w:after="120" w:before="320"/>
      </w:pPr>
      <w:r>
        <w:rPr>
          <w:rFonts w:ascii="Calibri" w:cs="Calibri" w:eastAsia="Calibri" w:hAnsi="Calibri"/>
          <w:b/>
          <w:bCs/>
          <w:color w:val="070B97"/>
          <w:sz w:val="30"/>
          <w:szCs w:val="30"/>
        </w:rPr>
        <w:t xml:space="preserve">3. Why the Open Accounts Stalled</w:t>
      </w:r>
    </w:p>
    <w:p>
      <w:pPr>
        <w:spacing w:after="120"/>
      </w:pPr>
      <w:r>
        <w:rPr>
          <w:rFonts w:ascii="Calibri" w:cs="Calibri" w:eastAsia="Calibri" w:hAnsi="Calibri"/>
          <w:b/>
          <w:bCs/>
          <w:sz w:val="20"/>
          <w:szCs w:val="20"/>
        </w:rPr>
        <w:t xml:space="preserve">85% of the open balance is owed by entities with clear capacity to pay. Only Harper-Allen was ever claimed to be defunct, and that claim is now contradicted. This book does not have an insolvency problem.</w:t>
      </w:r>
    </w:p>
    <w:p>
      <w:pPr>
        <w:spacing w:after="40" w:before="120"/>
      </w:pPr>
      <w:r>
        <w:rPr>
          <w:rFonts w:ascii="Calibri" w:cs="Calibri" w:eastAsia="Calibri" w:hAnsi="Calibri"/>
          <w:b/>
          <w:bCs/>
          <w:color w:val="0446F1"/>
          <w:sz w:val="20"/>
          <w:szCs w:val="20"/>
        </w:rPr>
        <w:t xml:space="preserve">Stale contacts absorbed the effort.</w:t>
      </w:r>
    </w:p>
    <w:p>
      <w:pPr>
        <w:spacing w:after="120"/>
      </w:pPr>
      <w:r>
        <w:rPr>
          <w:rFonts w:ascii="Calibri" w:cs="Calibri" w:eastAsia="Calibri" w:hAnsi="Calibri"/>
          <w:sz w:val="20"/>
          <w:szCs w:val="20"/>
        </w:rPr>
        <w:t xml:space="preserve">Pet Retail Brands was chased through a CFO who left over a year ago and a president who retired in 2016. James Construction received 48 emails at an address whose owner departed in February 2026 and left an auto-reply naming her replacement — only 2 went to the live address.</w:t>
      </w:r>
    </w:p>
    <w:p>
      <w:pPr>
        <w:spacing w:after="40" w:before="120"/>
      </w:pPr>
      <w:r>
        <w:rPr>
          <w:rFonts w:ascii="Calibri" w:cs="Calibri" w:eastAsia="Calibri" w:hAnsi="Calibri"/>
          <w:b/>
          <w:bCs/>
          <w:color w:val="0446F1"/>
          <w:sz w:val="20"/>
          <w:szCs w:val="20"/>
        </w:rPr>
        <w:t xml:space="preserve">No escalation above the accounts-payable clerk.</w:t>
      </w:r>
    </w:p>
    <w:p>
      <w:pPr>
        <w:spacing w:after="120"/>
      </w:pPr>
      <w:r>
        <w:rPr>
          <w:rFonts w:ascii="Calibri" w:cs="Calibri" w:eastAsia="Calibri" w:hAnsi="Calibri"/>
          <w:sz w:val="20"/>
          <w:szCs w:val="20"/>
        </w:rPr>
        <w:t xml:space="preserve">Employbridge, the largest industrial staffing company in the United States, received 37 emails to one branch contact over a $2,694 balance and not one went to Atlanta corporate. Lightning Electric routed all 22 calls back to one person who was avoiding them.</w:t>
      </w:r>
    </w:p>
    <w:p>
      <w:pPr>
        <w:spacing w:after="40" w:before="120"/>
      </w:pPr>
      <w:r>
        <w:rPr>
          <w:rFonts w:ascii="Calibri" w:cs="Calibri" w:eastAsia="Calibri" w:hAnsi="Calibri"/>
          <w:b/>
          <w:bCs/>
          <w:color w:val="0446F1"/>
          <w:sz w:val="20"/>
          <w:szCs w:val="20"/>
        </w:rPr>
        <w:t xml:space="preserve">Unanswered questions to the client blocked the file.</w:t>
      </w:r>
    </w:p>
    <w:p>
      <w:pPr>
        <w:spacing w:after="120"/>
      </w:pPr>
      <w:r>
        <w:rPr>
          <w:rFonts w:ascii="Calibri" w:cs="Calibri" w:eastAsia="Calibri" w:hAnsi="Calibri"/>
          <w:sz w:val="20"/>
          <w:szCs w:val="20"/>
        </w:rPr>
        <w:t xml:space="preserve">Planet Mars stalled twice on an unresolved personal-guaranty question. Melrose stalled on a short-pay reconciliation nobody produced. Ottobock was closed with a live invoice dispute still open after recovering 90.8%.</w:t>
      </w:r>
    </w:p>
    <w:p>
      <w:pPr>
        <w:pStyle w:val="Heading1"/>
        <w:spacing w:after="120" w:before="320"/>
      </w:pPr>
      <w:r>
        <w:rPr>
          <w:rFonts w:ascii="Calibri" w:cs="Calibri" w:eastAsia="Calibri" w:hAnsi="Calibri"/>
          <w:b/>
          <w:bCs/>
          <w:color w:val="070B97"/>
          <w:sz w:val="30"/>
          <w:szCs w:val="30"/>
        </w:rPr>
        <w:t xml:space="preserve">4. Work Performed</w:t>
      </w:r>
    </w:p>
    <w:p>
      <w:pPr>
        <w:pStyle w:val="Heading2"/>
        <w:spacing w:after="120" w:before="240"/>
      </w:pPr>
      <w:r>
        <w:rPr>
          <w:rFonts w:ascii="Calibri" w:cs="Calibri" w:eastAsia="Calibri" w:hAnsi="Calibri"/>
          <w:b/>
          <w:bCs/>
          <w:color w:val="070B97"/>
          <w:sz w:val="24"/>
          <w:szCs w:val="24"/>
        </w:rPr>
        <w:t xml:space="preserve">Data pulled</w:t>
      </w:r>
    </w:p>
    <w:p>
      <w:pPr>
        <w:pStyle w:val="ListParagraph"/>
        <w:numPr>
          <w:ilvl w:val="0"/>
          <w:numId w:val="1"/>
        </w:numPr>
        <w:spacing w:after="80"/>
      </w:pPr>
      <w:r>
        <w:rPr>
          <w:rFonts w:ascii="Calibri" w:cs="Calibri" w:eastAsia="Calibri" w:hAnsi="Calibri"/>
          <w:sz w:val="20"/>
          <w:szCs w:val="20"/>
        </w:rPr>
        <w:t xml:space="preserve">Full ADS collection log — 1,215 notes and 36 dial records across all 14 accounts, pulled live from the SWRS portal API</w:t>
      </w:r>
    </w:p>
    <w:p>
      <w:pPr>
        <w:pStyle w:val="ListParagraph"/>
        <w:numPr>
          <w:ilvl w:val="0"/>
          <w:numId w:val="1"/>
        </w:numPr>
        <w:spacing w:after="80"/>
      </w:pPr>
      <w:r>
        <w:rPr>
          <w:rFonts w:ascii="Calibri" w:cs="Calibri" w:eastAsia="Calibri" w:hAnsi="Calibri"/>
          <w:sz w:val="20"/>
          <w:szCs w:val="20"/>
        </w:rPr>
        <w:t xml:space="preserve">Account Summary (DOR–DOA) reconciled against the collection log; ties to $0.00</w:t>
      </w:r>
    </w:p>
    <w:p>
      <w:pPr>
        <w:pStyle w:val="ListParagraph"/>
        <w:numPr>
          <w:ilvl w:val="0"/>
          <w:numId w:val="1"/>
        </w:numPr>
        <w:spacing w:after="80"/>
      </w:pPr>
      <w:r>
        <w:rPr>
          <w:rFonts w:ascii="Calibri" w:cs="Calibri" w:eastAsia="Calibri" w:hAnsi="Calibri"/>
          <w:sz w:val="20"/>
          <w:szCs w:val="20"/>
        </w:rPr>
        <w:t xml:space="preserve">Activity classified into 1,203 actions: 406 calls, 162 emails, 45 letters, 26 validation notices, 43 skip-trace, 19 payment promises, 18 direct-pay notifications</w:t>
      </w:r>
    </w:p>
    <w:p>
      <w:pPr>
        <w:pStyle w:val="Heading2"/>
        <w:spacing w:after="120" w:before="240"/>
      </w:pPr>
      <w:r>
        <w:rPr>
          <w:rFonts w:ascii="Calibri" w:cs="Calibri" w:eastAsia="Calibri" w:hAnsi="Calibri"/>
          <w:b/>
          <w:bCs/>
          <w:color w:val="070B97"/>
          <w:sz w:val="24"/>
          <w:szCs w:val="24"/>
        </w:rPr>
        <w:t xml:space="preserve">Apollo enrichment</w:t>
      </w:r>
    </w:p>
    <w:p>
      <w:pPr>
        <w:spacing w:after="120"/>
      </w:pPr>
      <w:r>
        <w:rPr>
          <w:rFonts w:ascii="Calibri" w:cs="Calibri" w:eastAsia="Calibri" w:hAnsi="Calibri"/>
          <w:sz w:val="20"/>
          <w:szCs w:val="20"/>
        </w:rPr>
        <w:t xml:space="preserve">14 records enriched, 14/14 matched, 14 credits consumed, 13 verified work emails returned. Covers the four largest solvent debtors. Seven smaller debtors returned no Apollo coverage — a documented negative result, not a gap.</w:t>
      </w:r>
    </w:p>
    <w:p>
      <w:pPr>
        <w:pStyle w:val="Heading2"/>
        <w:spacing w:after="120" w:before="240"/>
      </w:pPr>
      <w:r>
        <w:rPr>
          <w:rFonts w:ascii="Calibri" w:cs="Calibri" w:eastAsia="Calibri" w:hAnsi="Calibri"/>
          <w:b/>
          <w:bCs/>
          <w:color w:val="070B97"/>
          <w:sz w:val="24"/>
          <w:szCs w:val="24"/>
        </w:rPr>
        <w:t xml:space="preserve">Legal and public-record research</w:t>
      </w:r>
    </w:p>
    <w:p>
      <w:pPr>
        <w:pStyle w:val="ListParagraph"/>
        <w:numPr>
          <w:ilvl w:val="0"/>
          <w:numId w:val="1"/>
        </w:numPr>
        <w:spacing w:after="80"/>
      </w:pPr>
      <w:r>
        <w:rPr>
          <w:rFonts w:ascii="Calibri" w:cs="Calibri" w:eastAsia="Calibri" w:hAnsi="Calibri"/>
          <w:sz w:val="20"/>
          <w:szCs w:val="20"/>
        </w:rPr>
        <w:t xml:space="preserve">PACER / RECAP federal docket search on all 11 open accounts</w:t>
      </w:r>
    </w:p>
    <w:p>
      <w:pPr>
        <w:pStyle w:val="ListParagraph"/>
        <w:numPr>
          <w:ilvl w:val="0"/>
          <w:numId w:val="1"/>
        </w:numPr>
        <w:spacing w:after="80"/>
      </w:pPr>
      <w:r>
        <w:rPr>
          <w:rFonts w:ascii="Calibri" w:cs="Calibri" w:eastAsia="Calibri" w:hAnsi="Calibri"/>
          <w:sz w:val="20"/>
          <w:szCs w:val="20"/>
        </w:rPr>
        <w:t xml:space="preserve">Florida Division of Corporations (Sunbiz) — full primary record for Pet Supermarket, Inc.</w:t>
      </w:r>
    </w:p>
    <w:p>
      <w:pPr>
        <w:pStyle w:val="ListParagraph"/>
        <w:numPr>
          <w:ilvl w:val="0"/>
          <w:numId w:val="1"/>
        </w:numPr>
        <w:spacing w:after="80"/>
      </w:pPr>
      <w:r>
        <w:rPr>
          <w:rFonts w:ascii="Calibri" w:cs="Calibri" w:eastAsia="Calibri" w:hAnsi="Calibri"/>
          <w:sz w:val="20"/>
          <w:szCs w:val="20"/>
        </w:rPr>
        <w:t xml:space="preserve">New York Department of State — Abeco entity network and property-LLC map</w:t>
      </w:r>
    </w:p>
    <w:p>
      <w:pPr>
        <w:pStyle w:val="ListParagraph"/>
        <w:numPr>
          <w:ilvl w:val="0"/>
          <w:numId w:val="1"/>
        </w:numPr>
        <w:spacing w:after="80"/>
      </w:pPr>
      <w:r>
        <w:rPr>
          <w:rFonts w:ascii="Calibri" w:cs="Calibri" w:eastAsia="Calibri" w:hAnsi="Calibri"/>
          <w:sz w:val="20"/>
          <w:szCs w:val="20"/>
        </w:rPr>
        <w:t xml:space="preserve">Texas Comptroller franchise-tax check</w:t>
      </w:r>
    </w:p>
    <w:p>
      <w:pPr>
        <w:pStyle w:val="ListParagraph"/>
        <w:numPr>
          <w:ilvl w:val="0"/>
          <w:numId w:val="1"/>
        </w:numPr>
        <w:spacing w:after="80"/>
      </w:pPr>
      <w:r>
        <w:rPr>
          <w:rFonts w:ascii="Calibri" w:cs="Calibri" w:eastAsia="Calibri" w:hAnsi="Calibri"/>
          <w:sz w:val="20"/>
          <w:szCs w:val="20"/>
        </w:rPr>
        <w:t xml:space="preserve">Court records — Cass County, Indiana (Harper-Allen)</w:t>
      </w:r>
    </w:p>
    <w:p>
      <w:pPr>
        <w:pStyle w:val="Heading2"/>
        <w:spacing w:after="120" w:before="240"/>
      </w:pPr>
      <w:r>
        <w:rPr>
          <w:rFonts w:ascii="Calibri" w:cs="Calibri" w:eastAsia="Calibri" w:hAnsi="Calibri"/>
          <w:b/>
          <w:bCs/>
          <w:color w:val="070B97"/>
          <w:sz w:val="24"/>
          <w:szCs w:val="24"/>
        </w:rPr>
        <w:t xml:space="preserve">Compliance screening</w:t>
      </w:r>
    </w:p>
    <w:p>
      <w:pPr>
        <w:pStyle w:val="ListParagraph"/>
        <w:numPr>
          <w:ilvl w:val="0"/>
          <w:numId w:val="1"/>
        </w:numPr>
        <w:spacing w:after="80"/>
      </w:pPr>
      <w:r>
        <w:rPr>
          <w:rFonts w:ascii="Calibri" w:cs="Calibri" w:eastAsia="Calibri" w:hAnsi="Calibri"/>
          <w:sz w:val="20"/>
          <w:szCs w:val="20"/>
        </w:rPr>
        <w:t xml:space="preserve">NEGSCRUB batch queued through the Legal-Research Gateway, all 11 accounts accepted</w:t>
      </w:r>
    </w:p>
    <w:p>
      <w:pPr>
        <w:pStyle w:val="ListParagraph"/>
        <w:numPr>
          <w:ilvl w:val="0"/>
          <w:numId w:val="1"/>
        </w:numPr>
        <w:spacing w:after="80"/>
      </w:pPr>
      <w:r>
        <w:rPr>
          <w:rFonts w:ascii="Calibri" w:cs="Calibri" w:eastAsia="Calibri" w:hAnsi="Calibri"/>
          <w:sz w:val="20"/>
          <w:szCs w:val="20"/>
        </w:rPr>
        <w:t xml:space="preserve">Entity-status check run on all 11</w:t>
      </w:r>
    </w:p>
    <w:p>
      <w:pPr>
        <w:pStyle w:val="ListParagraph"/>
        <w:numPr>
          <w:ilvl w:val="0"/>
          <w:numId w:val="1"/>
        </w:numPr>
        <w:spacing w:after="80"/>
      </w:pPr>
      <w:r>
        <w:rPr>
          <w:rFonts w:ascii="Calibri" w:cs="Calibri" w:eastAsia="Calibri" w:hAnsi="Calibri"/>
          <w:sz w:val="20"/>
          <w:szCs w:val="20"/>
        </w:rPr>
        <w:t xml:space="preserve">Zero adverse findings. No bankruptcy filing as debtor anywhere in the book.</w:t>
      </w:r>
    </w:p>
    <w:p>
      <w:r>
        <w:br w:type="page"/>
      </w:r>
    </w:p>
    <w:p>
      <w:pPr>
        <w:pStyle w:val="Heading1"/>
        <w:spacing w:after="120" w:before="320"/>
      </w:pPr>
      <w:r>
        <w:rPr>
          <w:rFonts w:ascii="Calibri" w:cs="Calibri" w:eastAsia="Calibri" w:hAnsi="Calibri"/>
          <w:b/>
          <w:bCs/>
          <w:color w:val="070B97"/>
          <w:sz w:val="30"/>
          <w:szCs w:val="30"/>
        </w:rPr>
        <w:t xml:space="preserve">5. Entity Register — Verification Status</w:t>
      </w:r>
    </w:p>
    <w:p>
      <w:pPr>
        <w:spacing w:after="120"/>
      </w:pPr>
      <w:r>
        <w:rPr>
          <w:rFonts w:ascii="Calibri" w:cs="Calibri" w:eastAsia="Calibri" w:hAnsi="Calibri"/>
          <w:b/>
          <w:bCs/>
          <w:sz w:val="20"/>
          <w:szCs w:val="20"/>
        </w:rPr>
        <w:t xml:space="preserve">4 of 11 debtors, $181,537 of $217,739 (83% of open balance), now rest on a primary-source record. Do not assert status for anything marked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Confidence</w:t>
            </w:r>
          </w:p>
        </w:tc>
        <w:tc>
          <w:tcPr>
            <w:tcW w:type="dxa" w:w="3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c>
          <w:tcPr>
            <w:tcW w:type="dxa" w:w="46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Debtors</w:t>
            </w:r>
          </w:p>
        </w:tc>
      </w:tr>
      <w:tr>
        <w:tc>
          <w:tcPr>
            <w:tcW w:type="dxa" w:w="1500"/>
            <w:tcMar>
              <w:top w:type="dxa" w:w="60"/>
              <w:left w:type="dxa" w:w="100"/>
              <w:bottom w:type="dxa" w:w="60"/>
              <w:right w:type="dxa" w:w="100"/>
            </w:tcMar>
          </w:tcPr>
          <w:p>
            <w:r>
              <w:rPr>
                <w:rFonts w:ascii="Calibri" w:cs="Calibri" w:eastAsia="Calibri" w:hAnsi="Calibri"/>
                <w:sz w:val="18"/>
                <w:szCs w:val="18"/>
              </w:rPr>
              <w:t xml:space="preserve">VERIFIED</w:t>
            </w:r>
          </w:p>
        </w:tc>
        <w:tc>
          <w:tcPr>
            <w:tcW w:type="dxa" w:w="3200"/>
            <w:tcMar>
              <w:top w:type="dxa" w:w="60"/>
              <w:left w:type="dxa" w:w="100"/>
              <w:bottom w:type="dxa" w:w="60"/>
              <w:right w:type="dxa" w:w="100"/>
            </w:tcMar>
          </w:tcPr>
          <w:p>
            <w:r>
              <w:rPr>
                <w:rFonts w:ascii="Calibri" w:cs="Calibri" w:eastAsia="Calibri" w:hAnsi="Calibri"/>
                <w:sz w:val="18"/>
                <w:szCs w:val="18"/>
              </w:rPr>
              <w:t xml:space="preserve">State registry or court file retrieved</w:t>
            </w:r>
          </w:p>
        </w:tc>
        <w:tc>
          <w:tcPr>
            <w:tcW w:type="dxa" w:w="4660"/>
            <w:tcMar>
              <w:top w:type="dxa" w:w="60"/>
              <w:left w:type="dxa" w:w="100"/>
              <w:bottom w:type="dxa" w:w="60"/>
              <w:right w:type="dxa" w:w="100"/>
            </w:tcMar>
          </w:tcPr>
          <w:p>
            <w:r>
              <w:rPr>
                <w:rFonts w:ascii="Calibri" w:cs="Calibri" w:eastAsia="Calibri" w:hAnsi="Calibri"/>
                <w:sz w:val="18"/>
                <w:szCs w:val="18"/>
              </w:rPr>
              <w:t xml:space="preserve">Pet Supermarket Inc. · Abeco · Harper-Allen · Employbridge</w:t>
            </w:r>
          </w:p>
        </w:tc>
      </w:tr>
      <w:tr>
        <w:tc>
          <w:tcPr>
            <w:tcW w:type="dxa" w:w="1500"/>
            <w:tcMar>
              <w:top w:type="dxa" w:w="60"/>
              <w:left w:type="dxa" w:w="100"/>
              <w:bottom w:type="dxa" w:w="60"/>
              <w:right w:type="dxa" w:w="100"/>
            </w:tcMar>
          </w:tcPr>
          <w:p>
            <w:r>
              <w:rPr>
                <w:rFonts w:ascii="Calibri" w:cs="Calibri" w:eastAsia="Calibri" w:hAnsi="Calibri"/>
                <w:sz w:val="18"/>
                <w:szCs w:val="18"/>
              </w:rPr>
              <w:t xml:space="preserve">PARTIAL</w:t>
            </w:r>
          </w:p>
        </w:tc>
        <w:tc>
          <w:tcPr>
            <w:tcW w:type="dxa" w:w="3200"/>
            <w:tcMar>
              <w:top w:type="dxa" w:w="60"/>
              <w:left w:type="dxa" w:w="100"/>
              <w:bottom w:type="dxa" w:w="60"/>
              <w:right w:type="dxa" w:w="100"/>
            </w:tcMar>
          </w:tcPr>
          <w:p>
            <w:r>
              <w:rPr>
                <w:rFonts w:ascii="Calibri" w:cs="Calibri" w:eastAsia="Calibri" w:hAnsi="Calibri"/>
                <w:sz w:val="18"/>
                <w:szCs w:val="18"/>
              </w:rPr>
              <w:t xml:space="preserve">Operating confirmed, formal standing not pulled</w:t>
            </w:r>
          </w:p>
        </w:tc>
        <w:tc>
          <w:tcPr>
            <w:tcW w:type="dxa" w:w="4660"/>
            <w:tcMar>
              <w:top w:type="dxa" w:w="60"/>
              <w:left w:type="dxa" w:w="100"/>
              <w:bottom w:type="dxa" w:w="60"/>
              <w:right w:type="dxa" w:w="100"/>
            </w:tcMar>
          </w:tcPr>
          <w:p>
            <w:r>
              <w:rPr>
                <w:rFonts w:ascii="Calibri" w:cs="Calibri" w:eastAsia="Calibri" w:hAnsi="Calibri"/>
                <w:sz w:val="18"/>
                <w:szCs w:val="18"/>
              </w:rPr>
              <w:t xml:space="preserve">Planet Mars · Ottobock · Lightning Electric · Robertson &amp; Olson</w:t>
            </w:r>
          </w:p>
        </w:tc>
      </w:tr>
      <w:tr>
        <w:tc>
          <w:tcPr>
            <w:tcW w:type="dxa" w:w="1500"/>
            <w:tcMar>
              <w:top w:type="dxa" w:w="60"/>
              <w:left w:type="dxa" w:w="100"/>
              <w:bottom w:type="dxa" w:w="60"/>
              <w:right w:type="dxa" w:w="100"/>
            </w:tcMar>
          </w:tcPr>
          <w:p>
            <w:r>
              <w:rPr>
                <w:rFonts w:ascii="Calibri" w:cs="Calibri" w:eastAsia="Calibri" w:hAnsi="Calibri"/>
                <w:sz w:val="18"/>
                <w:szCs w:val="18"/>
              </w:rPr>
              <w:t xml:space="preserve">LOW</w:t>
            </w:r>
          </w:p>
        </w:tc>
        <w:tc>
          <w:tcPr>
            <w:tcW w:type="dxa" w:w="3200"/>
            <w:tcMar>
              <w:top w:type="dxa" w:w="60"/>
              <w:left w:type="dxa" w:w="100"/>
              <w:bottom w:type="dxa" w:w="60"/>
              <w:right w:type="dxa" w:w="100"/>
            </w:tcMar>
          </w:tcPr>
          <w:p>
            <w:r>
              <w:rPr>
                <w:rFonts w:ascii="Calibri" w:cs="Calibri" w:eastAsia="Calibri" w:hAnsi="Calibri"/>
                <w:sz w:val="18"/>
                <w:szCs w:val="18"/>
              </w:rPr>
              <w:t xml:space="preserve">Registry not retrieved — assert nothing</w:t>
            </w:r>
          </w:p>
        </w:tc>
        <w:tc>
          <w:tcPr>
            <w:tcW w:type="dxa" w:w="4660"/>
            <w:tcMar>
              <w:top w:type="dxa" w:w="60"/>
              <w:left w:type="dxa" w:w="100"/>
              <w:bottom w:type="dxa" w:w="60"/>
              <w:right w:type="dxa" w:w="100"/>
            </w:tcMar>
          </w:tcPr>
          <w:p>
            <w:r>
              <w:rPr>
                <w:rFonts w:ascii="Calibri" w:cs="Calibri" w:eastAsia="Calibri" w:hAnsi="Calibri"/>
                <w:sz w:val="18"/>
                <w:szCs w:val="18"/>
              </w:rPr>
              <w:t xml:space="preserve">James Construction · Melrose · SCI Group</w:t>
            </w:r>
          </w:p>
        </w:tc>
      </w:tr>
    </w:tbl>
    <w:p>
      <w:pPr>
        <w:spacing w:after="120"/>
      </w:pPr>
      <w:r>
        <w:rPr>
          <w:rFonts w:ascii="Calibri" w:cs="Calibri" w:eastAsia="Calibri" w:hAnsi="Calibri"/>
          <w:sz w:val="20"/>
          <w:szCs w:val="20"/>
        </w:rPr>
        <w:t xml:space="preserve"/>
      </w:r>
    </w:p>
    <w:p>
      <w:pPr>
        <w:spacing w:after="120"/>
      </w:pPr>
      <w:r>
        <w:rPr>
          <w:rFonts w:ascii="Calibri" w:cs="Calibri" w:eastAsia="Calibri" w:hAnsi="Calibri"/>
          <w:sz w:val="20"/>
          <w:szCs w:val="20"/>
        </w:rPr>
        <w:t xml:space="preserve">Registries not retrieved: Wisconsin, Missouri, Illinois. Actively blocked: California bizfile API (bot protection) and Washington CCFS (verification interstitial). Recommended: $5 Certificate of Status on Planet Mars and Melrose — a California FTB-suspended corporation loses the capacity to defend a suit.</w:t>
      </w:r>
    </w:p>
    <w:p>
      <w:pPr>
        <w:pStyle w:val="Heading1"/>
        <w:spacing w:after="120" w:before="320"/>
      </w:pPr>
      <w:r>
        <w:rPr>
          <w:rFonts w:ascii="Calibri" w:cs="Calibri" w:eastAsia="Calibri" w:hAnsi="Calibri"/>
          <w:b/>
          <w:bCs/>
          <w:color w:val="070B97"/>
          <w:sz w:val="30"/>
          <w:szCs w:val="30"/>
        </w:rPr>
        <w:t xml:space="preserve">6. Key Findings by Account</w:t>
      </w:r>
    </w:p>
    <w:p>
      <w:pPr>
        <w:spacing w:after="60" w:before="200"/>
      </w:pPr>
      <w:r>
        <w:rPr>
          <w:rFonts w:ascii="Calibri" w:cs="Calibri" w:eastAsia="Calibri" w:hAnsi="Calibri"/>
          <w:b/>
          <w:bCs/>
          <w:color w:val="070B97"/>
          <w:sz w:val="22"/>
          <w:szCs w:val="22"/>
        </w:rPr>
        <w:t xml:space="preserve">PET RETAIL BRANDS — $170,196.03 — priority 1</w:t>
      </w:r>
    </w:p>
    <w:p>
      <w:pPr>
        <w:spacing w:after="120"/>
      </w:pPr>
      <w:r>
        <w:rPr>
          <w:rFonts w:ascii="Calibri" w:cs="Calibri" w:eastAsia="Calibri" w:hAnsi="Calibri"/>
          <w:sz w:val="20"/>
          <w:szCs w:val="20"/>
        </w:rPr>
        <w:t xml:space="preserve">Verified from Florida Sunbiz: PET SUPERMARKET, INC., Document No. J09734, EIN 59-2664699, Florida Profit Corporation filed 04/16/1986, status ACTIVE. Principal 1100 International Pkwy, Sunrise FL 33323. Registered agent Corporation Service Company, 1201 Hays Street, Tallahassee FL 32301-2525. Officers: Brendan Proctor (CEO), Lisa Ly, Chadwick Hamby, Todd Northcutt. 2026 annual report filed. Venue Broward County, 17th Judicial Circuit.</w:t>
      </w:r>
    </w:p>
    <w:p>
      <w:pPr>
        <w:spacing w:after="120"/>
      </w:pPr>
      <w:r>
        <w:rPr>
          <w:rFonts w:ascii="Calibri" w:cs="Calibri" w:eastAsia="Calibri" w:hAnsi="Calibri"/>
          <w:sz w:val="20"/>
          <w:szCs w:val="20"/>
        </w:rPr>
        <w:t xml:space="preserve">Ownership: Roark Capital acquired Pet Valu (2009) and Pet Supermarket (2015), merging them as Pet Retail Brands in 2016. Pet Valu Holdings trades on the TSX (PET) — FY2024 revenue $1,097.2M, net income $87.4M. Roark retained roughly 62% post-IPO.</w:t>
      </w:r>
    </w:p>
    <w:p>
      <w:pPr>
        <w:spacing w:after="120"/>
      </w:pPr>
      <w:r>
        <w:rPr>
          <w:rFonts w:ascii="Calibri" w:cs="Calibri" w:eastAsia="Calibri" w:hAnsi="Calibri"/>
          <w:sz w:val="20"/>
          <w:szCs w:val="20"/>
        </w:rPr>
        <w:t xml:space="preserve">NAMING RISK: no active Florida corporation exists under the exact name "PET RETAIL BRANDS." Suing in that name repeats the Abeco defect.</w:t>
      </w:r>
    </w:p>
    <w:p>
      <w:pPr>
        <w:spacing w:after="120"/>
      </w:pPr>
      <w:r>
        <w:rPr>
          <w:rFonts w:ascii="Calibri" w:cs="Calibri" w:eastAsia="Calibri" w:hAnsi="Calibri"/>
          <w:sz w:val="20"/>
          <w:szCs w:val="20"/>
        </w:rPr>
        <w:t xml:space="preserve">Why it stalled: three CEOs and a CFO turned over while our file was open. Holtz retired 2016, Tannenbaum arrived late 2023 and has since departed to Worldpac, Proctor took over in 2026. CFO Paul Keller departed over a year ago. Proctor started 02/01/2026 and Vixxo placed this account 02/04/2026 — he inherited it in his first week.</w:t>
      </w:r>
    </w:p>
    <w:p>
      <w:pPr>
        <w:spacing w:after="120"/>
      </w:pPr>
      <w:r>
        <w:rPr>
          <w:rFonts w:ascii="Calibri" w:cs="Calibri" w:eastAsia="Calibri" w:hAnsi="Calibri"/>
          <w:sz w:val="20"/>
          <w:szCs w:val="20"/>
        </w:rPr>
        <w:t xml:space="preserve">Open door nobody used: AP Manager Michelle Brown asked our representative to "have your General Counsel contact me — it's an accounts payable issue." Never followed up.</w:t>
      </w:r>
    </w:p>
    <w:p>
      <w:pPr>
        <w:spacing w:after="120"/>
      </w:pPr>
      <w:r>
        <w:rPr>
          <w:rFonts w:ascii="Calibri" w:cs="Calibri" w:eastAsia="Calibri" w:hAnsi="Calibri"/>
          <w:sz w:val="20"/>
          <w:szCs w:val="20"/>
        </w:rPr>
        <w:t xml:space="preserve">Contrary signal, stated plainly: Apollo shows Pet Supermarket headcount down 13.3% over 24 months. Consolidation rather than distress, but it is a contraction trend.</w:t>
      </w:r>
    </w:p>
    <w:p>
      <w:pPr>
        <w:spacing w:after="60" w:before="200"/>
      </w:pPr>
      <w:r>
        <w:rPr>
          <w:rFonts w:ascii="Calibri" w:cs="Calibri" w:eastAsia="Calibri" w:hAnsi="Calibri"/>
          <w:b/>
          <w:bCs/>
          <w:color w:val="070B97"/>
          <w:sz w:val="22"/>
          <w:szCs w:val="22"/>
        </w:rPr>
        <w:t xml:space="preserve">HARPER-ALLEN CONSTRUCTION — $3,570.03 — REVERSES EARLIER CONCLUSION</w:t>
      </w:r>
    </w:p>
    <w:p>
      <w:pPr>
        <w:spacing w:after="120"/>
      </w:pPr>
      <w:r>
        <w:rPr>
          <w:rFonts w:ascii="Calibri" w:cs="Calibri" w:eastAsia="Calibri" w:hAnsi="Calibri"/>
          <w:sz w:val="20"/>
          <w:szCs w:val="20"/>
        </w:rPr>
        <w:t xml:space="preserve">Jesse Shadoan told our manager the company had been out of business "quite some time," and it was placed on the write-down list on that basis. Public records show HARPER ALLEN CONSTRUCTION, LLC c/o JESSE SHADOAN as an active defendant in Cass County, Indiana small-claims case 09D01-2608-SC-000223, filed 08/26/2026 — one month ago, with Shadoan still agent of record. Portsmouth, OH 45662.</w:t>
      </w:r>
    </w:p>
    <w:p>
      <w:pPr>
        <w:spacing w:after="120"/>
      </w:pPr>
      <w:r>
        <w:rPr>
          <w:rFonts w:ascii="Calibri" w:cs="Calibri" w:eastAsia="Calibri" w:hAnsi="Calibri"/>
          <w:sz w:val="20"/>
          <w:szCs w:val="20"/>
        </w:rPr>
        <w:t xml:space="preserve">Action: pull off write-down. A competing creditor litigating a supposedly dead company is the strongest signal assets remain, and that we should not be last in line.</w:t>
      </w:r>
    </w:p>
    <w:p>
      <w:pPr>
        <w:spacing w:after="120"/>
      </w:pPr>
      <w:r>
        <w:rPr>
          <w:rFonts w:ascii="Calibri" w:cs="Calibri" w:eastAsia="Calibri" w:hAnsi="Calibri"/>
          <w:sz w:val="20"/>
          <w:szCs w:val="20"/>
        </w:rPr>
        <w:t xml:space="preserve">Caution: the many Shadoan Chapter 7 filings in RECAP are common-surname collisions across several states and are NOT verified as this individual. Do not assert them.</w:t>
      </w:r>
    </w:p>
    <w:p>
      <w:pPr>
        <w:spacing w:after="60" w:before="200"/>
      </w:pPr>
      <w:r>
        <w:rPr>
          <w:rFonts w:ascii="Calibri" w:cs="Calibri" w:eastAsia="Calibri" w:hAnsi="Calibri"/>
          <w:b/>
          <w:bCs/>
          <w:color w:val="070B97"/>
          <w:sz w:val="22"/>
          <w:szCs w:val="22"/>
        </w:rPr>
        <w:t xml:space="preserve">THE ABECO ORGANIZATION — $5,077.26</w:t>
      </w:r>
    </w:p>
    <w:p>
      <w:pPr>
        <w:spacing w:after="120"/>
      </w:pPr>
      <w:r>
        <w:rPr>
          <w:rFonts w:ascii="Calibri" w:cs="Calibri" w:eastAsia="Calibri" w:hAnsi="Calibri"/>
          <w:sz w:val="20"/>
          <w:szCs w:val="20"/>
        </w:rPr>
        <w:t xml:space="preserve">"The Abeco Organization" is a trade name, not a registered New York entity. Real registrants, all at 6701 Bay Parkway, 3rd Floor, Brooklyn NY 11204: ABECO MANAGEMENT L.L.C. (DOS 2868059, Kings, 2003), ABECO SERVICES, INC. (DOS 3248777, New York County, 2005), ABECO CONSTRUCTION LLC (2013), ABECO 1288 LLC (2013), ABECO ENTERPRISES INC (Nassau, 2020), ABECO SOLUTIONS LLC (Kings, 2024).</w:t>
      </w:r>
    </w:p>
    <w:p>
      <w:pPr>
        <w:spacing w:after="120"/>
      </w:pPr>
      <w:r>
        <w:rPr>
          <w:rFonts w:ascii="Calibri" w:cs="Calibri" w:eastAsia="Calibri" w:hAnsi="Calibri"/>
          <w:sz w:val="20"/>
          <w:szCs w:val="20"/>
        </w:rPr>
        <w:t xml:space="preserve">411 DITMAS CORP. lists its service-of-process name literally as "THE ABECO ORGANIZATION" — the direct link from our debtor name to a registered corporation.</w:t>
      </w:r>
    </w:p>
    <w:p>
      <w:pPr>
        <w:spacing w:after="120"/>
      </w:pPr>
      <w:r>
        <w:rPr>
          <w:rFonts w:ascii="Calibri" w:cs="Calibri" w:eastAsia="Calibri" w:hAnsi="Calibri"/>
          <w:sz w:val="20"/>
          <w:szCs w:val="20"/>
        </w:rPr>
        <w:t xml:space="preserve">Asset map (property LLCs served c/o Abeco): 11 Plaza LLC, 1256 Plaza LLC, 1295 Plaza L.L.C., 1801 Church Avenue Holding LLC, 5402 Realty LLC, 8109 Bay Parkway LLC, A&amp;D Properties L.L.C., Sar-Pat Associates Inc.</w:t>
      </w:r>
    </w:p>
    <w:p>
      <w:pPr>
        <w:spacing w:after="120"/>
      </w:pPr>
      <w:r>
        <w:rPr>
          <w:rFonts w:ascii="Calibri" w:cs="Calibri" w:eastAsia="Calibri" w:hAnsi="Calibri"/>
          <w:sz w:val="20"/>
          <w:szCs w:val="20"/>
        </w:rPr>
        <w:t xml:space="preserve">Read receipts prove the documentation email was opened by Nathan on 3/18/2026 at 10:37 AM and by Abe Betesh at 6:30 PM the same day, removing any "we never received it" defense. The file also uses a misspelled domain (abecomanegement.com vs abecomanagement.com) which may have been silently swallowing demands.</w:t>
      </w:r>
    </w:p>
    <w:p>
      <w:pPr>
        <w:spacing w:after="60" w:before="200"/>
      </w:pPr>
      <w:r>
        <w:rPr>
          <w:rFonts w:ascii="Calibri" w:cs="Calibri" w:eastAsia="Calibri" w:hAnsi="Calibri"/>
          <w:b/>
          <w:bCs/>
          <w:color w:val="070B97"/>
          <w:sz w:val="22"/>
          <w:szCs w:val="22"/>
        </w:rPr>
        <w:t xml:space="preserve">OTTOBOCK — $7,908.70</w:t>
      </w:r>
    </w:p>
    <w:p>
      <w:pPr>
        <w:spacing w:after="120"/>
      </w:pPr>
      <w:r>
        <w:rPr>
          <w:rFonts w:ascii="Calibri" w:cs="Calibri" w:eastAsia="Calibri" w:hAnsi="Calibri"/>
          <w:sz w:val="20"/>
          <w:szCs w:val="20"/>
        </w:rPr>
        <w:t xml:space="preserve">Recovered 90.8% ($77,942 of $85,851), then closed "Efforts Exhausted" with a live invoice dispute still unresolved. German multinational, $1.7B revenue, FRA:OBCK. North American AP is in Austin, Texas — not Chicago. Mary Bergstrom, who absorbed six dials, was never the payable owner. No TX Comptroller record under "Ottobock" or "Ottobock Healthcare" — the US entity is registered under a different legal name and Vixxo must supply it.</w:t>
      </w:r>
    </w:p>
    <w:p>
      <w:pPr>
        <w:spacing w:after="60" w:before="200"/>
      </w:pPr>
      <w:r>
        <w:rPr>
          <w:rFonts w:ascii="Calibri" w:cs="Calibri" w:eastAsia="Calibri" w:hAnsi="Calibri"/>
          <w:b/>
          <w:bCs/>
          <w:color w:val="070B97"/>
          <w:sz w:val="22"/>
          <w:szCs w:val="22"/>
        </w:rPr>
        <w:t xml:space="preserve">EMPLOYBRIDGE — $2,694.12</w:t>
      </w:r>
    </w:p>
    <w:p>
      <w:pPr>
        <w:spacing w:after="120"/>
      </w:pPr>
      <w:r>
        <w:rPr>
          <w:rFonts w:ascii="Calibri" w:cs="Calibri" w:eastAsia="Calibri" w:hAnsi="Calibri"/>
          <w:sz w:val="20"/>
          <w:szCs w:val="20"/>
        </w:rPr>
        <w:t xml:space="preserve">$2.9B revenue, largest US industrial staffing firm. 37 emails to one branch contact, zero to Atlanta corporate. No bankruptcy; roughly 20 employment suits are normal background. Appears as a defendant in Yellow Corporation v. EmployBridge (Bankr. D. Del. 2025) — a trustee pursuing a solvent target.</w:t>
      </w:r>
    </w:p>
    <w:p>
      <w:pPr>
        <w:spacing w:after="60" w:before="200"/>
      </w:pPr>
      <w:r>
        <w:rPr>
          <w:rFonts w:ascii="Calibri" w:cs="Calibri" w:eastAsia="Calibri" w:hAnsi="Calibri"/>
          <w:b/>
          <w:bCs/>
          <w:color w:val="070B97"/>
          <w:sz w:val="22"/>
          <w:szCs w:val="22"/>
        </w:rPr>
        <w:t xml:space="preserve">JAMES CONSTRUCTION — $6,469.21</w:t>
      </w:r>
    </w:p>
    <w:p>
      <w:pPr>
        <w:spacing w:after="120"/>
      </w:pPr>
      <w:r>
        <w:rPr>
          <w:rFonts w:ascii="Calibri" w:cs="Calibri" w:eastAsia="Calibri" w:hAnsi="Calibri"/>
          <w:sz w:val="20"/>
          <w:szCs w:val="20"/>
        </w:rPr>
        <w:t xml:space="preserve">Isabelle M. departed 02/20/2026 leaving an auto-reply naming her successor. 48 emails went to the dead address, 2 to the live one. Owner John Burkemper handles all accounting. Work tied to a T-Mobile project — staff recognized it immediately.</w:t>
      </w:r>
    </w:p>
    <w:p>
      <w:pPr>
        <w:spacing w:after="120"/>
      </w:pPr>
      <w:r>
        <w:rPr>
          <w:rFonts w:ascii="Calibri" w:cs="Calibri" w:eastAsia="Calibri" w:hAnsi="Calibri"/>
          <w:sz w:val="20"/>
          <w:szCs w:val="20"/>
        </w:rPr>
        <w:t xml:space="preserve">SYSTEM DEFECT FOR ALEX: ADS email validation rejects the .construction TLD ("says needs a . at the end"). This will silently break any client on a modern TLD.</w:t>
      </w:r>
    </w:p>
    <w:p>
      <w:pPr>
        <w:spacing w:after="60" w:before="200"/>
      </w:pPr>
      <w:r>
        <w:rPr>
          <w:rFonts w:ascii="Calibri" w:cs="Calibri" w:eastAsia="Calibri" w:hAnsi="Calibri"/>
          <w:b/>
          <w:bCs/>
          <w:color w:val="070B97"/>
          <w:sz w:val="22"/>
          <w:szCs w:val="22"/>
        </w:rPr>
        <w:t xml:space="preserve">ROBERTSON &amp; OLSON — $1,525.61</w:t>
      </w:r>
    </w:p>
    <w:p>
      <w:pPr>
        <w:spacing w:after="120"/>
      </w:pPr>
      <w:r>
        <w:rPr>
          <w:rFonts w:ascii="Calibri" w:cs="Calibri" w:eastAsia="Calibri" w:hAnsi="Calibri"/>
          <w:sz w:val="20"/>
          <w:szCs w:val="20"/>
        </w:rPr>
        <w:t xml:space="preserve">Zero federal dockets of any kind — the cleanest record in the book. Washington corporation since 1995, Camas WA, $19.45M revenue, 55 employees. Closed "Cancel" after 2 dials and 14 activity entries. Premature — reactivate.</w:t>
      </w:r>
    </w:p>
    <w:p>
      <w:pPr>
        <w:spacing w:after="60" w:before="200"/>
      </w:pPr>
      <w:r>
        <w:rPr>
          <w:rFonts w:ascii="Calibri" w:cs="Calibri" w:eastAsia="Calibri" w:hAnsi="Calibri"/>
          <w:b/>
          <w:bCs/>
          <w:color w:val="070B97"/>
          <w:sz w:val="22"/>
          <w:szCs w:val="22"/>
        </w:rPr>
        <w:t xml:space="preserve">PLANET MARS · MELROSE · LIGHTNING ELECTRIC · SCI GROUP — $10,864.97 / $4,380.00 / $3,684.74 / $1,368.01</w:t>
      </w:r>
    </w:p>
    <w:p>
      <w:pPr>
        <w:spacing w:after="120"/>
      </w:pPr>
      <w:r>
        <w:rPr>
          <w:rFonts w:ascii="Calibri" w:cs="Calibri" w:eastAsia="Calibri" w:hAnsi="Calibri"/>
          <w:sz w:val="20"/>
          <w:szCs w:val="20"/>
        </w:rPr>
        <w:t xml:space="preserve">All blocked on client-side answers or contact routing rather than debtor capacity. Detail in the entity register CSV and the online dossier.</w:t>
      </w:r>
    </w:p>
    <w:p>
      <w:r>
        <w:br w:type="page"/>
      </w:r>
    </w:p>
    <w:p>
      <w:pPr>
        <w:pStyle w:val="Heading1"/>
        <w:spacing w:after="120" w:before="320"/>
      </w:pPr>
      <w:r>
        <w:rPr>
          <w:rFonts w:ascii="Calibri" w:cs="Calibri" w:eastAsia="Calibri" w:hAnsi="Calibri"/>
          <w:b/>
          <w:bCs/>
          <w:color w:val="070B97"/>
          <w:sz w:val="30"/>
          <w:szCs w:val="30"/>
        </w:rPr>
        <w:t xml:space="preserve">7. Verified Contacts (Apollo)</w:t>
      </w:r>
    </w:p>
    <w:p>
      <w:pPr>
        <w:spacing w:after="120"/>
      </w:pPr>
      <w:r>
        <w:rPr>
          <w:rFonts w:ascii="Calibri" w:cs="Calibri" w:eastAsia="Calibri" w:hAnsi="Calibri"/>
          <w:i/>
          <w:iCs/>
          <w:color w:val="6B7280"/>
          <w:sz w:val="20"/>
          <w:szCs w:val="20"/>
        </w:rPr>
        <w:t xml:space="preserve">All addresses below carry Apollo "verified" deliverability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500"/>
        <w:gridCol w:w="3160"/>
      </w:tblGrid>
      <w:tr>
        <w:trPr>
          <w:tblHeader/>
        </w:trPr>
        <w:tc>
          <w:tcPr>
            <w:tcW w:type="dxa" w:w="19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Company</w:t>
            </w:r>
          </w:p>
        </w:tc>
        <w:tc>
          <w:tcPr>
            <w:tcW w:type="dxa" w:w="18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25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Title</w:t>
            </w:r>
          </w:p>
        </w:tc>
        <w:tc>
          <w:tcPr>
            <w:tcW w:type="dxa" w:w="31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Email</w:t>
            </w:r>
          </w:p>
        </w:tc>
      </w:tr>
      <w:tr>
        <w:tc>
          <w:tcPr>
            <w:tcW w:type="dxa" w:w="1900"/>
            <w:tcMar>
              <w:top w:type="dxa" w:w="60"/>
              <w:left w:type="dxa" w:w="100"/>
              <w:bottom w:type="dxa" w:w="60"/>
              <w:right w:type="dxa" w:w="100"/>
            </w:tcMar>
          </w:tcPr>
          <w:p>
            <w:r>
              <w:rPr>
                <w:rFonts w:ascii="Calibri" w:cs="Calibri" w:eastAsia="Calibri" w:hAnsi="Calibri"/>
                <w:sz w:val="18"/>
                <w:szCs w:val="18"/>
              </w:rPr>
              <w:t xml:space="preserve">Pet Supermarket</w:t>
            </w:r>
          </w:p>
        </w:tc>
        <w:tc>
          <w:tcPr>
            <w:tcW w:type="dxa" w:w="1800"/>
            <w:tcMar>
              <w:top w:type="dxa" w:w="60"/>
              <w:left w:type="dxa" w:w="100"/>
              <w:bottom w:type="dxa" w:w="60"/>
              <w:right w:type="dxa" w:w="100"/>
            </w:tcMar>
          </w:tcPr>
          <w:p>
            <w:r>
              <w:rPr>
                <w:rFonts w:ascii="Calibri" w:cs="Calibri" w:eastAsia="Calibri" w:hAnsi="Calibri"/>
                <w:sz w:val="18"/>
                <w:szCs w:val="18"/>
              </w:rPr>
              <w:t xml:space="preserve">Michelle Brown</w:t>
            </w:r>
          </w:p>
        </w:tc>
        <w:tc>
          <w:tcPr>
            <w:tcW w:type="dxa" w:w="2500"/>
            <w:tcMar>
              <w:top w:type="dxa" w:w="60"/>
              <w:left w:type="dxa" w:w="100"/>
              <w:bottom w:type="dxa" w:w="60"/>
              <w:right w:type="dxa" w:w="100"/>
            </w:tcMar>
          </w:tcPr>
          <w:p>
            <w:r>
              <w:rPr>
                <w:rFonts w:ascii="Calibri" w:cs="Calibri" w:eastAsia="Calibri" w:hAnsi="Calibri"/>
                <w:sz w:val="18"/>
                <w:szCs w:val="18"/>
              </w:rPr>
              <w:t xml:space="preserve">AP Manager (since 2018)</w:t>
            </w:r>
          </w:p>
        </w:tc>
        <w:tc>
          <w:tcPr>
            <w:tcW w:type="dxa" w:w="3160"/>
            <w:tcMar>
              <w:top w:type="dxa" w:w="60"/>
              <w:left w:type="dxa" w:w="100"/>
              <w:bottom w:type="dxa" w:w="60"/>
              <w:right w:type="dxa" w:w="100"/>
            </w:tcMar>
          </w:tcPr>
          <w:p>
            <w:r>
              <w:rPr>
                <w:rFonts w:ascii="Calibri" w:cs="Calibri" w:eastAsia="Calibri" w:hAnsi="Calibri"/>
                <w:sz w:val="18"/>
                <w:szCs w:val="18"/>
              </w:rPr>
              <w:t xml:space="preserve">mdbrown@petsupermarket.com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Pet Supermarket</w:t>
            </w:r>
          </w:p>
        </w:tc>
        <w:tc>
          <w:tcPr>
            <w:tcW w:type="dxa" w:w="1800"/>
            <w:tcMar>
              <w:top w:type="dxa" w:w="60"/>
              <w:left w:type="dxa" w:w="100"/>
              <w:bottom w:type="dxa" w:w="60"/>
              <w:right w:type="dxa" w:w="100"/>
            </w:tcMar>
          </w:tcPr>
          <w:p>
            <w:r>
              <w:rPr>
                <w:rFonts w:ascii="Calibri" w:cs="Calibri" w:eastAsia="Calibri" w:hAnsi="Calibri"/>
                <w:sz w:val="18"/>
                <w:szCs w:val="18"/>
              </w:rPr>
              <w:t xml:space="preserve">Crystal McGee</w:t>
            </w:r>
          </w:p>
        </w:tc>
        <w:tc>
          <w:tcPr>
            <w:tcW w:type="dxa" w:w="2500"/>
            <w:tcMar>
              <w:top w:type="dxa" w:w="60"/>
              <w:left w:type="dxa" w:w="100"/>
              <w:bottom w:type="dxa" w:w="60"/>
              <w:right w:type="dxa" w:w="100"/>
            </w:tcMar>
          </w:tcPr>
          <w:p>
            <w:r>
              <w:rPr>
                <w:rFonts w:ascii="Calibri" w:cs="Calibri" w:eastAsia="Calibri" w:hAnsi="Calibri"/>
                <w:sz w:val="18"/>
                <w:szCs w:val="18"/>
              </w:rPr>
              <w:t xml:space="preserve">Senior Accounting Manager</w:t>
            </w:r>
          </w:p>
        </w:tc>
        <w:tc>
          <w:tcPr>
            <w:tcW w:type="dxa" w:w="3160"/>
            <w:tcMar>
              <w:top w:type="dxa" w:w="60"/>
              <w:left w:type="dxa" w:w="100"/>
              <w:bottom w:type="dxa" w:w="60"/>
              <w:right w:type="dxa" w:w="100"/>
            </w:tcMar>
          </w:tcPr>
          <w:p>
            <w:r>
              <w:rPr>
                <w:rFonts w:ascii="Calibri" w:cs="Calibri" w:eastAsia="Calibri" w:hAnsi="Calibri"/>
                <w:sz w:val="18"/>
                <w:szCs w:val="18"/>
              </w:rPr>
              <w:t xml:space="preserve">cmcgee@petsupermarket.com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Pet Valu</w:t>
            </w:r>
          </w:p>
        </w:tc>
        <w:tc>
          <w:tcPr>
            <w:tcW w:type="dxa" w:w="1800"/>
            <w:tcMar>
              <w:top w:type="dxa" w:w="60"/>
              <w:left w:type="dxa" w:w="100"/>
              <w:bottom w:type="dxa" w:w="60"/>
              <w:right w:type="dxa" w:w="100"/>
            </w:tcMar>
          </w:tcPr>
          <w:p>
            <w:r>
              <w:rPr>
                <w:rFonts w:ascii="Calibri" w:cs="Calibri" w:eastAsia="Calibri" w:hAnsi="Calibri"/>
                <w:sz w:val="18"/>
                <w:szCs w:val="18"/>
              </w:rPr>
              <w:t xml:space="preserve">Maria Rossi</w:t>
            </w:r>
          </w:p>
        </w:tc>
        <w:tc>
          <w:tcPr>
            <w:tcW w:type="dxa" w:w="2500"/>
            <w:tcMar>
              <w:top w:type="dxa" w:w="60"/>
              <w:left w:type="dxa" w:w="100"/>
              <w:bottom w:type="dxa" w:w="60"/>
              <w:right w:type="dxa" w:w="100"/>
            </w:tcMar>
          </w:tcPr>
          <w:p>
            <w:r>
              <w:rPr>
                <w:rFonts w:ascii="Calibri" w:cs="Calibri" w:eastAsia="Calibri" w:hAnsi="Calibri"/>
                <w:sz w:val="18"/>
                <w:szCs w:val="18"/>
              </w:rPr>
              <w:t xml:space="preserve">In-House Counsel</w:t>
            </w:r>
          </w:p>
        </w:tc>
        <w:tc>
          <w:tcPr>
            <w:tcW w:type="dxa" w:w="3160"/>
            <w:tcMar>
              <w:top w:type="dxa" w:w="60"/>
              <w:left w:type="dxa" w:w="100"/>
              <w:bottom w:type="dxa" w:w="60"/>
              <w:right w:type="dxa" w:w="100"/>
            </w:tcMar>
          </w:tcPr>
          <w:p>
            <w:r>
              <w:rPr>
                <w:rFonts w:ascii="Calibri" w:cs="Calibri" w:eastAsia="Calibri" w:hAnsi="Calibri"/>
                <w:sz w:val="18"/>
                <w:szCs w:val="18"/>
              </w:rPr>
              <w:t xml:space="preserve">mrossi@petvalu.com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Pet Valu</w:t>
            </w:r>
          </w:p>
        </w:tc>
        <w:tc>
          <w:tcPr>
            <w:tcW w:type="dxa" w:w="1800"/>
            <w:tcMar>
              <w:top w:type="dxa" w:w="60"/>
              <w:left w:type="dxa" w:w="100"/>
              <w:bottom w:type="dxa" w:w="60"/>
              <w:right w:type="dxa" w:w="100"/>
            </w:tcMar>
          </w:tcPr>
          <w:p>
            <w:r>
              <w:rPr>
                <w:rFonts w:ascii="Calibri" w:cs="Calibri" w:eastAsia="Calibri" w:hAnsi="Calibri"/>
                <w:sz w:val="18"/>
                <w:szCs w:val="18"/>
              </w:rPr>
              <w:t xml:space="preserve">Brett Dunlop</w:t>
            </w:r>
          </w:p>
        </w:tc>
        <w:tc>
          <w:tcPr>
            <w:tcW w:type="dxa" w:w="2500"/>
            <w:tcMar>
              <w:top w:type="dxa" w:w="60"/>
              <w:left w:type="dxa" w:w="100"/>
              <w:bottom w:type="dxa" w:w="60"/>
              <w:right w:type="dxa" w:w="100"/>
            </w:tcMar>
          </w:tcPr>
          <w:p>
            <w:r>
              <w:rPr>
                <w:rFonts w:ascii="Calibri" w:cs="Calibri" w:eastAsia="Calibri" w:hAnsi="Calibri"/>
                <w:sz w:val="18"/>
                <w:szCs w:val="18"/>
              </w:rPr>
              <w:t xml:space="preserve">VP Finance</w:t>
            </w:r>
          </w:p>
        </w:tc>
        <w:tc>
          <w:tcPr>
            <w:tcW w:type="dxa" w:w="3160"/>
            <w:tcMar>
              <w:top w:type="dxa" w:w="60"/>
              <w:left w:type="dxa" w:w="100"/>
              <w:bottom w:type="dxa" w:w="60"/>
              <w:right w:type="dxa" w:w="100"/>
            </w:tcMar>
          </w:tcPr>
          <w:p>
            <w:r>
              <w:rPr>
                <w:rFonts w:ascii="Calibri" w:cs="Calibri" w:eastAsia="Calibri" w:hAnsi="Calibri"/>
                <w:sz w:val="18"/>
                <w:szCs w:val="18"/>
              </w:rPr>
              <w:t xml:space="preserve">bdunlop@petvalu.ca</w:t>
            </w:r>
          </w:p>
        </w:tc>
      </w:tr>
      <w:tr>
        <w:tc>
          <w:tcPr>
            <w:tcW w:type="dxa" w:w="1900"/>
            <w:tcMar>
              <w:top w:type="dxa" w:w="60"/>
              <w:left w:type="dxa" w:w="100"/>
              <w:bottom w:type="dxa" w:w="60"/>
              <w:right w:type="dxa" w:w="100"/>
            </w:tcMar>
          </w:tcPr>
          <w:p>
            <w:r>
              <w:rPr>
                <w:rFonts w:ascii="Calibri" w:cs="Calibri" w:eastAsia="Calibri" w:hAnsi="Calibri"/>
                <w:sz w:val="18"/>
                <w:szCs w:val="18"/>
              </w:rPr>
              <w:t xml:space="preserve">Pet Valu</w:t>
            </w:r>
          </w:p>
        </w:tc>
        <w:tc>
          <w:tcPr>
            <w:tcW w:type="dxa" w:w="1800"/>
            <w:tcMar>
              <w:top w:type="dxa" w:w="60"/>
              <w:left w:type="dxa" w:w="100"/>
              <w:bottom w:type="dxa" w:w="60"/>
              <w:right w:type="dxa" w:w="100"/>
            </w:tcMar>
          </w:tcPr>
          <w:p>
            <w:r>
              <w:rPr>
                <w:rFonts w:ascii="Calibri" w:cs="Calibri" w:eastAsia="Calibri" w:hAnsi="Calibri"/>
                <w:sz w:val="18"/>
                <w:szCs w:val="18"/>
              </w:rPr>
              <w:t xml:space="preserve">Balraj Atwal</w:t>
            </w:r>
          </w:p>
        </w:tc>
        <w:tc>
          <w:tcPr>
            <w:tcW w:type="dxa" w:w="2500"/>
            <w:tcMar>
              <w:top w:type="dxa" w:w="60"/>
              <w:left w:type="dxa" w:w="100"/>
              <w:bottom w:type="dxa" w:w="60"/>
              <w:right w:type="dxa" w:w="100"/>
            </w:tcMar>
          </w:tcPr>
          <w:p>
            <w:r>
              <w:rPr>
                <w:rFonts w:ascii="Calibri" w:cs="Calibri" w:eastAsia="Calibri" w:hAnsi="Calibri"/>
                <w:sz w:val="18"/>
                <w:szCs w:val="18"/>
              </w:rPr>
              <w:t xml:space="preserve">Director, Finance</w:t>
            </w:r>
          </w:p>
        </w:tc>
        <w:tc>
          <w:tcPr>
            <w:tcW w:type="dxa" w:w="3160"/>
            <w:tcMar>
              <w:top w:type="dxa" w:w="60"/>
              <w:left w:type="dxa" w:w="100"/>
              <w:bottom w:type="dxa" w:w="60"/>
              <w:right w:type="dxa" w:w="100"/>
            </w:tcMar>
          </w:tcPr>
          <w:p>
            <w:r>
              <w:rPr>
                <w:rFonts w:ascii="Calibri" w:cs="Calibri" w:eastAsia="Calibri" w:hAnsi="Calibri"/>
                <w:sz w:val="18"/>
                <w:szCs w:val="18"/>
              </w:rPr>
              <w:t xml:space="preserve">batwal@petvalu.com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Employbridge</w:t>
            </w:r>
          </w:p>
        </w:tc>
        <w:tc>
          <w:tcPr>
            <w:tcW w:type="dxa" w:w="1800"/>
            <w:tcMar>
              <w:top w:type="dxa" w:w="60"/>
              <w:left w:type="dxa" w:w="100"/>
              <w:bottom w:type="dxa" w:w="60"/>
              <w:right w:type="dxa" w:w="100"/>
            </w:tcMar>
          </w:tcPr>
          <w:p>
            <w:r>
              <w:rPr>
                <w:rFonts w:ascii="Calibri" w:cs="Calibri" w:eastAsia="Calibri" w:hAnsi="Calibri"/>
                <w:sz w:val="18"/>
                <w:szCs w:val="18"/>
              </w:rPr>
              <w:t xml:space="preserve">Teri Miller</w:t>
            </w:r>
          </w:p>
        </w:tc>
        <w:tc>
          <w:tcPr>
            <w:tcW w:type="dxa" w:w="2500"/>
            <w:tcMar>
              <w:top w:type="dxa" w:w="60"/>
              <w:left w:type="dxa" w:w="100"/>
              <w:bottom w:type="dxa" w:w="60"/>
              <w:right w:type="dxa" w:w="100"/>
            </w:tcMar>
          </w:tcPr>
          <w:p>
            <w:r>
              <w:rPr>
                <w:rFonts w:ascii="Calibri" w:cs="Calibri" w:eastAsia="Calibri" w:hAnsi="Calibri"/>
                <w:sz w:val="18"/>
                <w:szCs w:val="18"/>
              </w:rPr>
              <w:t xml:space="preserve">Chief Financial Officer</w:t>
            </w:r>
          </w:p>
        </w:tc>
        <w:tc>
          <w:tcPr>
            <w:tcW w:type="dxa" w:w="3160"/>
            <w:tcMar>
              <w:top w:type="dxa" w:w="60"/>
              <w:left w:type="dxa" w:w="100"/>
              <w:bottom w:type="dxa" w:w="60"/>
              <w:right w:type="dxa" w:w="100"/>
            </w:tcMar>
          </w:tcPr>
          <w:p>
            <w:r>
              <w:rPr>
                <w:rFonts w:ascii="Calibri" w:cs="Calibri" w:eastAsia="Calibri" w:hAnsi="Calibri"/>
                <w:sz w:val="18"/>
                <w:szCs w:val="18"/>
              </w:rPr>
              <w:t xml:space="preserve">teri.miller@employbridge.com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Employbridge</w:t>
            </w:r>
          </w:p>
        </w:tc>
        <w:tc>
          <w:tcPr>
            <w:tcW w:type="dxa" w:w="1800"/>
            <w:tcMar>
              <w:top w:type="dxa" w:w="60"/>
              <w:left w:type="dxa" w:w="100"/>
              <w:bottom w:type="dxa" w:w="60"/>
              <w:right w:type="dxa" w:w="100"/>
            </w:tcMar>
          </w:tcPr>
          <w:p>
            <w:r>
              <w:rPr>
                <w:rFonts w:ascii="Calibri" w:cs="Calibri" w:eastAsia="Calibri" w:hAnsi="Calibri"/>
                <w:sz w:val="18"/>
                <w:szCs w:val="18"/>
              </w:rPr>
              <w:t xml:space="preserve">Lanell Flint</w:t>
            </w:r>
          </w:p>
        </w:tc>
        <w:tc>
          <w:tcPr>
            <w:tcW w:type="dxa" w:w="2500"/>
            <w:tcMar>
              <w:top w:type="dxa" w:w="60"/>
              <w:left w:type="dxa" w:w="100"/>
              <w:bottom w:type="dxa" w:w="60"/>
              <w:right w:type="dxa" w:w="100"/>
            </w:tcMar>
          </w:tcPr>
          <w:p>
            <w:r>
              <w:rPr>
                <w:rFonts w:ascii="Calibri" w:cs="Calibri" w:eastAsia="Calibri" w:hAnsi="Calibri"/>
                <w:sz w:val="18"/>
                <w:szCs w:val="18"/>
              </w:rPr>
              <w:t xml:space="preserve">EVP Head of Accounting &amp; Finance</w:t>
            </w:r>
          </w:p>
        </w:tc>
        <w:tc>
          <w:tcPr>
            <w:tcW w:type="dxa" w:w="3160"/>
            <w:tcMar>
              <w:top w:type="dxa" w:w="60"/>
              <w:left w:type="dxa" w:w="100"/>
              <w:bottom w:type="dxa" w:w="60"/>
              <w:right w:type="dxa" w:w="100"/>
            </w:tcMar>
          </w:tcPr>
          <w:p>
            <w:r>
              <w:rPr>
                <w:rFonts w:ascii="Calibri" w:cs="Calibri" w:eastAsia="Calibri" w:hAnsi="Calibri"/>
                <w:sz w:val="18"/>
                <w:szCs w:val="18"/>
              </w:rPr>
              <w:t xml:space="preserve">lanell.flint@employbridge.com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Employbridge</w:t>
            </w:r>
          </w:p>
        </w:tc>
        <w:tc>
          <w:tcPr>
            <w:tcW w:type="dxa" w:w="1800"/>
            <w:tcMar>
              <w:top w:type="dxa" w:w="60"/>
              <w:left w:type="dxa" w:w="100"/>
              <w:bottom w:type="dxa" w:w="60"/>
              <w:right w:type="dxa" w:w="100"/>
            </w:tcMar>
          </w:tcPr>
          <w:p>
            <w:r>
              <w:rPr>
                <w:rFonts w:ascii="Calibri" w:cs="Calibri" w:eastAsia="Calibri" w:hAnsi="Calibri"/>
                <w:sz w:val="18"/>
                <w:szCs w:val="18"/>
              </w:rPr>
              <w:t xml:space="preserve">Sarah Griswold</w:t>
            </w:r>
          </w:p>
        </w:tc>
        <w:tc>
          <w:tcPr>
            <w:tcW w:type="dxa" w:w="2500"/>
            <w:tcMar>
              <w:top w:type="dxa" w:w="60"/>
              <w:left w:type="dxa" w:w="100"/>
              <w:bottom w:type="dxa" w:w="60"/>
              <w:right w:type="dxa" w:w="100"/>
            </w:tcMar>
          </w:tcPr>
          <w:p>
            <w:r>
              <w:rPr>
                <w:rFonts w:ascii="Calibri" w:cs="Calibri" w:eastAsia="Calibri" w:hAnsi="Calibri"/>
                <w:sz w:val="18"/>
                <w:szCs w:val="18"/>
              </w:rPr>
              <w:t xml:space="preserve">SVP Finance</w:t>
            </w:r>
          </w:p>
        </w:tc>
        <w:tc>
          <w:tcPr>
            <w:tcW w:type="dxa" w:w="3160"/>
            <w:tcMar>
              <w:top w:type="dxa" w:w="60"/>
              <w:left w:type="dxa" w:w="100"/>
              <w:bottom w:type="dxa" w:w="60"/>
              <w:right w:type="dxa" w:w="100"/>
            </w:tcMar>
          </w:tcPr>
          <w:p>
            <w:r>
              <w:rPr>
                <w:rFonts w:ascii="Calibri" w:cs="Calibri" w:eastAsia="Calibri" w:hAnsi="Calibri"/>
                <w:sz w:val="18"/>
                <w:szCs w:val="18"/>
              </w:rPr>
              <w:t xml:space="preserve">sarah.griswold@employbridge.com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Employbridge</w:t>
            </w:r>
          </w:p>
        </w:tc>
        <w:tc>
          <w:tcPr>
            <w:tcW w:type="dxa" w:w="1800"/>
            <w:tcMar>
              <w:top w:type="dxa" w:w="60"/>
              <w:left w:type="dxa" w:w="100"/>
              <w:bottom w:type="dxa" w:w="60"/>
              <w:right w:type="dxa" w:w="100"/>
            </w:tcMar>
          </w:tcPr>
          <w:p>
            <w:r>
              <w:rPr>
                <w:rFonts w:ascii="Calibri" w:cs="Calibri" w:eastAsia="Calibri" w:hAnsi="Calibri"/>
                <w:sz w:val="18"/>
                <w:szCs w:val="18"/>
              </w:rPr>
              <w:t xml:space="preserve">Cathy Richard</w:t>
            </w:r>
          </w:p>
        </w:tc>
        <w:tc>
          <w:tcPr>
            <w:tcW w:type="dxa" w:w="2500"/>
            <w:tcMar>
              <w:top w:type="dxa" w:w="60"/>
              <w:left w:type="dxa" w:w="100"/>
              <w:bottom w:type="dxa" w:w="60"/>
              <w:right w:type="dxa" w:w="100"/>
            </w:tcMar>
          </w:tcPr>
          <w:p>
            <w:r>
              <w:rPr>
                <w:rFonts w:ascii="Calibri" w:cs="Calibri" w:eastAsia="Calibri" w:hAnsi="Calibri"/>
                <w:sz w:val="18"/>
                <w:szCs w:val="18"/>
              </w:rPr>
              <w:t xml:space="preserve">Director of Finance</w:t>
            </w:r>
          </w:p>
        </w:tc>
        <w:tc>
          <w:tcPr>
            <w:tcW w:type="dxa" w:w="3160"/>
            <w:tcMar>
              <w:top w:type="dxa" w:w="60"/>
              <w:left w:type="dxa" w:w="100"/>
              <w:bottom w:type="dxa" w:w="60"/>
              <w:right w:type="dxa" w:w="100"/>
            </w:tcMar>
          </w:tcPr>
          <w:p>
            <w:r>
              <w:rPr>
                <w:rFonts w:ascii="Calibri" w:cs="Calibri" w:eastAsia="Calibri" w:hAnsi="Calibri"/>
                <w:sz w:val="18"/>
                <w:szCs w:val="18"/>
              </w:rPr>
              <w:t xml:space="preserve">cathy.richard@employbridge.com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Ottobock (Austin TX)</w:t>
            </w:r>
          </w:p>
        </w:tc>
        <w:tc>
          <w:tcPr>
            <w:tcW w:type="dxa" w:w="1800"/>
            <w:tcMar>
              <w:top w:type="dxa" w:w="60"/>
              <w:left w:type="dxa" w:w="100"/>
              <w:bottom w:type="dxa" w:w="60"/>
              <w:right w:type="dxa" w:w="100"/>
            </w:tcMar>
          </w:tcPr>
          <w:p>
            <w:r>
              <w:rPr>
                <w:rFonts w:ascii="Calibri" w:cs="Calibri" w:eastAsia="Calibri" w:hAnsi="Calibri"/>
                <w:sz w:val="18"/>
                <w:szCs w:val="18"/>
              </w:rPr>
              <w:t xml:space="preserve">Ben Bailey</w:t>
            </w:r>
          </w:p>
        </w:tc>
        <w:tc>
          <w:tcPr>
            <w:tcW w:type="dxa" w:w="2500"/>
            <w:tcMar>
              <w:top w:type="dxa" w:w="60"/>
              <w:left w:type="dxa" w:w="100"/>
              <w:bottom w:type="dxa" w:w="60"/>
              <w:right w:type="dxa" w:w="100"/>
            </w:tcMar>
          </w:tcPr>
          <w:p>
            <w:r>
              <w:rPr>
                <w:rFonts w:ascii="Calibri" w:cs="Calibri" w:eastAsia="Calibri" w:hAnsi="Calibri"/>
                <w:sz w:val="18"/>
                <w:szCs w:val="18"/>
              </w:rPr>
              <w:t xml:space="preserve">EVP &amp; CFO North America</w:t>
            </w:r>
          </w:p>
        </w:tc>
        <w:tc>
          <w:tcPr>
            <w:tcW w:type="dxa" w:w="3160"/>
            <w:tcMar>
              <w:top w:type="dxa" w:w="60"/>
              <w:left w:type="dxa" w:w="100"/>
              <w:bottom w:type="dxa" w:w="60"/>
              <w:right w:type="dxa" w:w="100"/>
            </w:tcMar>
          </w:tcPr>
          <w:p>
            <w:r>
              <w:rPr>
                <w:rFonts w:ascii="Calibri" w:cs="Calibri" w:eastAsia="Calibri" w:hAnsi="Calibri"/>
                <w:sz w:val="18"/>
                <w:szCs w:val="18"/>
              </w:rPr>
              <w:t xml:space="preserve">ben.bailey@ottobock.com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Ottobock (Austin TX)</w:t>
            </w:r>
          </w:p>
        </w:tc>
        <w:tc>
          <w:tcPr>
            <w:tcW w:type="dxa" w:w="1800"/>
            <w:tcMar>
              <w:top w:type="dxa" w:w="60"/>
              <w:left w:type="dxa" w:w="100"/>
              <w:bottom w:type="dxa" w:w="60"/>
              <w:right w:type="dxa" w:w="100"/>
            </w:tcMar>
          </w:tcPr>
          <w:p>
            <w:r>
              <w:rPr>
                <w:rFonts w:ascii="Calibri" w:cs="Calibri" w:eastAsia="Calibri" w:hAnsi="Calibri"/>
                <w:sz w:val="18"/>
                <w:szCs w:val="18"/>
              </w:rPr>
              <w:t xml:space="preserve">Jennifer Burkart</w:t>
            </w:r>
          </w:p>
        </w:tc>
        <w:tc>
          <w:tcPr>
            <w:tcW w:type="dxa" w:w="2500"/>
            <w:tcMar>
              <w:top w:type="dxa" w:w="60"/>
              <w:left w:type="dxa" w:w="100"/>
              <w:bottom w:type="dxa" w:w="60"/>
              <w:right w:type="dxa" w:w="100"/>
            </w:tcMar>
          </w:tcPr>
          <w:p>
            <w:r>
              <w:rPr>
                <w:rFonts w:ascii="Calibri" w:cs="Calibri" w:eastAsia="Calibri" w:hAnsi="Calibri"/>
                <w:sz w:val="18"/>
                <w:szCs w:val="18"/>
              </w:rPr>
              <w:t xml:space="preserve">AP Manager</w:t>
            </w:r>
          </w:p>
        </w:tc>
        <w:tc>
          <w:tcPr>
            <w:tcW w:type="dxa" w:w="3160"/>
            <w:tcMar>
              <w:top w:type="dxa" w:w="60"/>
              <w:left w:type="dxa" w:w="100"/>
              <w:bottom w:type="dxa" w:w="60"/>
              <w:right w:type="dxa" w:w="100"/>
            </w:tcMar>
          </w:tcPr>
          <w:p>
            <w:r>
              <w:rPr>
                <w:rFonts w:ascii="Calibri" w:cs="Calibri" w:eastAsia="Calibri" w:hAnsi="Calibri"/>
                <w:sz w:val="18"/>
                <w:szCs w:val="18"/>
              </w:rPr>
              <w:t xml:space="preserve">jennifer.burkart@ottobock.com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Ottobock (Austin TX)</w:t>
            </w:r>
          </w:p>
        </w:tc>
        <w:tc>
          <w:tcPr>
            <w:tcW w:type="dxa" w:w="1800"/>
            <w:tcMar>
              <w:top w:type="dxa" w:w="60"/>
              <w:left w:type="dxa" w:w="100"/>
              <w:bottom w:type="dxa" w:w="60"/>
              <w:right w:type="dxa" w:w="100"/>
            </w:tcMar>
          </w:tcPr>
          <w:p>
            <w:r>
              <w:rPr>
                <w:rFonts w:ascii="Calibri" w:cs="Calibri" w:eastAsia="Calibri" w:hAnsi="Calibri"/>
                <w:sz w:val="18"/>
                <w:szCs w:val="18"/>
              </w:rPr>
              <w:t xml:space="preserve">Cyrene Wright</w:t>
            </w:r>
          </w:p>
        </w:tc>
        <w:tc>
          <w:tcPr>
            <w:tcW w:type="dxa" w:w="2500"/>
            <w:tcMar>
              <w:top w:type="dxa" w:w="60"/>
              <w:left w:type="dxa" w:w="100"/>
              <w:bottom w:type="dxa" w:w="60"/>
              <w:right w:type="dxa" w:w="100"/>
            </w:tcMar>
          </w:tcPr>
          <w:p>
            <w:r>
              <w:rPr>
                <w:rFonts w:ascii="Calibri" w:cs="Calibri" w:eastAsia="Calibri" w:hAnsi="Calibri"/>
                <w:sz w:val="18"/>
                <w:szCs w:val="18"/>
              </w:rPr>
              <w:t xml:space="preserve">Senior Accounting Manager</w:t>
            </w:r>
          </w:p>
        </w:tc>
        <w:tc>
          <w:tcPr>
            <w:tcW w:type="dxa" w:w="3160"/>
            <w:tcMar>
              <w:top w:type="dxa" w:w="60"/>
              <w:left w:type="dxa" w:w="100"/>
              <w:bottom w:type="dxa" w:w="60"/>
              <w:right w:type="dxa" w:w="100"/>
            </w:tcMar>
          </w:tcPr>
          <w:p>
            <w:r>
              <w:rPr>
                <w:rFonts w:ascii="Calibri" w:cs="Calibri" w:eastAsia="Calibri" w:hAnsi="Calibri"/>
                <w:sz w:val="18"/>
                <w:szCs w:val="18"/>
              </w:rPr>
              <w:t xml:space="preserve">cyrene.wright@ottobock.com</w:t>
            </w:r>
          </w:p>
        </w:tc>
      </w:tr>
      <w:tr>
        <w:tc>
          <w:tcPr>
            <w:tcW w:type="dxa" w:w="1900"/>
            <w:tcMar>
              <w:top w:type="dxa" w:w="60"/>
              <w:left w:type="dxa" w:w="100"/>
              <w:bottom w:type="dxa" w:w="60"/>
              <w:right w:type="dxa" w:w="100"/>
            </w:tcMar>
          </w:tcPr>
          <w:p>
            <w:r>
              <w:rPr>
                <w:rFonts w:ascii="Calibri" w:cs="Calibri" w:eastAsia="Calibri" w:hAnsi="Calibri"/>
                <w:sz w:val="18"/>
                <w:szCs w:val="18"/>
              </w:rPr>
              <w:t xml:space="preserve">Robertson &amp; Olson</w:t>
            </w:r>
          </w:p>
        </w:tc>
        <w:tc>
          <w:tcPr>
            <w:tcW w:type="dxa" w:w="1800"/>
            <w:tcMar>
              <w:top w:type="dxa" w:w="60"/>
              <w:left w:type="dxa" w:w="100"/>
              <w:bottom w:type="dxa" w:w="60"/>
              <w:right w:type="dxa" w:w="100"/>
            </w:tcMar>
          </w:tcPr>
          <w:p>
            <w:r>
              <w:rPr>
                <w:rFonts w:ascii="Calibri" w:cs="Calibri" w:eastAsia="Calibri" w:hAnsi="Calibri"/>
                <w:sz w:val="18"/>
                <w:szCs w:val="18"/>
              </w:rPr>
              <w:t xml:space="preserve">Matt Olson</w:t>
            </w:r>
          </w:p>
        </w:tc>
        <w:tc>
          <w:tcPr>
            <w:tcW w:type="dxa" w:w="2500"/>
            <w:tcMar>
              <w:top w:type="dxa" w:w="60"/>
              <w:left w:type="dxa" w:w="100"/>
              <w:bottom w:type="dxa" w:w="60"/>
              <w:right w:type="dxa" w:w="100"/>
            </w:tcMar>
          </w:tcPr>
          <w:p>
            <w:r>
              <w:rPr>
                <w:rFonts w:ascii="Calibri" w:cs="Calibri" w:eastAsia="Calibri" w:hAnsi="Calibri"/>
                <w:sz w:val="18"/>
                <w:szCs w:val="18"/>
              </w:rPr>
              <w:t xml:space="preserve">Founding President</w:t>
            </w:r>
          </w:p>
        </w:tc>
        <w:tc>
          <w:tcPr>
            <w:tcW w:type="dxa" w:w="3160"/>
            <w:tcMar>
              <w:top w:type="dxa" w:w="60"/>
              <w:left w:type="dxa" w:w="100"/>
              <w:bottom w:type="dxa" w:w="60"/>
              <w:right w:type="dxa" w:w="100"/>
            </w:tcMar>
          </w:tcPr>
          <w:p>
            <w:r>
              <w:rPr>
                <w:rFonts w:ascii="Calibri" w:cs="Calibri" w:eastAsia="Calibri" w:hAnsi="Calibri"/>
                <w:sz w:val="18"/>
                <w:szCs w:val="18"/>
              </w:rPr>
              <w:t xml:space="preserve">matto@roconstruction.com</w:t>
            </w:r>
          </w:p>
        </w:tc>
      </w:tr>
    </w:tbl>
    <w:p>
      <w:pPr>
        <w:spacing w:after="140"/>
      </w:pPr>
      <w:r>
        <w:rPr>
          <w:rFonts w:ascii="Calibri" w:cs="Calibri" w:eastAsia="Calibri" w:hAnsi="Calibri"/>
          <w:sz w:val="20"/>
          <w:szCs w:val="20"/>
        </w:rPr>
        <w:t xml:space="preserve"/>
      </w:r>
    </w:p>
    <w:p>
      <w:pPr>
        <w:spacing w:after="120"/>
      </w:pPr>
      <w:r>
        <w:rPr>
          <w:rFonts w:ascii="Calibri" w:cs="Calibri" w:eastAsia="Calibri" w:hAnsi="Calibri"/>
          <w:b/>
          <w:bCs/>
          <w:color w:val="C0392B"/>
          <w:sz w:val="20"/>
          <w:szCs w:val="20"/>
        </w:rPr>
        <w:t xml:space="preserve">NOT VERIFIED — Brendan Proctor (CEO, Pet Supermarket). Apollo confirms the role (start date 02/01/2026) but holds no petsupermarket.com address for him. The only verified address is bproctor@redapplestores.com, his concurrent Non-Executive Director seat at Red Apple Stores. Do not email him there — wrong company's mail system and a third-party disclosure risk. Reach him by hard-copy letter at the Sunrise office instead.</w:t>
      </w:r>
    </w:p>
    <w:p>
      <w:pPr>
        <w:spacing w:after="120"/>
      </w:pPr>
      <w:r>
        <w:rPr>
          <w:rFonts w:ascii="Calibri" w:cs="Calibri" w:eastAsia="Calibri" w:hAnsi="Calibri"/>
          <w:i/>
          <w:iCs/>
          <w:color w:val="6B7280"/>
          <w:sz w:val="20"/>
          <w:szCs w:val="20"/>
        </w:rPr>
        <w:t xml:space="preserve">Note: Pet Valu domains differ per person (.ca vs .com). Robertson &amp; Olson uses firstname+last-initial, so the kelly.kim@roconstruction.com on our file does not match the pattern and is suspect.</w:t>
      </w:r>
    </w:p>
    <w:p>
      <w:pPr>
        <w:pStyle w:val="Heading1"/>
        <w:spacing w:after="120" w:before="320"/>
      </w:pPr>
      <w:r>
        <w:rPr>
          <w:rFonts w:ascii="Calibri" w:cs="Calibri" w:eastAsia="Calibri" w:hAnsi="Calibri"/>
          <w:b/>
          <w:bCs/>
          <w:color w:val="070B97"/>
          <w:sz w:val="30"/>
          <w:szCs w:val="30"/>
        </w:rPr>
        <w:t xml:space="preserve">8. What We Need From Vixxo</w:t>
      </w:r>
    </w:p>
    <w:p>
      <w:pPr>
        <w:spacing w:after="120"/>
      </w:pPr>
      <w:r>
        <w:rPr>
          <w:rFonts w:ascii="Calibri" w:cs="Calibri" w:eastAsia="Calibri" w:hAnsi="Calibri"/>
          <w:sz w:val="20"/>
          <w:szCs w:val="20"/>
        </w:rPr>
        <w:t xml:space="preserve">Seven of eleven open accounts are blocked on information only the client holds:</w:t>
      </w:r>
    </w:p>
    <w:p>
      <w:pPr>
        <w:pStyle w:val="ListParagraph"/>
        <w:numPr>
          <w:ilvl w:val="0"/>
          <w:numId w:val="1"/>
        </w:numPr>
        <w:spacing w:after="80"/>
      </w:pPr>
      <w:r>
        <w:rPr>
          <w:rFonts w:ascii="Calibri" w:cs="Calibri" w:eastAsia="Calibri" w:hAnsi="Calibri"/>
          <w:sz w:val="20"/>
          <w:szCs w:val="20"/>
        </w:rPr>
        <w:t xml:space="preserve">Pet Retail Brands — invoice, PO, signed work authorization, vendor-master record showing the exact contracting entity (gates the largest balance in the book)</w:t>
      </w:r>
    </w:p>
    <w:p>
      <w:pPr>
        <w:pStyle w:val="ListParagraph"/>
        <w:numPr>
          <w:ilvl w:val="0"/>
          <w:numId w:val="1"/>
        </w:numPr>
        <w:spacing w:after="80"/>
      </w:pPr>
      <w:r>
        <w:rPr>
          <w:rFonts w:ascii="Calibri" w:cs="Calibri" w:eastAsia="Calibri" w:hAnsi="Calibri"/>
          <w:sz w:val="20"/>
          <w:szCs w:val="20"/>
        </w:rPr>
        <w:t xml:space="preserve">Personal guaranty status — Planet Mars (Saggar), Melrose (Mohammad), Harper-Allen (Shadoan). Asked more than once on Planet Mars, never answered.</w:t>
      </w:r>
    </w:p>
    <w:p>
      <w:pPr>
        <w:pStyle w:val="ListParagraph"/>
        <w:numPr>
          <w:ilvl w:val="0"/>
          <w:numId w:val="1"/>
        </w:numPr>
        <w:spacing w:after="80"/>
      </w:pPr>
      <w:r>
        <w:rPr>
          <w:rFonts w:ascii="Calibri" w:cs="Calibri" w:eastAsia="Calibri" w:hAnsi="Calibri"/>
          <w:sz w:val="20"/>
          <w:szCs w:val="20"/>
        </w:rPr>
        <w:t xml:space="preserve">Ottobock — itemized backup and proof of service for the disputed invoices; which Ottobock entity is on the invoices</w:t>
      </w:r>
    </w:p>
    <w:p>
      <w:pPr>
        <w:pStyle w:val="ListParagraph"/>
        <w:numPr>
          <w:ilvl w:val="0"/>
          <w:numId w:val="1"/>
        </w:numPr>
        <w:spacing w:after="80"/>
      </w:pPr>
      <w:r>
        <w:rPr>
          <w:rFonts w:ascii="Calibri" w:cs="Calibri" w:eastAsia="Calibri" w:hAnsi="Calibri"/>
          <w:sz w:val="20"/>
          <w:szCs w:val="20"/>
        </w:rPr>
        <w:t xml:space="preserve">Melrose — full payment application history ($102,296.35 billed vs $97,916.35 applied); which invoice the shortfall lands against</w:t>
      </w:r>
    </w:p>
    <w:p>
      <w:pPr>
        <w:pStyle w:val="ListParagraph"/>
        <w:numPr>
          <w:ilvl w:val="0"/>
          <w:numId w:val="1"/>
        </w:numPr>
        <w:spacing w:after="80"/>
      </w:pPr>
      <w:r>
        <w:rPr>
          <w:rFonts w:ascii="Calibri" w:cs="Calibri" w:eastAsia="Calibri" w:hAnsi="Calibri"/>
          <w:sz w:val="20"/>
          <w:szCs w:val="20"/>
        </w:rPr>
        <w:t xml:space="preserve">Lightning Electric — was material returned and a credit issued? Their entire stated defense</w:t>
      </w:r>
    </w:p>
    <w:p>
      <w:pPr>
        <w:pStyle w:val="ListParagraph"/>
        <w:numPr>
          <w:ilvl w:val="0"/>
          <w:numId w:val="1"/>
        </w:numPr>
        <w:spacing w:after="80"/>
      </w:pPr>
      <w:r>
        <w:rPr>
          <w:rFonts w:ascii="Calibri" w:cs="Calibri" w:eastAsia="Calibri" w:hAnsi="Calibri"/>
          <w:sz w:val="20"/>
          <w:szCs w:val="20"/>
        </w:rPr>
        <w:t xml:space="preserve">Employbridge — which brand/entity received the service; PO or cost-center reference</w:t>
      </w:r>
    </w:p>
    <w:p>
      <w:pPr>
        <w:pStyle w:val="ListParagraph"/>
        <w:numPr>
          <w:ilvl w:val="0"/>
          <w:numId w:val="1"/>
        </w:numPr>
        <w:spacing w:after="80"/>
      </w:pPr>
      <w:r>
        <w:rPr>
          <w:rFonts w:ascii="Calibri" w:cs="Calibri" w:eastAsia="Calibri" w:hAnsi="Calibri"/>
          <w:sz w:val="20"/>
          <w:szCs w:val="20"/>
        </w:rPr>
        <w:t xml:space="preserve">SCI Group — original 2024 invoice with proof of delivery</w:t>
      </w:r>
    </w:p>
    <w:p>
      <w:pPr>
        <w:pStyle w:val="Heading1"/>
        <w:spacing w:after="120" w:before="320"/>
      </w:pPr>
      <w:r>
        <w:rPr>
          <w:rFonts w:ascii="Calibri" w:cs="Calibri" w:eastAsia="Calibri" w:hAnsi="Calibri"/>
          <w:b/>
          <w:bCs/>
          <w:color w:val="070B97"/>
          <w:sz w:val="30"/>
          <w:szCs w:val="30"/>
        </w:rPr>
        <w:t xml:space="preserve">9. Drafted, Not Sent — Awaiting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2200"/>
        <w:gridCol w:w="1860"/>
      </w:tblGrid>
      <w:tr>
        <w:trPr>
          <w:tblHeader/>
        </w:trPr>
        <w:tc>
          <w:tcPr>
            <w:tcW w:type="dxa" w:w="6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47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To</w:t>
            </w:r>
          </w:p>
        </w:tc>
        <w:tc>
          <w:tcPr>
            <w:tcW w:type="dxa" w:w="2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From</w:t>
            </w:r>
          </w:p>
        </w:tc>
        <w:tc>
          <w:tcPr>
            <w:tcW w:type="dxa" w:w="18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Status</w:t>
            </w:r>
          </w:p>
        </w:tc>
      </w:tr>
      <w:tr>
        <w:tc>
          <w:tcPr>
            <w:tcW w:type="dxa" w:w="600"/>
            <w:tcMar>
              <w:top w:type="dxa" w:w="60"/>
              <w:left w:type="dxa" w:w="100"/>
              <w:bottom w:type="dxa" w:w="60"/>
              <w:right w:type="dxa" w:w="100"/>
            </w:tcMar>
          </w:tcPr>
          <w:p>
            <w:r>
              <w:rPr>
                <w:rFonts w:ascii="Calibri" w:cs="Calibri" w:eastAsia="Calibri" w:hAnsi="Calibri"/>
                <w:sz w:val="18"/>
                <w:szCs w:val="18"/>
              </w:rPr>
              <w:t xml:space="preserve">1</w:t>
            </w:r>
          </w:p>
        </w:tc>
        <w:tc>
          <w:tcPr>
            <w:tcW w:type="dxa" w:w="4700"/>
            <w:tcMar>
              <w:top w:type="dxa" w:w="60"/>
              <w:left w:type="dxa" w:w="100"/>
              <w:bottom w:type="dxa" w:w="60"/>
              <w:right w:type="dxa" w:w="100"/>
            </w:tcMar>
          </w:tcPr>
          <w:p>
            <w:r>
              <w:rPr>
                <w:rFonts w:ascii="Calibri" w:cs="Calibri" w:eastAsia="Calibri" w:hAnsi="Calibri"/>
                <w:sz w:val="18"/>
                <w:szCs w:val="18"/>
              </w:rPr>
              <w:t xml:space="preserve">Jennifer Patterson (Vixxo) — document request</w:t>
            </w:r>
          </w:p>
        </w:tc>
        <w:tc>
          <w:tcPr>
            <w:tcW w:type="dxa" w:w="2200"/>
            <w:tcMar>
              <w:top w:type="dxa" w:w="60"/>
              <w:left w:type="dxa" w:w="100"/>
              <w:bottom w:type="dxa" w:w="60"/>
              <w:right w:type="dxa" w:w="100"/>
            </w:tcMar>
          </w:tcPr>
          <w:p>
            <w:r>
              <w:rPr>
                <w:rFonts w:ascii="Calibri" w:cs="Calibri" w:eastAsia="Calibri" w:hAnsi="Calibri"/>
                <w:sz w:val="18"/>
                <w:szCs w:val="18"/>
              </w:rPr>
              <w:t xml:space="preserve">Melanie Lopez</w:t>
            </w:r>
          </w:p>
        </w:tc>
        <w:tc>
          <w:tcPr>
            <w:tcW w:type="dxa" w:w="1860"/>
            <w:tcMar>
              <w:top w:type="dxa" w:w="60"/>
              <w:left w:type="dxa" w:w="100"/>
              <w:bottom w:type="dxa" w:w="60"/>
              <w:right w:type="dxa" w:w="100"/>
            </w:tcMar>
          </w:tcPr>
          <w:p>
            <w:r>
              <w:rPr>
                <w:rFonts w:ascii="Calibri" w:cs="Calibri" w:eastAsia="Calibri" w:hAnsi="Calibri"/>
                <w:sz w:val="18"/>
                <w:szCs w:val="18"/>
              </w:rPr>
              <w:t xml:space="preserve">Ready</w:t>
            </w:r>
          </w:p>
        </w:tc>
      </w:tr>
      <w:tr>
        <w:tc>
          <w:tcPr>
            <w:tcW w:type="dxa" w:w="600"/>
            <w:tcMar>
              <w:top w:type="dxa" w:w="60"/>
              <w:left w:type="dxa" w:w="100"/>
              <w:bottom w:type="dxa" w:w="60"/>
              <w:right w:type="dxa" w:w="100"/>
            </w:tcMar>
          </w:tcPr>
          <w:p>
            <w:r>
              <w:rPr>
                <w:rFonts w:ascii="Calibri" w:cs="Calibri" w:eastAsia="Calibri" w:hAnsi="Calibri"/>
                <w:sz w:val="18"/>
                <w:szCs w:val="18"/>
              </w:rPr>
              <w:t xml:space="preserve">2</w:t>
            </w:r>
          </w:p>
        </w:tc>
        <w:tc>
          <w:tcPr>
            <w:tcW w:type="dxa" w:w="4700"/>
            <w:tcMar>
              <w:top w:type="dxa" w:w="60"/>
              <w:left w:type="dxa" w:w="100"/>
              <w:bottom w:type="dxa" w:w="60"/>
              <w:right w:type="dxa" w:w="100"/>
            </w:tcMar>
          </w:tcPr>
          <w:p>
            <w:r>
              <w:rPr>
                <w:rFonts w:ascii="Calibri" w:cs="Calibri" w:eastAsia="Calibri" w:hAnsi="Calibri"/>
                <w:sz w:val="18"/>
                <w:szCs w:val="18"/>
              </w:rPr>
              <w:t xml:space="preserve">Crystal McGee + Michelle Brown — escalation</w:t>
            </w:r>
          </w:p>
        </w:tc>
        <w:tc>
          <w:tcPr>
            <w:tcW w:type="dxa" w:w="2200"/>
            <w:tcMar>
              <w:top w:type="dxa" w:w="60"/>
              <w:left w:type="dxa" w:w="100"/>
              <w:bottom w:type="dxa" w:w="60"/>
              <w:right w:type="dxa" w:w="100"/>
            </w:tcMar>
          </w:tcPr>
          <w:p>
            <w:r>
              <w:rPr>
                <w:rFonts w:ascii="Calibri" w:cs="Calibri" w:eastAsia="Calibri" w:hAnsi="Calibri"/>
                <w:sz w:val="18"/>
                <w:szCs w:val="18"/>
              </w:rPr>
              <w:t xml:space="preserve">Steven Dietz</w:t>
            </w:r>
          </w:p>
        </w:tc>
        <w:tc>
          <w:tcPr>
            <w:tcW w:type="dxa" w:w="1860"/>
            <w:tcMar>
              <w:top w:type="dxa" w:w="60"/>
              <w:left w:type="dxa" w:w="100"/>
              <w:bottom w:type="dxa" w:w="60"/>
              <w:right w:type="dxa" w:w="100"/>
            </w:tcMar>
          </w:tcPr>
          <w:p>
            <w:r>
              <w:rPr>
                <w:rFonts w:ascii="Calibri" w:cs="Calibri" w:eastAsia="Calibri" w:hAnsi="Calibri"/>
                <w:sz w:val="18"/>
                <w:szCs w:val="18"/>
              </w:rPr>
              <w:t xml:space="preserve">Ready</w:t>
            </w:r>
          </w:p>
        </w:tc>
      </w:tr>
      <w:tr>
        <w:tc>
          <w:tcPr>
            <w:tcW w:type="dxa" w:w="600"/>
            <w:tcMar>
              <w:top w:type="dxa" w:w="60"/>
              <w:left w:type="dxa" w:w="100"/>
              <w:bottom w:type="dxa" w:w="60"/>
              <w:right w:type="dxa" w:w="100"/>
            </w:tcMar>
          </w:tcPr>
          <w:p>
            <w:r>
              <w:rPr>
                <w:rFonts w:ascii="Calibri" w:cs="Calibri" w:eastAsia="Calibri" w:hAnsi="Calibri"/>
                <w:sz w:val="18"/>
                <w:szCs w:val="18"/>
              </w:rPr>
              <w:t xml:space="preserve">3</w:t>
            </w:r>
          </w:p>
        </w:tc>
        <w:tc>
          <w:tcPr>
            <w:tcW w:type="dxa" w:w="4700"/>
            <w:tcMar>
              <w:top w:type="dxa" w:w="60"/>
              <w:left w:type="dxa" w:w="100"/>
              <w:bottom w:type="dxa" w:w="60"/>
              <w:right w:type="dxa" w:w="100"/>
            </w:tcMar>
          </w:tcPr>
          <w:p>
            <w:r>
              <w:rPr>
                <w:rFonts w:ascii="Calibri" w:cs="Calibri" w:eastAsia="Calibri" w:hAnsi="Calibri"/>
                <w:sz w:val="18"/>
                <w:szCs w:val="18"/>
              </w:rPr>
              <w:t xml:space="preserve">Brendan Proctor — hard-copy letter, Sunrise office</w:t>
            </w:r>
          </w:p>
        </w:tc>
        <w:tc>
          <w:tcPr>
            <w:tcW w:type="dxa" w:w="2200"/>
            <w:tcMar>
              <w:top w:type="dxa" w:w="60"/>
              <w:left w:type="dxa" w:w="100"/>
              <w:bottom w:type="dxa" w:w="60"/>
              <w:right w:type="dxa" w:w="100"/>
            </w:tcMar>
          </w:tcPr>
          <w:p>
            <w:r>
              <w:rPr>
                <w:rFonts w:ascii="Calibri" w:cs="Calibri" w:eastAsia="Calibri" w:hAnsi="Calibri"/>
                <w:sz w:val="18"/>
                <w:szCs w:val="18"/>
              </w:rPr>
              <w:t xml:space="preserve">Steven Dietz</w:t>
            </w:r>
          </w:p>
        </w:tc>
        <w:tc>
          <w:tcPr>
            <w:tcW w:type="dxa" w:w="1860"/>
            <w:tcMar>
              <w:top w:type="dxa" w:w="60"/>
              <w:left w:type="dxa" w:w="100"/>
              <w:bottom w:type="dxa" w:w="60"/>
              <w:right w:type="dxa" w:w="100"/>
            </w:tcMar>
          </w:tcPr>
          <w:p>
            <w:r>
              <w:rPr>
                <w:rFonts w:ascii="Calibri" w:cs="Calibri" w:eastAsia="Calibri" w:hAnsi="Calibri"/>
                <w:sz w:val="18"/>
                <w:szCs w:val="18"/>
              </w:rPr>
              <w:t xml:space="preserve">Ready to print</w:t>
            </w:r>
          </w:p>
        </w:tc>
      </w:tr>
      <w:tr>
        <w:tc>
          <w:tcPr>
            <w:tcW w:type="dxa" w:w="600"/>
            <w:tcMar>
              <w:top w:type="dxa" w:w="60"/>
              <w:left w:type="dxa" w:w="100"/>
              <w:bottom w:type="dxa" w:w="60"/>
              <w:right w:type="dxa" w:w="100"/>
            </w:tcMar>
          </w:tcPr>
          <w:p>
            <w:r>
              <w:rPr>
                <w:rFonts w:ascii="Calibri" w:cs="Calibri" w:eastAsia="Calibri" w:hAnsi="Calibri"/>
                <w:sz w:val="18"/>
                <w:szCs w:val="18"/>
              </w:rPr>
              <w:t xml:space="preserve">4</w:t>
            </w:r>
          </w:p>
        </w:tc>
        <w:tc>
          <w:tcPr>
            <w:tcW w:type="dxa" w:w="4700"/>
            <w:tcMar>
              <w:top w:type="dxa" w:w="60"/>
              <w:left w:type="dxa" w:w="100"/>
              <w:bottom w:type="dxa" w:w="60"/>
              <w:right w:type="dxa" w:w="100"/>
            </w:tcMar>
          </w:tcPr>
          <w:p>
            <w:r>
              <w:rPr>
                <w:rFonts w:ascii="Calibri" w:cs="Calibri" w:eastAsia="Calibri" w:hAnsi="Calibri"/>
                <w:sz w:val="18"/>
                <w:szCs w:val="18"/>
              </w:rPr>
              <w:t xml:space="preserve">Counsel-forward variant (14-day clock)</w:t>
            </w:r>
          </w:p>
        </w:tc>
        <w:tc>
          <w:tcPr>
            <w:tcW w:type="dxa" w:w="2200"/>
            <w:tcMar>
              <w:top w:type="dxa" w:w="60"/>
              <w:left w:type="dxa" w:w="100"/>
              <w:bottom w:type="dxa" w:w="60"/>
              <w:right w:type="dxa" w:w="100"/>
            </w:tcMar>
          </w:tcPr>
          <w:p>
            <w:r>
              <w:rPr>
                <w:rFonts w:ascii="Calibri" w:cs="Calibri" w:eastAsia="Calibri" w:hAnsi="Calibri"/>
                <w:sz w:val="18"/>
                <w:szCs w:val="18"/>
              </w:rPr>
              <w:t xml:space="preserve">Steven Dietz</w:t>
            </w:r>
          </w:p>
        </w:tc>
        <w:tc>
          <w:tcPr>
            <w:tcW w:type="dxa" w:w="1860"/>
            <w:tcMar>
              <w:top w:type="dxa" w:w="60"/>
              <w:left w:type="dxa" w:w="100"/>
              <w:bottom w:type="dxa" w:w="60"/>
              <w:right w:type="dxa" w:w="100"/>
            </w:tcMar>
          </w:tcPr>
          <w:p>
            <w:r>
              <w:rPr>
                <w:rFonts w:ascii="Calibri" w:cs="Calibri" w:eastAsia="Calibri" w:hAnsi="Calibri"/>
                <w:sz w:val="18"/>
                <w:szCs w:val="18"/>
              </w:rPr>
              <w:t xml:space="preserve">HOLD</w:t>
            </w:r>
          </w:p>
        </w:tc>
      </w:tr>
    </w:tbl>
    <w:p>
      <w:pPr>
        <w:spacing w:after="140"/>
      </w:pPr>
      <w:r>
        <w:rPr>
          <w:rFonts w:ascii="Calibri" w:cs="Calibri" w:eastAsia="Calibri" w:hAnsi="Calibri"/>
          <w:sz w:val="20"/>
          <w:szCs w:val="20"/>
        </w:rPr>
        <w:t xml:space="preserve"/>
      </w:r>
    </w:p>
    <w:p>
      <w:pPr>
        <w:spacing w:after="120"/>
      </w:pPr>
      <w:r>
        <w:rPr>
          <w:rFonts w:ascii="Calibri" w:cs="Calibri" w:eastAsia="Calibri" w:hAnsi="Calibri"/>
          <w:b/>
          <w:bCs/>
          <w:sz w:val="20"/>
          <w:szCs w:val="20"/>
        </w:rPr>
        <w:t xml:space="preserve">Recommendation: send 1–3 now. Hold 4 until Vixxo produces the invoice, PO and signed authorization. Threatening a legal referral before we know we hold an enforceable contract invites "send us the contract" — and spends our leverage if we cannot. Full text of all four in Vixxo_Email_Drafts.docx.</w:t>
      </w:r>
    </w:p>
    <w:p>
      <w:pPr>
        <w:pStyle w:val="Heading1"/>
        <w:spacing w:after="120" w:before="320"/>
      </w:pPr>
      <w:r>
        <w:rPr>
          <w:rFonts w:ascii="Calibri" w:cs="Calibri" w:eastAsia="Calibri" w:hAnsi="Calibri"/>
          <w:b/>
          <w:bCs/>
          <w:color w:val="070B97"/>
          <w:sz w:val="30"/>
          <w:szCs w:val="30"/>
        </w:rPr>
        <w:t xml:space="preserve">10. Recommended Sequence on Pet Retail Brands</w:t>
      </w:r>
    </w:p>
    <w:p>
      <w:pPr>
        <w:spacing w:after="120"/>
      </w:pPr>
      <w:r>
        <w:rPr>
          <w:rFonts w:ascii="Calibri" w:cs="Calibri" w:eastAsia="Calibri" w:hAnsi="Calibri"/>
          <w:sz w:val="20"/>
          <w:szCs w:val="20"/>
        </w:rPr>
        <w:t xml:space="preserve">1. Request documents from Vixxo now — longest-lead item, gates everything else</w:t>
      </w:r>
    </w:p>
    <w:p>
      <w:pPr>
        <w:spacing w:after="120"/>
      </w:pPr>
      <w:r>
        <w:rPr>
          <w:rFonts w:ascii="Calibri" w:cs="Calibri" w:eastAsia="Calibri" w:hAnsi="Calibri"/>
          <w:sz w:val="20"/>
          <w:szCs w:val="20"/>
        </w:rPr>
        <w:t xml:space="preserve">2. Named escalation in parallel — McGee and Brown by email, Proctor by letter</w:t>
      </w:r>
    </w:p>
    <w:p>
      <w:pPr>
        <w:spacing w:after="120"/>
      </w:pPr>
      <w:r>
        <w:rPr>
          <w:rFonts w:ascii="Calibri" w:cs="Calibri" w:eastAsia="Calibri" w:hAnsi="Calibri"/>
          <w:sz w:val="20"/>
          <w:szCs w:val="20"/>
        </w:rPr>
        <w:t xml:space="preserve">3. Counsel review only after documents are confirmed — Florida network counsel, demand on letterhead. Suit is the fallback, not the opening move.</w:t>
      </w:r>
    </w:p>
    <w:p>
      <w:pPr>
        <w:spacing w:after="120"/>
      </w:pPr>
      <w:r>
        <w:rPr>
          <w:rFonts w:ascii="Calibri" w:cs="Calibri" w:eastAsia="Calibri" w:hAnsi="Calibri"/>
          <w:sz w:val="20"/>
          <w:szCs w:val="20"/>
        </w:rPr>
        <w:t xml:space="preserve">4. Reverse the Cancel status — its premise (no findable contact) is disproven</w:t>
      </w:r>
    </w:p>
    <w:p>
      <w:pPr>
        <w:spacing w:after="120"/>
      </w:pPr>
      <w:r>
        <w:rPr>
          <w:rFonts w:ascii="Calibri" w:cs="Calibri" w:eastAsia="Calibri" w:hAnsi="Calibri"/>
          <w:b/>
          <w:bCs/>
          <w:color w:val="C0392B"/>
          <w:sz w:val="20"/>
          <w:szCs w:val="20"/>
        </w:rPr>
        <w:t xml:space="preserve">What would change this: if Vixxo cannot produce a signed authorization or matching PO, the claim weakens sharply regardless of the debtor's size. A well-resourced defendant will take exactly that point.</w:t>
      </w:r>
    </w:p>
    <w:p>
      <w:pPr>
        <w:pStyle w:val="Heading1"/>
        <w:spacing w:after="120" w:before="320"/>
      </w:pPr>
      <w:r>
        <w:rPr>
          <w:rFonts w:ascii="Calibri" w:cs="Calibri" w:eastAsia="Calibri" w:hAnsi="Calibri"/>
          <w:b/>
          <w:bCs/>
          <w:color w:val="070B97"/>
          <w:sz w:val="30"/>
          <w:szCs w:val="30"/>
        </w:rPr>
        <w:t xml:space="preserve">11. Open Items</w:t>
      </w:r>
    </w:p>
    <w:p>
      <w:pPr>
        <w:pStyle w:val="ListParagraph"/>
        <w:numPr>
          <w:ilvl w:val="0"/>
          <w:numId w:val="1"/>
        </w:numPr>
        <w:spacing w:after="80"/>
      </w:pPr>
      <w:r>
        <w:rPr>
          <w:rFonts w:ascii="Calibri" w:cs="Calibri" w:eastAsia="Calibri" w:hAnsi="Calibri"/>
          <w:sz w:val="20"/>
          <w:szCs w:val="20"/>
        </w:rPr>
        <w:t xml:space="preserve">GO on sends 1–3</w:t>
      </w:r>
    </w:p>
    <w:p>
      <w:pPr>
        <w:pStyle w:val="ListParagraph"/>
        <w:numPr>
          <w:ilvl w:val="0"/>
          <w:numId w:val="1"/>
        </w:numPr>
        <w:spacing w:after="80"/>
      </w:pPr>
      <w:r>
        <w:rPr>
          <w:rFonts w:ascii="Calibri" w:cs="Calibri" w:eastAsia="Calibri" w:hAnsi="Calibri"/>
          <w:sz w:val="20"/>
          <w:szCs w:val="20"/>
        </w:rPr>
        <w:t xml:space="preserve">Verify Brendan Proctor's Pet Supermarket email, or mail the letter</w:t>
      </w:r>
    </w:p>
    <w:p>
      <w:pPr>
        <w:pStyle w:val="ListParagraph"/>
        <w:numPr>
          <w:ilvl w:val="0"/>
          <w:numId w:val="1"/>
        </w:numPr>
        <w:spacing w:after="80"/>
      </w:pPr>
      <w:r>
        <w:rPr>
          <w:rFonts w:ascii="Calibri" w:cs="Calibri" w:eastAsia="Calibri" w:hAnsi="Calibri"/>
          <w:sz w:val="20"/>
          <w:szCs w:val="20"/>
        </w:rPr>
        <w:t xml:space="preserve">Pull Cass County IN docket 09D01-2608-SC-000223 (Harper-Allen)</w:t>
      </w:r>
    </w:p>
    <w:p>
      <w:pPr>
        <w:pStyle w:val="ListParagraph"/>
        <w:numPr>
          <w:ilvl w:val="0"/>
          <w:numId w:val="1"/>
        </w:numPr>
        <w:spacing w:after="80"/>
      </w:pPr>
      <w:r>
        <w:rPr>
          <w:rFonts w:ascii="Calibri" w:cs="Calibri" w:eastAsia="Calibri" w:hAnsi="Calibri"/>
          <w:sz w:val="20"/>
          <w:szCs w:val="20"/>
        </w:rPr>
        <w:t xml:space="preserve">California Certificate of Status ×2 (~$5 each) — Planet Mars, Melrose</w:t>
      </w:r>
    </w:p>
    <w:p>
      <w:pPr>
        <w:pStyle w:val="ListParagraph"/>
        <w:numPr>
          <w:ilvl w:val="0"/>
          <w:numId w:val="1"/>
        </w:numPr>
        <w:spacing w:after="80"/>
      </w:pPr>
      <w:r>
        <w:rPr>
          <w:rFonts w:ascii="Calibri" w:cs="Calibri" w:eastAsia="Calibri" w:hAnsi="Calibri"/>
          <w:sz w:val="20"/>
          <w:szCs w:val="20"/>
        </w:rPr>
        <w:t xml:space="preserve">Confirm whether the D.N.J. Thackray defendant is our Illinois SCI Group</w:t>
      </w:r>
    </w:p>
    <w:p>
      <w:pPr>
        <w:pStyle w:val="ListParagraph"/>
        <w:numPr>
          <w:ilvl w:val="0"/>
          <w:numId w:val="1"/>
        </w:numPr>
        <w:spacing w:after="80"/>
      </w:pPr>
      <w:r>
        <w:rPr>
          <w:rFonts w:ascii="Calibri" w:cs="Calibri" w:eastAsia="Calibri" w:hAnsi="Calibri"/>
          <w:sz w:val="20"/>
          <w:szCs w:val="20"/>
        </w:rPr>
        <w:t xml:space="preserve">Confirm Ottobock's US registered entity name (from Vixxo)</w:t>
      </w:r>
    </w:p>
    <w:p>
      <w:pPr>
        <w:pStyle w:val="ListParagraph"/>
        <w:numPr>
          <w:ilvl w:val="0"/>
          <w:numId w:val="1"/>
        </w:numPr>
        <w:spacing w:after="80"/>
      </w:pPr>
      <w:r>
        <w:rPr>
          <w:rFonts w:ascii="Calibri" w:cs="Calibri" w:eastAsia="Calibri" w:hAnsi="Calibri"/>
          <w:sz w:val="20"/>
          <w:szCs w:val="20"/>
        </w:rPr>
        <w:t xml:space="preserve">NEGSCRUB batch c2940222-04e0-4a44-80be-015684a7db69 — still queued, no results landed</w:t>
      </w:r>
    </w:p>
    <w:p>
      <w:pPr>
        <w:pStyle w:val="ListParagraph"/>
        <w:numPr>
          <w:ilvl w:val="0"/>
          <w:numId w:val="1"/>
        </w:numPr>
        <w:spacing w:after="80"/>
      </w:pPr>
      <w:r>
        <w:rPr>
          <w:rFonts w:ascii="Calibri" w:cs="Calibri" w:eastAsia="Calibri" w:hAnsi="Calibri"/>
          <w:sz w:val="20"/>
          <w:szCs w:val="20"/>
        </w:rPr>
        <w:t xml:space="preserve">REFRESHBANKRUPTCY gateway HTTP 502 — outstanding with Alex</w:t>
      </w:r>
    </w:p>
    <w:p>
      <w:pPr>
        <w:pStyle w:val="ListParagraph"/>
        <w:numPr>
          <w:ilvl w:val="0"/>
          <w:numId w:val="1"/>
        </w:numPr>
        <w:spacing w:after="80"/>
      </w:pPr>
      <w:r>
        <w:rPr>
          <w:rFonts w:ascii="Calibri" w:cs="Calibri" w:eastAsia="Calibri" w:hAnsi="Calibri"/>
          <w:sz w:val="20"/>
          <w:szCs w:val="20"/>
        </w:rPr>
        <w:t xml:space="preserve">.construction TLD email-validation defect — for Alex</w:t>
      </w:r>
    </w:p>
    <w:p>
      <w:pPr>
        <w:pStyle w:val="ListParagraph"/>
        <w:numPr>
          <w:ilvl w:val="0"/>
          <w:numId w:val="1"/>
        </w:numPr>
        <w:spacing w:after="80"/>
      </w:pPr>
      <w:r>
        <w:rPr>
          <w:rFonts w:ascii="Calibri" w:cs="Calibri" w:eastAsia="Calibri" w:hAnsi="Calibri"/>
          <w:sz w:val="20"/>
          <w:szCs w:val="20"/>
        </w:rPr>
        <w:t xml:space="preserve">Remove Harper-Allen from the write-down list</w:t>
      </w:r>
    </w:p>
    <w:p>
      <w:pPr>
        <w:pStyle w:val="Heading1"/>
        <w:spacing w:after="120" w:before="320"/>
      </w:pPr>
      <w:r>
        <w:rPr>
          <w:rFonts w:ascii="Calibri" w:cs="Calibri" w:eastAsia="Calibri" w:hAnsi="Calibri"/>
          <w:b/>
          <w:bCs/>
          <w:color w:val="070B97"/>
          <w:sz w:val="30"/>
          <w:szCs w:val="30"/>
        </w:rPr>
        <w:t xml:space="preserve">12. Files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File</w:t>
            </w:r>
          </w:p>
        </w:tc>
        <w:tc>
          <w:tcPr>
            <w:tcW w:type="dxa" w:w="51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Contents</w:t>
            </w:r>
          </w:p>
        </w:tc>
      </w:tr>
      <w:tr>
        <w:tc>
          <w:tcPr>
            <w:tcW w:type="dxa" w:w="4200"/>
            <w:tcMar>
              <w:top w:type="dxa" w:w="60"/>
              <w:left w:type="dxa" w:w="100"/>
              <w:bottom w:type="dxa" w:w="60"/>
              <w:right w:type="dxa" w:w="100"/>
            </w:tcMar>
          </w:tcPr>
          <w:p>
            <w:r>
              <w:rPr>
                <w:rFonts w:ascii="Calibri" w:cs="Calibri" w:eastAsia="Calibri" w:hAnsi="Calibri"/>
                <w:sz w:val="18"/>
                <w:szCs w:val="18"/>
              </w:rPr>
              <w:t xml:space="preserve">README_Vixxo_Kansas_11258.md</w:t>
            </w:r>
          </w:p>
        </w:tc>
        <w:tc>
          <w:tcPr>
            <w:tcW w:type="dxa" w:w="5160"/>
            <w:tcMar>
              <w:top w:type="dxa" w:w="60"/>
              <w:left w:type="dxa" w:w="100"/>
              <w:bottom w:type="dxa" w:w="60"/>
              <w:right w:type="dxa" w:w="100"/>
            </w:tcMar>
          </w:tcPr>
          <w:p>
            <w:r>
              <w:rPr>
                <w:rFonts w:ascii="Calibri" w:cs="Calibri" w:eastAsia="Calibri" w:hAnsi="Calibri"/>
                <w:sz w:val="18"/>
                <w:szCs w:val="18"/>
              </w:rPr>
              <w:t xml:space="preserve">Markdown version of this document</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Vixxo_Kansas_11258_Complete_File.docx</w:t>
            </w:r>
          </w:p>
        </w:tc>
        <w:tc>
          <w:tcPr>
            <w:tcW w:type="dxa" w:w="5160"/>
            <w:tcMar>
              <w:top w:type="dxa" w:w="60"/>
              <w:left w:type="dxa" w:w="100"/>
              <w:bottom w:type="dxa" w:w="60"/>
              <w:right w:type="dxa" w:w="100"/>
            </w:tcMar>
          </w:tcPr>
          <w:p>
            <w:r>
              <w:rPr>
                <w:rFonts w:ascii="Calibri" w:cs="Calibri" w:eastAsia="Calibri" w:hAnsi="Calibri"/>
                <w:sz w:val="18"/>
                <w:szCs w:val="18"/>
              </w:rPr>
              <w:t xml:space="preserve">This document</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Vixxo_Email_Drafts.docx</w:t>
            </w:r>
          </w:p>
        </w:tc>
        <w:tc>
          <w:tcPr>
            <w:tcW w:type="dxa" w:w="5160"/>
            <w:tcMar>
              <w:top w:type="dxa" w:w="60"/>
              <w:left w:type="dxa" w:w="100"/>
              <w:bottom w:type="dxa" w:w="60"/>
              <w:right w:type="dxa" w:w="100"/>
            </w:tcMar>
          </w:tcPr>
          <w:p>
            <w:r>
              <w:rPr>
                <w:rFonts w:ascii="Calibri" w:cs="Calibri" w:eastAsia="Calibri" w:hAnsi="Calibri"/>
                <w:sz w:val="18"/>
                <w:szCs w:val="18"/>
              </w:rPr>
              <w:t xml:space="preserve">All four drafted communications, full text</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Vixxo_Placed_vs_Collected.csv</w:t>
            </w:r>
          </w:p>
        </w:tc>
        <w:tc>
          <w:tcPr>
            <w:tcW w:type="dxa" w:w="5160"/>
            <w:tcMar>
              <w:top w:type="dxa" w:w="60"/>
              <w:left w:type="dxa" w:w="100"/>
              <w:bottom w:type="dxa" w:w="60"/>
              <w:right w:type="dxa" w:w="100"/>
            </w:tcMar>
          </w:tcPr>
          <w:p>
            <w:r>
              <w:rPr>
                <w:rFonts w:ascii="Calibri" w:cs="Calibri" w:eastAsia="Calibri" w:hAnsi="Calibri"/>
                <w:sz w:val="18"/>
                <w:szCs w:val="18"/>
              </w:rPr>
              <w:t xml:space="preserve">Per-account placed / collected / balance / recovery %</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Vixxo_Entity_Register.csv</w:t>
            </w:r>
          </w:p>
        </w:tc>
        <w:tc>
          <w:tcPr>
            <w:tcW w:type="dxa" w:w="5160"/>
            <w:tcMar>
              <w:top w:type="dxa" w:w="60"/>
              <w:left w:type="dxa" w:w="100"/>
              <w:bottom w:type="dxa" w:w="60"/>
              <w:right w:type="dxa" w:w="100"/>
            </w:tcMar>
          </w:tcPr>
          <w:p>
            <w:r>
              <w:rPr>
                <w:rFonts w:ascii="Calibri" w:cs="Calibri" w:eastAsia="Calibri" w:hAnsi="Calibri"/>
                <w:sz w:val="18"/>
                <w:szCs w:val="18"/>
              </w:rPr>
              <w:t xml:space="preserve">Entity status, source and confidence for all 11 open accounts</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Vixxo_Apollo_Verified_Contacts.csv</w:t>
            </w:r>
          </w:p>
        </w:tc>
        <w:tc>
          <w:tcPr>
            <w:tcW w:type="dxa" w:w="5160"/>
            <w:tcMar>
              <w:top w:type="dxa" w:w="60"/>
              <w:left w:type="dxa" w:w="100"/>
              <w:bottom w:type="dxa" w:w="60"/>
              <w:right w:type="dxa" w:w="100"/>
            </w:tcMar>
          </w:tcPr>
          <w:p>
            <w:pPr>
              <w:jc w:val="right"/>
            </w:pPr>
            <w:r>
              <w:rPr>
                <w:rFonts w:ascii="Calibri" w:cs="Calibri" w:eastAsia="Calibri" w:hAnsi="Calibri"/>
                <w:sz w:val="18"/>
                <w:szCs w:val="18"/>
              </w:rPr>
              <w:t xml:space="preserve">13 verified contacts with titles, emails and notes</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Vixxo_Collection_Log_Full.csv</w:t>
            </w:r>
          </w:p>
        </w:tc>
        <w:tc>
          <w:tcPr>
            <w:tcW w:type="dxa" w:w="5160"/>
            <w:tcMar>
              <w:top w:type="dxa" w:w="60"/>
              <w:left w:type="dxa" w:w="100"/>
              <w:bottom w:type="dxa" w:w="60"/>
              <w:right w:type="dxa" w:w="100"/>
            </w:tcMar>
          </w:tcPr>
          <w:p>
            <w:r>
              <w:rPr>
                <w:rFonts w:ascii="Calibri" w:cs="Calibri" w:eastAsia="Calibri" w:hAnsi="Calibri"/>
                <w:sz w:val="18"/>
                <w:szCs w:val="18"/>
              </w:rPr>
              <w:t xml:space="preserve">All 1,215 collection notes, by account and timestamp</w:t>
            </w:r>
          </w:p>
        </w:tc>
      </w:tr>
      <w:tr>
        <w:tc>
          <w:tcPr>
            <w:tcW w:type="dxa" w:w="4200"/>
            <w:tcMar>
              <w:top w:type="dxa" w:w="60"/>
              <w:left w:type="dxa" w:w="100"/>
              <w:bottom w:type="dxa" w:w="60"/>
              <w:right w:type="dxa" w:w="100"/>
            </w:tcMar>
          </w:tcPr>
          <w:p>
            <w:r>
              <w:rPr>
                <w:rFonts w:ascii="Calibri" w:cs="Calibri" w:eastAsia="Calibri" w:hAnsi="Calibri"/>
                <w:sz w:val="18"/>
                <w:szCs w:val="18"/>
              </w:rPr>
              <w:t xml:space="preserve">Vixxo_Dial_Records.csv</w:t>
            </w:r>
          </w:p>
        </w:tc>
        <w:tc>
          <w:tcPr>
            <w:tcW w:type="dxa" w:w="5160"/>
            <w:tcMar>
              <w:top w:type="dxa" w:w="60"/>
              <w:left w:type="dxa" w:w="100"/>
              <w:bottom w:type="dxa" w:w="60"/>
              <w:right w:type="dxa" w:w="100"/>
            </w:tcMar>
          </w:tcPr>
          <w:p>
            <w:r>
              <w:rPr>
                <w:rFonts w:ascii="Calibri" w:cs="Calibri" w:eastAsia="Calibri" w:hAnsi="Calibri"/>
                <w:sz w:val="18"/>
                <w:szCs w:val="18"/>
              </w:rPr>
              <w:t xml:space="preserve">All 36 dial records with numbers and attempt counts</w:t>
            </w:r>
          </w:p>
        </w:tc>
      </w:tr>
    </w:tbl>
    <w:p>
      <w:pPr>
        <w:spacing w:after="120"/>
      </w:pPr>
      <w:r>
        <w:rPr>
          <w:rFonts w:ascii="Calibri" w:cs="Calibri" w:eastAsia="Calibri" w:hAnsi="Calibri"/>
          <w:sz w:val="20"/>
          <w:szCs w:val="20"/>
        </w:rPr>
        <w:t xml:space="preserve"/>
      </w:r>
    </w:p>
    <w:p>
      <w:pPr>
        <w:spacing w:after="120"/>
      </w:pPr>
      <w:r>
        <w:rPr>
          <w:rFonts w:ascii="Calibri" w:cs="Calibri" w:eastAsia="Calibri" w:hAnsi="Calibri"/>
          <w:b/>
          <w:bCs/>
          <w:sz w:val="20"/>
          <w:szCs w:val="20"/>
        </w:rPr>
        <w:t xml:space="preserve">Live reports also deployed online:</w:t>
      </w:r>
    </w:p>
    <w:p>
      <w:pPr>
        <w:pStyle w:val="ListParagraph"/>
        <w:numPr>
          <w:ilvl w:val="0"/>
          <w:numId w:val="1"/>
        </w:numPr>
        <w:spacing w:after="80"/>
      </w:pPr>
      <w:r>
        <w:rPr>
          <w:rFonts w:ascii="Calibri" w:cs="Calibri" w:eastAsia="Calibri" w:hAnsi="Calibri"/>
          <w:sz w:val="20"/>
          <w:szCs w:val="20"/>
        </w:rPr>
        <w:t xml:space="preserve">Client-facing collection report — stevendietz.github.io/swrs-intent-decks/clients/vixxo-kansas/</w:t>
      </w:r>
    </w:p>
    <w:p>
      <w:pPr>
        <w:pStyle w:val="ListParagraph"/>
        <w:numPr>
          <w:ilvl w:val="0"/>
          <w:numId w:val="1"/>
        </w:numPr>
        <w:spacing w:after="80"/>
      </w:pPr>
      <w:r>
        <w:rPr>
          <w:rFonts w:ascii="Calibri" w:cs="Calibri" w:eastAsia="Calibri" w:hAnsi="Calibri"/>
          <w:sz w:val="20"/>
          <w:szCs w:val="20"/>
        </w:rPr>
        <w:t xml:space="preserve">Internal master dossier — stevendietz.github.io/swrs-intent-decks/clients/vixxo-kansas-dossier/</w:t>
      </w:r>
    </w:p>
    <w:p>
      <w:pPr>
        <w:pStyle w:val="ListParagraph"/>
        <w:numPr>
          <w:ilvl w:val="0"/>
          <w:numId w:val="1"/>
        </w:numPr>
        <w:spacing w:after="80"/>
      </w:pPr>
      <w:r>
        <w:rPr>
          <w:rFonts w:ascii="Calibri" w:cs="Calibri" w:eastAsia="Calibri" w:hAnsi="Calibri"/>
          <w:sz w:val="20"/>
          <w:szCs w:val="20"/>
        </w:rPr>
        <w:t xml:space="preserve">Pet Retail Brands deep dossier — stevendietz.github.io/swrs-intent-decks/clients/pet-retail-brands-dossier/</w:t>
      </w:r>
    </w:p>
    <w:p>
      <w:pPr>
        <w:pStyle w:val="Heading1"/>
        <w:spacing w:after="120" w:before="320"/>
      </w:pPr>
      <w:r>
        <w:rPr>
          <w:rFonts w:ascii="Calibri" w:cs="Calibri" w:eastAsia="Calibri" w:hAnsi="Calibri"/>
          <w:b/>
          <w:bCs/>
          <w:color w:val="070B97"/>
          <w:sz w:val="30"/>
          <w:szCs w:val="30"/>
        </w:rPr>
        <w:t xml:space="preserve">13. Sourcing Note</w:t>
      </w:r>
    </w:p>
    <w:p>
      <w:pPr>
        <w:spacing w:after="120"/>
      </w:pPr>
      <w:r>
        <w:rPr>
          <w:rFonts w:ascii="Calibri" w:cs="Calibri" w:eastAsia="Calibri" w:hAnsi="Calibri"/>
          <w:sz w:val="20"/>
          <w:szCs w:val="20"/>
        </w:rPr>
        <w:t xml:space="preserve">Entity and court findings in this file come from primary sources retrieved 09/23/2026: the Florida Division of Corporations, the New York Department of State, CourtListener RECAP, and the Texas Comptroller. Apollo firmographic and contact records were refreshed between 09/03/2026 and 09/16/2026.</w:t>
      </w:r>
    </w:p>
    <w:p>
      <w:pPr>
        <w:spacing w:after="120"/>
      </w:pPr>
      <w:r>
        <w:rPr>
          <w:rFonts w:ascii="Calibri" w:cs="Calibri" w:eastAsia="Calibri" w:hAnsi="Calibri"/>
          <w:sz w:val="20"/>
          <w:szCs w:val="20"/>
        </w:rPr>
        <w:t xml:space="preserve">An earlier draft of this analysis described Pet Retail Brands as a solvent Roark portfolio company with "930+ stores and $1B in sales." That figure came from 2016 merger press coverage and should not have been presented as current condition. It has been replaced throughout with the verified 2026 registry record and current financial data. Where a fact could not be verified, this file says so rather than inferring.</w:t>
      </w:r>
    </w:p>
    <w:p>
      <w:pPr>
        <w:spacing w:after="120"/>
      </w:pPr>
      <w:r>
        <w:rPr>
          <w:rFonts w:ascii="Calibri" w:cs="Calibri" w:eastAsia="Calibri" w:hAnsi="Calibri"/>
          <w:i/>
          <w:iCs/>
          <w:color w:val="6B7280"/>
          <w:sz w:val="20"/>
          <w:szCs w:val="20"/>
        </w:rPr>
        <w:t xml:space="preserve">Southwest Recovery Services is a licensed and bonded commercial collection agency. These are commercial accounts between business entities; FDCPA consumer provisions do not apply, and SWRS practice standards do.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2026-09-23T23:01:38.952Z</dcterms:created>
  <dcterms:modified xsi:type="dcterms:W3CDTF">2026-09-23T23:01:38.964Z</dcterms:modified>
</cp:coreProperties>
</file>

<file path=docProps/custom.xml><?xml version="1.0" encoding="utf-8"?>
<Properties xmlns="http://schemas.openxmlformats.org/officeDocument/2006/custom-properties" xmlns:vt="http://schemas.openxmlformats.org/officeDocument/2006/docPropsVTypes"/>
</file>