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0446F1"/>
          <w:sz w:val="18"/>
          <w:szCs w:val="18"/>
        </w:rPr>
        <w:t xml:space="preserve">SOUTHWEST RECOVERY SERVICES</w:t>
      </w:r>
    </w:p>
    <w:p>
      <w:pPr>
        <w:spacing w:after="40"/>
      </w:pPr>
      <w:r>
        <w:rPr>
          <w:rFonts w:ascii="Calibri" w:cs="Calibri" w:eastAsia="Calibri" w:hAnsi="Calibri"/>
          <w:b/>
          <w:bCs/>
          <w:color w:val="070B97"/>
          <w:sz w:val="34"/>
          <w:szCs w:val="34"/>
        </w:rPr>
        <w:t xml:space="preserve">Vixxo Kansas — Recovered Accounts</w:t>
      </w:r>
    </w:p>
    <w:p>
      <w:pPr>
        <w:spacing w:after="130"/>
      </w:pPr>
      <w:r>
        <w:rPr>
          <w:rFonts w:ascii="Calibri" w:cs="Calibri" w:eastAsia="Calibri" w:hAnsi="Calibri"/>
          <w:color w:val="6B7280"/>
          <w:sz w:val="19"/>
          <w:szCs w:val="19"/>
        </w:rPr>
        <w:t xml:space="preserve">The three accounts paid in full · What worked and why · ClientKey 11258 · September 23, 2026</w:t>
      </w:r>
    </w:p>
    <w:p>
      <w:pPr>
        <w:pBdr>
          <w:bottom w:val="single" w:color="1F9D55" w:sz="12"/>
        </w:pBdr>
        <w:spacing w:after="240"/>
      </w:pPr>
      <w:r>
        <w:rPr>
          <w:rFonts w:ascii="Calibri" w:cs="Calibri" w:eastAsia="Calibri" w:hAnsi="Calibri"/>
          <w:b/>
          <w:bCs/>
          <w:color w:val="1F9D55"/>
          <w:sz w:val="18"/>
          <w:szCs w:val="18"/>
        </w:rPr>
        <w:t xml:space="preserve">ADDENDUM — completes the file. All 14 placed accounts are now documented.</w:t>
      </w:r>
    </w:p>
    <w:p>
      <w:pPr>
        <w:spacing w:after="130"/>
      </w:pPr>
      <w:r>
        <w:rPr>
          <w:rFonts w:ascii="Calibri" w:cs="Calibri" w:eastAsia="Calibri" w:hAnsi="Calibri"/>
          <w:b/>
          <w:bCs/>
          <w:sz w:val="20"/>
          <w:szCs w:val="20"/>
        </w:rPr>
        <w:t xml:space="preserve">These three accounts produced $33,535.40 — 22.5% of everything recovered on this book — and had no dossier. They matter more than their balances suggest, because the technique that closed each one is directly transferable to the accounts still open.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1700"/>
        <w:gridCol w:w="1200"/>
        <w:gridCol w:w="2260"/>
      </w:tblGrid>
      <w:tr>
        <w:trPr>
          <w:tblHeader/>
        </w:trPr>
        <w:tc>
          <w:tcPr>
            <w:tcW w:type="dxa" w:w="2700"/>
            <w:shd w:fill="070B97" w:color="auto" w:val="clear"/>
            <w:tcMar>
              <w:top w:type="dxa" w:w="60"/>
              <w:left w:type="dxa" w:w="100"/>
              <w:bottom w:type="dxa" w:w="60"/>
              <w:right w:type="dxa" w:w="100"/>
            </w:tcMar>
          </w:tcPr>
          <w:p>
            <w:r>
              <w:rPr>
                <w:rFonts w:ascii="Calibri" w:cs="Calibri" w:eastAsia="Calibri" w:hAnsi="Calibri"/>
                <w:b/>
                <w:bCs/>
                <w:color w:val="FFFFFF"/>
                <w:sz w:val="18"/>
                <w:szCs w:val="18"/>
              </w:rPr>
              <w:t xml:space="preserve">Debtor</w:t>
            </w:r>
          </w:p>
        </w:tc>
        <w:tc>
          <w:tcPr>
            <w:tcW w:type="dxa" w:w="1500"/>
            <w:shd w:fill="070B97" w:color="auto" w:val="clear"/>
            <w:tcMar>
              <w:top w:type="dxa" w:w="60"/>
              <w:left w:type="dxa" w:w="100"/>
              <w:bottom w:type="dxa" w:w="60"/>
              <w:right w:type="dxa" w:w="100"/>
            </w:tcMar>
          </w:tcPr>
          <w:p>
            <w:r>
              <w:rPr>
                <w:rFonts w:ascii="Calibri" w:cs="Calibri" w:eastAsia="Calibri" w:hAnsi="Calibri"/>
                <w:b/>
                <w:bCs/>
                <w:color w:val="FFFFFF"/>
                <w:sz w:val="18"/>
                <w:szCs w:val="18"/>
              </w:rPr>
              <w:t xml:space="preserve">Placed</w:t>
            </w:r>
          </w:p>
        </w:tc>
        <w:tc>
          <w:tcPr>
            <w:tcW w:type="dxa" w:w="1700"/>
            <w:shd w:fill="070B97" w:color="auto" w:val="clear"/>
            <w:tcMar>
              <w:top w:type="dxa" w:w="60"/>
              <w:left w:type="dxa" w:w="100"/>
              <w:bottom w:type="dxa" w:w="60"/>
              <w:right w:type="dxa" w:w="100"/>
            </w:tcMar>
          </w:tcPr>
          <w:p>
            <w:r>
              <w:rPr>
                <w:rFonts w:ascii="Calibri" w:cs="Calibri" w:eastAsia="Calibri" w:hAnsi="Calibri"/>
                <w:b/>
                <w:bCs/>
                <w:color w:val="FFFFFF"/>
                <w:sz w:val="18"/>
                <w:szCs w:val="18"/>
              </w:rPr>
              <w:t xml:space="preserve">Collected</w:t>
            </w:r>
          </w:p>
        </w:tc>
        <w:tc>
          <w:tcPr>
            <w:tcW w:type="dxa" w:w="1200"/>
            <w:shd w:fill="070B97" w:color="auto" w:val="clear"/>
            <w:tcMar>
              <w:top w:type="dxa" w:w="60"/>
              <w:left w:type="dxa" w:w="100"/>
              <w:bottom w:type="dxa" w:w="60"/>
              <w:right w:type="dxa" w:w="100"/>
            </w:tcMar>
          </w:tcPr>
          <w:p>
            <w:r>
              <w:rPr>
                <w:rFonts w:ascii="Calibri" w:cs="Calibri" w:eastAsia="Calibri" w:hAnsi="Calibri"/>
                <w:b/>
                <w:bCs/>
                <w:color w:val="FFFFFF"/>
                <w:sz w:val="18"/>
                <w:szCs w:val="18"/>
              </w:rPr>
              <w:t xml:space="preserve">Days to pay</w:t>
            </w:r>
          </w:p>
        </w:tc>
        <w:tc>
          <w:tcPr>
            <w:tcW w:type="dxa" w:w="2260"/>
            <w:shd w:fill="070B97" w:color="auto" w:val="clear"/>
            <w:tcMar>
              <w:top w:type="dxa" w:w="60"/>
              <w:left w:type="dxa" w:w="100"/>
              <w:bottom w:type="dxa" w:w="60"/>
              <w:right w:type="dxa" w:w="100"/>
            </w:tcMar>
          </w:tcPr>
          <w:p>
            <w:r>
              <w:rPr>
                <w:rFonts w:ascii="Calibri" w:cs="Calibri" w:eastAsia="Calibri" w:hAnsi="Calibri"/>
                <w:b/>
                <w:bCs/>
                <w:color w:val="FFFFFF"/>
                <w:sz w:val="18"/>
                <w:szCs w:val="18"/>
              </w:rPr>
              <w:t xml:space="preserve">Method that closed it</w:t>
            </w:r>
          </w:p>
        </w:tc>
      </w:tr>
      <w:tr>
        <w:tc>
          <w:tcPr>
            <w:tcW w:type="dxa" w:w="2700"/>
            <w:tcMar>
              <w:top w:type="dxa" w:w="60"/>
              <w:left w:type="dxa" w:w="100"/>
              <w:bottom w:type="dxa" w:w="60"/>
              <w:right w:type="dxa" w:w="100"/>
            </w:tcMar>
          </w:tcPr>
          <w:p>
            <w:r>
              <w:rPr>
                <w:rFonts w:ascii="Calibri" w:cs="Calibri" w:eastAsia="Calibri" w:hAnsi="Calibri"/>
                <w:sz w:val="18"/>
                <w:szCs w:val="18"/>
              </w:rPr>
              <w:t xml:space="preserve">Vision General Construction</w:t>
            </w:r>
          </w:p>
        </w:tc>
        <w:tc>
          <w:tcPr>
            <w:tcW w:type="dxa" w:w="1500"/>
            <w:tcMar>
              <w:top w:type="dxa" w:w="60"/>
              <w:left w:type="dxa" w:w="100"/>
              <w:bottom w:type="dxa" w:w="60"/>
              <w:right w:type="dxa" w:w="100"/>
            </w:tcMar>
          </w:tcPr>
          <w:p>
            <w:r>
              <w:rPr>
                <w:rFonts w:ascii="Calibri" w:cs="Calibri" w:eastAsia="Calibri" w:hAnsi="Calibri"/>
                <w:sz w:val="18"/>
                <w:szCs w:val="18"/>
              </w:rPr>
              <w:t xml:space="preserve">$26,373.84</w:t>
            </w:r>
          </w:p>
        </w:tc>
        <w:tc>
          <w:tcPr>
            <w:tcW w:type="dxa" w:w="1700"/>
            <w:tcMar>
              <w:top w:type="dxa" w:w="60"/>
              <w:left w:type="dxa" w:w="100"/>
              <w:bottom w:type="dxa" w:w="60"/>
              <w:right w:type="dxa" w:w="100"/>
            </w:tcMar>
          </w:tcPr>
          <w:p>
            <w:r>
              <w:rPr>
                <w:rFonts w:ascii="Calibri" w:cs="Calibri" w:eastAsia="Calibri" w:hAnsi="Calibri"/>
                <w:sz w:val="18"/>
                <w:szCs w:val="18"/>
              </w:rPr>
              <w:t xml:space="preserve">$26,373.84 (100%)</w:t>
            </w:r>
          </w:p>
        </w:tc>
        <w:tc>
          <w:tcPr>
            <w:tcW w:type="dxa" w:w="1200"/>
            <w:tcMar>
              <w:top w:type="dxa" w:w="60"/>
              <w:left w:type="dxa" w:w="100"/>
              <w:bottom w:type="dxa" w:w="60"/>
              <w:right w:type="dxa" w:w="100"/>
            </w:tcMar>
          </w:tcPr>
          <w:p>
            <w:r>
              <w:rPr>
                <w:rFonts w:ascii="Calibri" w:cs="Calibri" w:eastAsia="Calibri" w:hAnsi="Calibri"/>
                <w:sz w:val="18"/>
                <w:szCs w:val="18"/>
              </w:rPr>
              <w:t xml:space="preserve">35</w:t>
            </w:r>
          </w:p>
        </w:tc>
        <w:tc>
          <w:tcPr>
            <w:tcW w:type="dxa" w:w="2260"/>
            <w:tcMar>
              <w:top w:type="dxa" w:w="60"/>
              <w:left w:type="dxa" w:w="100"/>
              <w:bottom w:type="dxa" w:w="60"/>
              <w:right w:type="dxa" w:w="100"/>
            </w:tcMar>
          </w:tcPr>
          <w:p>
            <w:r>
              <w:rPr>
                <w:rFonts w:ascii="Calibri" w:cs="Calibri" w:eastAsia="Calibri" w:hAnsi="Calibri"/>
                <w:sz w:val="18"/>
                <w:szCs w:val="18"/>
              </w:rPr>
              <w:t xml:space="preserve">Escalation to owner over the AP clerk</w:t>
            </w:r>
          </w:p>
        </w:tc>
      </w:tr>
      <w:tr>
        <w:tc>
          <w:tcPr>
            <w:tcW w:type="dxa" w:w="2700"/>
            <w:tcMar>
              <w:top w:type="dxa" w:w="60"/>
              <w:left w:type="dxa" w:w="100"/>
              <w:bottom w:type="dxa" w:w="60"/>
              <w:right w:type="dxa" w:w="100"/>
            </w:tcMar>
          </w:tcPr>
          <w:p>
            <w:r>
              <w:rPr>
                <w:rFonts w:ascii="Calibri" w:cs="Calibri" w:eastAsia="Calibri" w:hAnsi="Calibri"/>
                <w:sz w:val="18"/>
                <w:szCs w:val="18"/>
              </w:rPr>
              <w:t xml:space="preserve">Alrig USA</w:t>
            </w:r>
          </w:p>
        </w:tc>
        <w:tc>
          <w:tcPr>
            <w:tcW w:type="dxa" w:w="1500"/>
            <w:tcMar>
              <w:top w:type="dxa" w:w="60"/>
              <w:left w:type="dxa" w:w="100"/>
              <w:bottom w:type="dxa" w:w="60"/>
              <w:right w:type="dxa" w:w="100"/>
            </w:tcMar>
          </w:tcPr>
          <w:p>
            <w:r>
              <w:rPr>
                <w:rFonts w:ascii="Calibri" w:cs="Calibri" w:eastAsia="Calibri" w:hAnsi="Calibri"/>
                <w:sz w:val="18"/>
                <w:szCs w:val="18"/>
              </w:rPr>
              <w:t xml:space="preserve">$5,560.49</w:t>
            </w:r>
          </w:p>
        </w:tc>
        <w:tc>
          <w:tcPr>
            <w:tcW w:type="dxa" w:w="1700"/>
            <w:tcMar>
              <w:top w:type="dxa" w:w="60"/>
              <w:left w:type="dxa" w:w="100"/>
              <w:bottom w:type="dxa" w:w="60"/>
              <w:right w:type="dxa" w:w="100"/>
            </w:tcMar>
          </w:tcPr>
          <w:p>
            <w:r>
              <w:rPr>
                <w:rFonts w:ascii="Calibri" w:cs="Calibri" w:eastAsia="Calibri" w:hAnsi="Calibri"/>
                <w:sz w:val="18"/>
                <w:szCs w:val="18"/>
              </w:rPr>
              <w:t xml:space="preserve">$5,560.49 (100%)</w:t>
            </w:r>
          </w:p>
        </w:tc>
        <w:tc>
          <w:tcPr>
            <w:tcW w:type="dxa" w:w="1200"/>
            <w:tcMar>
              <w:top w:type="dxa" w:w="60"/>
              <w:left w:type="dxa" w:w="100"/>
              <w:bottom w:type="dxa" w:w="60"/>
              <w:right w:type="dxa" w:w="100"/>
            </w:tcMar>
          </w:tcPr>
          <w:p>
            <w:r>
              <w:rPr>
                <w:rFonts w:ascii="Calibri" w:cs="Calibri" w:eastAsia="Calibri" w:hAnsi="Calibri"/>
                <w:sz w:val="18"/>
                <w:szCs w:val="18"/>
              </w:rPr>
              <w:t xml:space="preserve">117</w:t>
            </w:r>
          </w:p>
        </w:tc>
        <w:tc>
          <w:tcPr>
            <w:tcW w:type="dxa" w:w="2260"/>
            <w:tcMar>
              <w:top w:type="dxa" w:w="60"/>
              <w:left w:type="dxa" w:w="100"/>
              <w:bottom w:type="dxa" w:w="60"/>
              <w:right w:type="dxa" w:w="100"/>
            </w:tcMar>
          </w:tcPr>
          <w:p>
            <w:r>
              <w:rPr>
                <w:rFonts w:ascii="Calibri" w:cs="Calibri" w:eastAsia="Calibri" w:hAnsi="Calibri"/>
                <w:sz w:val="18"/>
                <w:szCs w:val="18"/>
              </w:rPr>
              <w:t xml:space="preserve">Named emails incl. affiliated owner</w:t>
            </w:r>
          </w:p>
        </w:tc>
      </w:tr>
      <w:tr>
        <w:tc>
          <w:tcPr>
            <w:tcW w:type="dxa" w:w="2700"/>
            <w:tcMar>
              <w:top w:type="dxa" w:w="60"/>
              <w:left w:type="dxa" w:w="100"/>
              <w:bottom w:type="dxa" w:w="60"/>
              <w:right w:type="dxa" w:w="100"/>
            </w:tcMar>
          </w:tcPr>
          <w:p>
            <w:r>
              <w:rPr>
                <w:rFonts w:ascii="Calibri" w:cs="Calibri" w:eastAsia="Calibri" w:hAnsi="Calibri"/>
                <w:sz w:val="18"/>
                <w:szCs w:val="18"/>
              </w:rPr>
              <w:t xml:space="preserve">Jim Wood Company</w:t>
            </w:r>
          </w:p>
        </w:tc>
        <w:tc>
          <w:tcPr>
            <w:tcW w:type="dxa" w:w="1500"/>
            <w:tcMar>
              <w:top w:type="dxa" w:w="60"/>
              <w:left w:type="dxa" w:w="100"/>
              <w:bottom w:type="dxa" w:w="60"/>
              <w:right w:type="dxa" w:w="100"/>
            </w:tcMar>
          </w:tcPr>
          <w:p>
            <w:r>
              <w:rPr>
                <w:rFonts w:ascii="Calibri" w:cs="Calibri" w:eastAsia="Calibri" w:hAnsi="Calibri"/>
                <w:sz w:val="18"/>
                <w:szCs w:val="18"/>
              </w:rPr>
              <w:t xml:space="preserve">$1,601.07</w:t>
            </w:r>
          </w:p>
        </w:tc>
        <w:tc>
          <w:tcPr>
            <w:tcW w:type="dxa" w:w="1700"/>
            <w:tcMar>
              <w:top w:type="dxa" w:w="60"/>
              <w:left w:type="dxa" w:w="100"/>
              <w:bottom w:type="dxa" w:w="60"/>
              <w:right w:type="dxa" w:w="100"/>
            </w:tcMar>
          </w:tcPr>
          <w:p>
            <w:r>
              <w:rPr>
                <w:rFonts w:ascii="Calibri" w:cs="Calibri" w:eastAsia="Calibri" w:hAnsi="Calibri"/>
                <w:sz w:val="18"/>
                <w:szCs w:val="18"/>
              </w:rPr>
              <w:t xml:space="preserve">$1,601.01 (100%)</w:t>
            </w:r>
          </w:p>
        </w:tc>
        <w:tc>
          <w:tcPr>
            <w:tcW w:type="dxa" w:w="1200"/>
            <w:tcMar>
              <w:top w:type="dxa" w:w="60"/>
              <w:left w:type="dxa" w:w="100"/>
              <w:bottom w:type="dxa" w:w="60"/>
              <w:right w:type="dxa" w:w="100"/>
            </w:tcMar>
          </w:tcPr>
          <w:p>
            <w:r>
              <w:rPr>
                <w:rFonts w:ascii="Calibri" w:cs="Calibri" w:eastAsia="Calibri" w:hAnsi="Calibri"/>
                <w:sz w:val="18"/>
                <w:szCs w:val="18"/>
              </w:rPr>
              <w:t xml:space="preserve">25</w:t>
            </w:r>
          </w:p>
        </w:tc>
        <w:tc>
          <w:tcPr>
            <w:tcW w:type="dxa" w:w="2260"/>
            <w:tcMar>
              <w:top w:type="dxa" w:w="60"/>
              <w:left w:type="dxa" w:w="100"/>
              <w:bottom w:type="dxa" w:w="60"/>
              <w:right w:type="dxa" w:w="100"/>
            </w:tcMar>
          </w:tcPr>
          <w:p>
            <w:r>
              <w:rPr>
                <w:rFonts w:ascii="Calibri" w:cs="Calibri" w:eastAsia="Calibri" w:hAnsi="Calibri"/>
                <w:sz w:val="18"/>
                <w:szCs w:val="18"/>
              </w:rPr>
              <w:t xml:space="preserve">Reached principal's spouse; direct pay</w:t>
            </w:r>
          </w:p>
        </w:tc>
      </w:tr>
    </w:tbl>
    <w:p>
      <w:r>
        <w:br w:type="page"/>
      </w:r>
    </w:p>
    <w:p>
      <w:pPr>
        <w:spacing w:after="60" w:before="80"/>
      </w:pPr>
      <w:r>
        <w:rPr>
          <w:rFonts w:ascii="Calibri" w:cs="Calibri" w:eastAsia="Calibri" w:hAnsi="Calibri"/>
          <w:b/>
          <w:bCs/>
          <w:color w:val="070B97"/>
          <w:sz w:val="30"/>
          <w:szCs w:val="30"/>
        </w:rPr>
        <w:t xml:space="preserve">1. Vision General Construction — $26,373.84 recovered in full</w:t>
      </w:r>
    </w:p>
    <w:p>
      <w:pPr>
        <w:spacing w:after="130"/>
      </w:pPr>
      <w:r>
        <w:rPr>
          <w:rFonts w:ascii="Calibri" w:cs="Calibri" w:eastAsia="Calibri" w:hAnsi="Calibri"/>
          <w:color w:val="6B7280"/>
          <w:sz w:val="19"/>
          <w:szCs w:val="19"/>
        </w:rPr>
        <w:t xml:space="preserve">AGYID SWRS658353 · DOR 10/30/2025 · placed 06/04/2026 · paid in full 07/09/2026 · 100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tcMar>
              <w:top w:type="dxa" w:w="60"/>
              <w:left w:type="dxa" w:w="100"/>
              <w:bottom w:type="dxa" w:w="60"/>
              <w:right w:type="dxa" w:w="100"/>
            </w:tcMar>
          </w:tcPr>
          <w:p>
            <w:r>
              <w:rPr>
                <w:rFonts w:ascii="Calibri" w:cs="Calibri" w:eastAsia="Calibri" w:hAnsi="Calibri"/>
                <w:b/>
                <w:bCs/>
                <w:sz w:val="18"/>
                <w:szCs w:val="18"/>
              </w:rPr>
              <w:t xml:space="preserve">Entity</w:t>
            </w:r>
          </w:p>
        </w:tc>
        <w:tc>
          <w:tcPr>
            <w:tcW w:type="dxa" w:w="6460"/>
            <w:tcMar>
              <w:top w:type="dxa" w:w="60"/>
              <w:left w:type="dxa" w:w="100"/>
              <w:bottom w:type="dxa" w:w="60"/>
              <w:right w:type="dxa" w:w="100"/>
            </w:tcMar>
          </w:tcPr>
          <w:p>
            <w:r>
              <w:rPr>
                <w:rFonts w:ascii="Calibri" w:cs="Calibri" w:eastAsia="Calibri" w:hAnsi="Calibri"/>
                <w:sz w:val="18"/>
                <w:szCs w:val="18"/>
              </w:rPr>
              <w:t xml:space="preserve">Vision General Construction — New Jersey (973 exchange)</w:t>
            </w:r>
          </w:p>
        </w:tc>
      </w:tr>
      <w:tr>
        <w:tc>
          <w:tcPr>
            <w:tcW w:type="dxa" w:w="2900"/>
            <w:tcMar>
              <w:top w:type="dxa" w:w="60"/>
              <w:left w:type="dxa" w:w="100"/>
              <w:bottom w:type="dxa" w:w="60"/>
              <w:right w:type="dxa" w:w="100"/>
            </w:tcMar>
          </w:tcPr>
          <w:p>
            <w:r>
              <w:rPr>
                <w:rFonts w:ascii="Calibri" w:cs="Calibri" w:eastAsia="Calibri" w:hAnsi="Calibri"/>
                <w:b/>
                <w:bCs/>
                <w:sz w:val="18"/>
                <w:szCs w:val="18"/>
              </w:rPr>
              <w:t xml:space="preserve">Domain</w:t>
            </w:r>
          </w:p>
        </w:tc>
        <w:tc>
          <w:tcPr>
            <w:tcW w:type="dxa" w:w="6460"/>
            <w:tcMar>
              <w:top w:type="dxa" w:w="60"/>
              <w:left w:type="dxa" w:w="100"/>
              <w:bottom w:type="dxa" w:w="60"/>
              <w:right w:type="dxa" w:w="100"/>
            </w:tcMar>
          </w:tcPr>
          <w:p>
            <w:r>
              <w:rPr>
                <w:rFonts w:ascii="Calibri" w:cs="Calibri" w:eastAsia="Calibri" w:hAnsi="Calibri"/>
                <w:sz w:val="18"/>
                <w:szCs w:val="18"/>
              </w:rPr>
              <w:t xml:space="preserve">visiongc1.com</w:t>
            </w:r>
          </w:p>
        </w:tc>
      </w:tr>
      <w:tr>
        <w:tc>
          <w:tcPr>
            <w:tcW w:type="dxa" w:w="2900"/>
            <w:tcMar>
              <w:top w:type="dxa" w:w="60"/>
              <w:left w:type="dxa" w:w="100"/>
              <w:bottom w:type="dxa" w:w="60"/>
              <w:right w:type="dxa" w:w="100"/>
            </w:tcMar>
          </w:tcPr>
          <w:p>
            <w:r>
              <w:rPr>
                <w:rFonts w:ascii="Calibri" w:cs="Calibri" w:eastAsia="Calibri" w:hAnsi="Calibri"/>
                <w:b/>
                <w:bCs/>
                <w:sz w:val="18"/>
                <w:szCs w:val="18"/>
              </w:rPr>
              <w:t xml:space="preserve">Prior address on file</w:t>
            </w:r>
          </w:p>
        </w:tc>
        <w:tc>
          <w:tcPr>
            <w:tcW w:type="dxa" w:w="6460"/>
            <w:tcMar>
              <w:top w:type="dxa" w:w="60"/>
              <w:left w:type="dxa" w:w="100"/>
              <w:bottom w:type="dxa" w:w="60"/>
              <w:right w:type="dxa" w:w="100"/>
            </w:tcMar>
          </w:tcPr>
          <w:p>
            <w:r>
              <w:rPr>
                <w:rFonts w:ascii="Calibri" w:cs="Calibri" w:eastAsia="Calibri" w:hAnsi="Calibri"/>
                <w:sz w:val="18"/>
                <w:szCs w:val="18"/>
              </w:rPr>
              <w:t xml:space="preserve">10 Post Lane #1, Riverdale NJ 07457</w:t>
            </w:r>
          </w:p>
        </w:tc>
      </w:tr>
      <w:tr>
        <w:tc>
          <w:tcPr>
            <w:tcW w:type="dxa" w:w="2900"/>
            <w:tcMar>
              <w:top w:type="dxa" w:w="60"/>
              <w:left w:type="dxa" w:w="100"/>
              <w:bottom w:type="dxa" w:w="60"/>
              <w:right w:type="dxa" w:w="100"/>
            </w:tcMar>
          </w:tcPr>
          <w:p>
            <w:r>
              <w:rPr>
                <w:rFonts w:ascii="Calibri" w:cs="Calibri" w:eastAsia="Calibri" w:hAnsi="Calibri"/>
                <w:b/>
                <w:bCs/>
                <w:sz w:val="18"/>
                <w:szCs w:val="18"/>
              </w:rPr>
              <w:t xml:space="preserve">Main line</w:t>
            </w:r>
          </w:p>
        </w:tc>
        <w:tc>
          <w:tcPr>
            <w:tcW w:type="dxa" w:w="6460"/>
            <w:tcMar>
              <w:top w:type="dxa" w:w="60"/>
              <w:left w:type="dxa" w:w="100"/>
              <w:bottom w:type="dxa" w:w="60"/>
              <w:right w:type="dxa" w:w="100"/>
            </w:tcMar>
          </w:tcPr>
          <w:p>
            <w:r>
              <w:rPr>
                <w:rFonts w:ascii="Calibri" w:cs="Calibri" w:eastAsia="Calibri" w:hAnsi="Calibri"/>
                <w:sz w:val="18"/>
                <w:szCs w:val="18"/>
              </w:rPr>
              <w:t xml:space="preserve">973-831-6400 (9 dials)</w:t>
            </w:r>
          </w:p>
        </w:tc>
      </w:tr>
      <w:tr>
        <w:tc>
          <w:tcPr>
            <w:tcW w:type="dxa" w:w="2900"/>
            <w:tcMar>
              <w:top w:type="dxa" w:w="60"/>
              <w:left w:type="dxa" w:w="100"/>
              <w:bottom w:type="dxa" w:w="60"/>
              <w:right w:type="dxa" w:w="100"/>
            </w:tcMar>
          </w:tcPr>
          <w:p>
            <w:r>
              <w:rPr>
                <w:rFonts w:ascii="Calibri" w:cs="Calibri" w:eastAsia="Calibri" w:hAnsi="Calibri"/>
                <w:b/>
                <w:bCs/>
                <w:sz w:val="18"/>
                <w:szCs w:val="18"/>
              </w:rPr>
              <w:t xml:space="preserve">AP contact</w:t>
            </w:r>
          </w:p>
        </w:tc>
        <w:tc>
          <w:tcPr>
            <w:tcW w:type="dxa" w:w="6460"/>
            <w:tcMar>
              <w:top w:type="dxa" w:w="60"/>
              <w:left w:type="dxa" w:w="100"/>
              <w:bottom w:type="dxa" w:w="60"/>
              <w:right w:type="dxa" w:w="100"/>
            </w:tcMar>
          </w:tcPr>
          <w:p>
            <w:r>
              <w:rPr>
                <w:rFonts w:ascii="Calibri" w:cs="Calibri" w:eastAsia="Calibri" w:hAnsi="Calibri"/>
                <w:sz w:val="18"/>
                <w:szCs w:val="18"/>
              </w:rPr>
              <w:t xml:space="preserve">James — cooperative but repeatedly slow-walked</w:t>
            </w:r>
          </w:p>
        </w:tc>
      </w:tr>
      <w:tr>
        <w:tc>
          <w:tcPr>
            <w:tcW w:type="dxa" w:w="2900"/>
            <w:tcMar>
              <w:top w:type="dxa" w:w="60"/>
              <w:left w:type="dxa" w:w="100"/>
              <w:bottom w:type="dxa" w:w="60"/>
              <w:right w:type="dxa" w:w="100"/>
            </w:tcMar>
          </w:tcPr>
          <w:p>
            <w:r>
              <w:rPr>
                <w:rFonts w:ascii="Calibri" w:cs="Calibri" w:eastAsia="Calibri" w:hAnsi="Calibri"/>
                <w:b/>
                <w:bCs/>
                <w:sz w:val="18"/>
                <w:szCs w:val="18"/>
              </w:rPr>
              <w:t xml:space="preserve">Owner</w:t>
            </w:r>
          </w:p>
        </w:tc>
        <w:tc>
          <w:tcPr>
            <w:tcW w:type="dxa" w:w="6460"/>
            <w:tcMar>
              <w:top w:type="dxa" w:w="60"/>
              <w:left w:type="dxa" w:w="100"/>
              <w:bottom w:type="dxa" w:w="60"/>
              <w:right w:type="dxa" w:w="100"/>
            </w:tcMar>
          </w:tcPr>
          <w:p>
            <w:r>
              <w:rPr>
                <w:rFonts w:ascii="Calibri" w:cs="Calibri" w:eastAsia="Calibri" w:hAnsi="Calibri"/>
                <w:sz w:val="18"/>
                <w:szCs w:val="18"/>
              </w:rPr>
              <w:t xml:space="preserve">John Struble, CEO/President — 201-741-0206, jstruble@visiongc1.com</w:t>
            </w:r>
          </w:p>
        </w:tc>
      </w:tr>
      <w:tr>
        <w:tc>
          <w:tcPr>
            <w:tcW w:type="dxa" w:w="2900"/>
            <w:tcMar>
              <w:top w:type="dxa" w:w="60"/>
              <w:left w:type="dxa" w:w="100"/>
              <w:bottom w:type="dxa" w:w="60"/>
              <w:right w:type="dxa" w:w="100"/>
            </w:tcMar>
          </w:tcPr>
          <w:p>
            <w:r>
              <w:rPr>
                <w:rFonts w:ascii="Calibri" w:cs="Calibri" w:eastAsia="Calibri" w:hAnsi="Calibri"/>
                <w:b/>
                <w:bCs/>
                <w:sz w:val="18"/>
                <w:szCs w:val="18"/>
              </w:rPr>
              <w:t xml:space="preserve">Other executives</w:t>
            </w:r>
          </w:p>
        </w:tc>
        <w:tc>
          <w:tcPr>
            <w:tcW w:type="dxa" w:w="6460"/>
            <w:tcMar>
              <w:top w:type="dxa" w:w="60"/>
              <w:left w:type="dxa" w:w="100"/>
              <w:bottom w:type="dxa" w:w="60"/>
              <w:right w:type="dxa" w:w="100"/>
            </w:tcMar>
          </w:tcPr>
          <w:p>
            <w:r>
              <w:rPr>
                <w:rFonts w:ascii="Calibri" w:cs="Calibri" w:eastAsia="Calibri" w:hAnsi="Calibri"/>
                <w:sz w:val="18"/>
                <w:szCs w:val="18"/>
              </w:rPr>
              <w:t xml:space="preserve">Danielle Taubner, VP of Operations — DNT@visiongc1.com (old dtaubner@ address does not forward); Jake Struble; JM Struble</w:t>
            </w:r>
          </w:p>
        </w:tc>
      </w:tr>
      <w:tr>
        <w:tc>
          <w:tcPr>
            <w:tcW w:type="dxa" w:w="2900"/>
            <w:tcMar>
              <w:top w:type="dxa" w:w="60"/>
              <w:left w:type="dxa" w:w="100"/>
              <w:bottom w:type="dxa" w:w="60"/>
              <w:right w:type="dxa" w:w="100"/>
            </w:tcMar>
          </w:tcPr>
          <w:p>
            <w:r>
              <w:rPr>
                <w:rFonts w:ascii="Calibri" w:cs="Calibri" w:eastAsia="Calibri" w:hAnsi="Calibri"/>
                <w:b/>
                <w:bCs/>
                <w:sz w:val="18"/>
                <w:szCs w:val="18"/>
              </w:rPr>
              <w:t xml:space="preserve">Central AP</w:t>
            </w:r>
          </w:p>
        </w:tc>
        <w:tc>
          <w:tcPr>
            <w:tcW w:type="dxa" w:w="6460"/>
            <w:tcMar>
              <w:top w:type="dxa" w:w="60"/>
              <w:left w:type="dxa" w:w="100"/>
              <w:bottom w:type="dxa" w:w="60"/>
              <w:right w:type="dxa" w:w="100"/>
            </w:tcMar>
          </w:tcPr>
          <w:p>
            <w:r>
              <w:rPr>
                <w:rFonts w:ascii="Calibri" w:cs="Calibri" w:eastAsia="Calibri" w:hAnsi="Calibri"/>
                <w:sz w:val="18"/>
                <w:szCs w:val="18"/>
              </w:rPr>
              <w:t xml:space="preserve">accounting@visiongc1.com</w:t>
            </w:r>
          </w:p>
        </w:tc>
      </w:tr>
    </w:tbl>
    <w:p>
      <w:pPr>
        <w:spacing w:after="80" w:before="220"/>
      </w:pPr>
      <w:r>
        <w:rPr>
          <w:rFonts w:ascii="Calibri" w:cs="Calibri" w:eastAsia="Calibri" w:hAnsi="Calibri"/>
          <w:b/>
          <w:bCs/>
          <w:color w:val="0446F1"/>
          <w:sz w:val="22"/>
          <w:szCs w:val="22"/>
        </w:rPr>
        <w:t xml:space="preserve">How it was collected</w:t>
      </w:r>
    </w:p>
    <w:p>
      <w:pPr>
        <w:spacing w:after="130"/>
      </w:pPr>
      <w:r>
        <w:rPr>
          <w:rFonts w:ascii="Calibri" w:cs="Calibri" w:eastAsia="Calibri" w:hAnsi="Calibri"/>
          <w:sz w:val="20"/>
          <w:szCs w:val="20"/>
        </w:rPr>
        <w:t xml:space="preserve">First contact on 6/4 reached James in AP, who confirmed the balance was correct, claimed a credit on one invoice, then could not locate it and conceded the full amount was owed. He attributed the delay to an insurance issue. Notably, once he realised our collector was not calling from the client, he offered to escalate.</w:t>
      </w:r>
    </w:p>
    <w:p>
      <w:pPr>
        <w:spacing w:after="130"/>
      </w:pPr>
      <w:r>
        <w:rPr>
          <w:rFonts w:ascii="Calibri" w:cs="Calibri" w:eastAsia="Calibri" w:hAnsi="Calibri"/>
          <w:sz w:val="20"/>
          <w:szCs w:val="20"/>
        </w:rPr>
        <w:t xml:space="preserve">What followed was five weeks of soft commitments — "next week," "going to talk to my boss right now," "will definitely call you back by 3pm." A collector note on 6/17 captures the frustration exactly: "Its Wednesday. Monday was answer day."</w:t>
      </w:r>
    </w:p>
    <w:p>
      <w:pPr>
        <w:pBdr>
          <w:left w:val="single" w:color="1F9D55" w:sz="18"/>
        </w:pBdr>
        <w:shd w:fill="E8F6EE" w:color="auto" w:val="clear"/>
        <w:spacing w:after="140" w:before="120"/>
        <w:ind w:left="160"/>
      </w:pPr>
      <w:r>
        <w:rPr>
          <w:rFonts w:ascii="Calibri" w:cs="Calibri" w:eastAsia="Calibri" w:hAnsi="Calibri"/>
          <w:sz w:val="20"/>
          <w:szCs w:val="20"/>
        </w:rPr>
        <w:t xml:space="preserve">THE TURNING POINT — On 6/17 the collector stopped working the AP clerk, researched the company, identified John Struble as CEO/President, added his direct cell, and emailed the documents to the entire executive group at once. Danielle Taubner's autoreply supplied a corrected address. The system logged: "email read by owner John — Wednesday, June 17, 2026 2:29:05 PM." Within the same hour, James called back confirming payment would be remitted. Five weeks of AP-level stalling broke in under sixty minutes once the owner had the file in front of him.</w:t>
      </w:r>
    </w:p>
    <w:p>
      <w:pPr>
        <w:spacing w:after="130"/>
      </w:pPr>
      <w:r>
        <w:rPr>
          <w:rFonts w:ascii="Calibri" w:cs="Calibri" w:eastAsia="Calibri" w:hAnsi="Calibri"/>
          <w:sz w:val="20"/>
          <w:szCs w:val="20"/>
        </w:rPr>
        <w:t xml:space="preserve">Payment logistics were handled pragmatically: the debtor could not wire because they had just switched banks, so the collector offered an ACH authorisation at $8.99 as cheaper than overnight courier. The debtor eventually overnighted a check, supplied the check copy and USPS tracking (9570 1143 5381 6188 7654 08), and delivery confirmed 7/9 at 3:16 PM. Posted 7/10.</w:t>
      </w:r>
    </w:p>
    <w:p>
      <w:pPr>
        <w:pBdr>
          <w:left w:val="single" w:color="B8790A" w:sz="18"/>
        </w:pBdr>
        <w:shd w:fill="FDF4E3" w:color="auto" w:val="clear"/>
        <w:spacing w:after="140" w:before="120"/>
        <w:ind w:left="160"/>
      </w:pPr>
      <w:r>
        <w:rPr>
          <w:rFonts w:ascii="Calibri" w:cs="Calibri" w:eastAsia="Calibri" w:hAnsi="Calibri"/>
          <w:sz w:val="20"/>
          <w:szCs w:val="20"/>
        </w:rPr>
        <w:t xml:space="preserve">TRANSFERABLE TO — Lightning Electric and SCI Group, both of which are stuck in exactly the pattern this account was in: a cooperative intermediary who keeps forwarding and never returns an answer. The fix here was not more calls. It was identifying the owner by name and putting the documents directly in front of him.</w:t>
      </w:r>
    </w:p>
    <w:p>
      <w:r>
        <w:br w:type="page"/>
      </w:r>
    </w:p>
    <w:p>
      <w:pPr>
        <w:spacing w:after="60" w:before="80"/>
      </w:pPr>
      <w:r>
        <w:rPr>
          <w:rFonts w:ascii="Calibri" w:cs="Calibri" w:eastAsia="Calibri" w:hAnsi="Calibri"/>
          <w:b/>
          <w:bCs/>
          <w:color w:val="070B97"/>
          <w:sz w:val="30"/>
          <w:szCs w:val="30"/>
        </w:rPr>
        <w:t xml:space="preserve">2. Alrig USA — $5,560.49 recovered in full</w:t>
      </w:r>
    </w:p>
    <w:p>
      <w:pPr>
        <w:spacing w:after="130"/>
      </w:pPr>
      <w:r>
        <w:rPr>
          <w:rFonts w:ascii="Calibri" w:cs="Calibri" w:eastAsia="Calibri" w:hAnsi="Calibri"/>
          <w:color w:val="6B7280"/>
          <w:sz w:val="19"/>
          <w:szCs w:val="19"/>
        </w:rPr>
        <w:t xml:space="preserve">AGYID SWRS572065 · DOR 05/31/2024 · placed 12/03/2025 · paid in full 03/30/2026 · 88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tcMar>
              <w:top w:type="dxa" w:w="60"/>
              <w:left w:type="dxa" w:w="100"/>
              <w:bottom w:type="dxa" w:w="60"/>
              <w:right w:type="dxa" w:w="100"/>
            </w:tcMar>
          </w:tcPr>
          <w:p>
            <w:r>
              <w:rPr>
                <w:rFonts w:ascii="Calibri" w:cs="Calibri" w:eastAsia="Calibri" w:hAnsi="Calibri"/>
                <w:b/>
                <w:bCs/>
                <w:sz w:val="18"/>
                <w:szCs w:val="18"/>
              </w:rPr>
              <w:t xml:space="preserve">Entity</w:t>
            </w:r>
          </w:p>
        </w:tc>
        <w:tc>
          <w:tcPr>
            <w:tcW w:type="dxa" w:w="6460"/>
            <w:tcMar>
              <w:top w:type="dxa" w:w="60"/>
              <w:left w:type="dxa" w:w="100"/>
              <w:bottom w:type="dxa" w:w="60"/>
              <w:right w:type="dxa" w:w="100"/>
            </w:tcMar>
          </w:tcPr>
          <w:p>
            <w:r>
              <w:rPr>
                <w:rFonts w:ascii="Calibri" w:cs="Calibri" w:eastAsia="Calibri" w:hAnsi="Calibri"/>
                <w:sz w:val="18"/>
                <w:szCs w:val="18"/>
              </w:rPr>
              <w:t xml:space="preserve">ALRIG USA — real estate investment and development</w:t>
            </w:r>
          </w:p>
        </w:tc>
      </w:tr>
      <w:tr>
        <w:tc>
          <w:tcPr>
            <w:tcW w:type="dxa" w:w="2900"/>
            <w:tcMar>
              <w:top w:type="dxa" w:w="60"/>
              <w:left w:type="dxa" w:w="100"/>
              <w:bottom w:type="dxa" w:w="60"/>
              <w:right w:type="dxa" w:w="100"/>
            </w:tcMar>
          </w:tcPr>
          <w:p>
            <w:r>
              <w:rPr>
                <w:rFonts w:ascii="Calibri" w:cs="Calibri" w:eastAsia="Calibri" w:hAnsi="Calibri"/>
                <w:b/>
                <w:bCs/>
                <w:sz w:val="18"/>
                <w:szCs w:val="18"/>
              </w:rPr>
              <w:t xml:space="preserve">Corporate HQ</w:t>
            </w:r>
          </w:p>
        </w:tc>
        <w:tc>
          <w:tcPr>
            <w:tcW w:type="dxa" w:w="6460"/>
            <w:tcMar>
              <w:top w:type="dxa" w:w="60"/>
              <w:left w:type="dxa" w:w="100"/>
              <w:bottom w:type="dxa" w:w="60"/>
              <w:right w:type="dxa" w:w="100"/>
            </w:tcMar>
          </w:tcPr>
          <w:p>
            <w:r>
              <w:rPr>
                <w:rFonts w:ascii="Calibri" w:cs="Calibri" w:eastAsia="Calibri" w:hAnsi="Calibri"/>
                <w:sz w:val="18"/>
                <w:szCs w:val="18"/>
              </w:rPr>
              <w:t xml:space="preserve">30200 Telegraph Rd, Suite 205, Bingham Farms MI 48025</w:t>
            </w:r>
          </w:p>
        </w:tc>
      </w:tr>
      <w:tr>
        <w:tc>
          <w:tcPr>
            <w:tcW w:type="dxa" w:w="2900"/>
            <w:tcMar>
              <w:top w:type="dxa" w:w="60"/>
              <w:left w:type="dxa" w:w="100"/>
              <w:bottom w:type="dxa" w:w="60"/>
              <w:right w:type="dxa" w:w="100"/>
            </w:tcMar>
          </w:tcPr>
          <w:p>
            <w:r>
              <w:rPr>
                <w:rFonts w:ascii="Calibri" w:cs="Calibri" w:eastAsia="Calibri" w:hAnsi="Calibri"/>
                <w:b/>
                <w:bCs/>
                <w:sz w:val="18"/>
                <w:szCs w:val="18"/>
              </w:rPr>
              <w:t xml:space="preserve">Main line</w:t>
            </w:r>
          </w:p>
        </w:tc>
        <w:tc>
          <w:tcPr>
            <w:tcW w:type="dxa" w:w="6460"/>
            <w:tcMar>
              <w:top w:type="dxa" w:w="60"/>
              <w:left w:type="dxa" w:w="100"/>
              <w:bottom w:type="dxa" w:w="60"/>
              <w:right w:type="dxa" w:w="100"/>
            </w:tcMar>
          </w:tcPr>
          <w:p>
            <w:r>
              <w:rPr>
                <w:rFonts w:ascii="Calibri" w:cs="Calibri" w:eastAsia="Calibri" w:hAnsi="Calibri"/>
                <w:sz w:val="18"/>
                <w:szCs w:val="18"/>
              </w:rPr>
              <w:t xml:space="preserve">248-646-9999 (11 dials)</w:t>
            </w:r>
          </w:p>
        </w:tc>
      </w:tr>
      <w:tr>
        <w:tc>
          <w:tcPr>
            <w:tcW w:type="dxa" w:w="2900"/>
            <w:tcMar>
              <w:top w:type="dxa" w:w="60"/>
              <w:left w:type="dxa" w:w="100"/>
              <w:bottom w:type="dxa" w:w="60"/>
              <w:right w:type="dxa" w:w="100"/>
            </w:tcMar>
          </w:tcPr>
          <w:p>
            <w:r>
              <w:rPr>
                <w:rFonts w:ascii="Calibri" w:cs="Calibri" w:eastAsia="Calibri" w:hAnsi="Calibri"/>
                <w:b/>
                <w:bCs/>
                <w:sz w:val="18"/>
                <w:szCs w:val="18"/>
              </w:rPr>
              <w:t xml:space="preserve">Named contacts</w:t>
            </w:r>
          </w:p>
        </w:tc>
        <w:tc>
          <w:tcPr>
            <w:tcW w:type="dxa" w:w="6460"/>
            <w:tcMar>
              <w:top w:type="dxa" w:w="60"/>
              <w:left w:type="dxa" w:w="100"/>
              <w:bottom w:type="dxa" w:w="60"/>
              <w:right w:type="dxa" w:w="100"/>
            </w:tcMar>
          </w:tcPr>
          <w:p>
            <w:r>
              <w:rPr>
                <w:rFonts w:ascii="Calibri" w:cs="Calibri" w:eastAsia="Calibri" w:hAnsi="Calibri"/>
                <w:sz w:val="18"/>
                <w:szCs w:val="18"/>
              </w:rPr>
              <w:t xml:space="preserve">Gabe — 248-723-3347 · Wayne — 248-318-0593, wayne@alrigusa.com</w:t>
            </w:r>
          </w:p>
        </w:tc>
      </w:tr>
      <w:tr>
        <w:tc>
          <w:tcPr>
            <w:tcW w:type="dxa" w:w="2900"/>
            <w:tcMar>
              <w:top w:type="dxa" w:w="60"/>
              <w:left w:type="dxa" w:w="100"/>
              <w:bottom w:type="dxa" w:w="60"/>
              <w:right w:type="dxa" w:w="100"/>
            </w:tcMar>
          </w:tcPr>
          <w:p>
            <w:r>
              <w:rPr>
                <w:rFonts w:ascii="Calibri" w:cs="Calibri" w:eastAsia="Calibri" w:hAnsi="Calibri"/>
                <w:b/>
                <w:bCs/>
                <w:sz w:val="18"/>
                <w:szCs w:val="18"/>
              </w:rPr>
              <w:t xml:space="preserve">Central AP</w:t>
            </w:r>
          </w:p>
        </w:tc>
        <w:tc>
          <w:tcPr>
            <w:tcW w:type="dxa" w:w="6460"/>
            <w:tcMar>
              <w:top w:type="dxa" w:w="60"/>
              <w:left w:type="dxa" w:w="100"/>
              <w:bottom w:type="dxa" w:w="60"/>
              <w:right w:type="dxa" w:w="100"/>
            </w:tcMar>
          </w:tcPr>
          <w:p>
            <w:r>
              <w:rPr>
                <w:rFonts w:ascii="Calibri" w:cs="Calibri" w:eastAsia="Calibri" w:hAnsi="Calibri"/>
                <w:sz w:val="18"/>
                <w:szCs w:val="18"/>
              </w:rPr>
              <w:t xml:space="preserve">apinquiries@alrigusa.com</w:t>
            </w:r>
          </w:p>
        </w:tc>
      </w:tr>
      <w:tr>
        <w:tc>
          <w:tcPr>
            <w:tcW w:type="dxa" w:w="2900"/>
            <w:tcMar>
              <w:top w:type="dxa" w:w="60"/>
              <w:left w:type="dxa" w:w="100"/>
              <w:bottom w:type="dxa" w:w="60"/>
              <w:right w:type="dxa" w:w="100"/>
            </w:tcMar>
          </w:tcPr>
          <w:p>
            <w:r>
              <w:rPr>
                <w:rFonts w:ascii="Calibri" w:cs="Calibri" w:eastAsia="Calibri" w:hAnsi="Calibri"/>
                <w:b/>
                <w:bCs/>
                <w:sz w:val="18"/>
                <w:szCs w:val="18"/>
              </w:rPr>
              <w:t xml:space="preserve">Affiliated owner contact</w:t>
            </w:r>
          </w:p>
        </w:tc>
        <w:tc>
          <w:tcPr>
            <w:tcW w:type="dxa" w:w="6460"/>
            <w:tcMar>
              <w:top w:type="dxa" w:w="60"/>
              <w:left w:type="dxa" w:w="100"/>
              <w:bottom w:type="dxa" w:w="60"/>
              <w:right w:type="dxa" w:w="100"/>
            </w:tcMar>
          </w:tcPr>
          <w:p>
            <w:r>
              <w:rPr>
                <w:rFonts w:ascii="Calibri" w:cs="Calibri" w:eastAsia="Calibri" w:hAnsi="Calibri"/>
                <w:sz w:val="18"/>
                <w:szCs w:val="18"/>
              </w:rPr>
              <w:t xml:space="preserve">G. Schuchman — GSchuchman@MidAmericaGrp.com</w:t>
            </w:r>
          </w:p>
        </w:tc>
      </w:tr>
      <w:tr>
        <w:tc>
          <w:tcPr>
            <w:tcW w:type="dxa" w:w="2900"/>
            <w:tcMar>
              <w:top w:type="dxa" w:w="60"/>
              <w:left w:type="dxa" w:w="100"/>
              <w:bottom w:type="dxa" w:w="60"/>
              <w:right w:type="dxa" w:w="100"/>
            </w:tcMar>
          </w:tcPr>
          <w:p>
            <w:r>
              <w:rPr>
                <w:rFonts w:ascii="Calibri" w:cs="Calibri" w:eastAsia="Calibri" w:hAnsi="Calibri"/>
                <w:b/>
                <w:bCs/>
                <w:sz w:val="18"/>
                <w:szCs w:val="18"/>
              </w:rPr>
              <w:t xml:space="preserve">Subject property researched</w:t>
            </w:r>
          </w:p>
        </w:tc>
        <w:tc>
          <w:tcPr>
            <w:tcW w:type="dxa" w:w="6460"/>
            <w:tcMar>
              <w:top w:type="dxa" w:w="60"/>
              <w:left w:type="dxa" w:w="100"/>
              <w:bottom w:type="dxa" w:w="60"/>
              <w:right w:type="dxa" w:w="100"/>
            </w:tcMar>
          </w:tcPr>
          <w:p>
            <w:r>
              <w:rPr>
                <w:rFonts w:ascii="Calibri" w:cs="Calibri" w:eastAsia="Calibri" w:hAnsi="Calibri"/>
                <w:sz w:val="18"/>
                <w:szCs w:val="18"/>
              </w:rPr>
              <w:t xml:space="preserve">180 Briarcrest Village Dr, Norwalk OH 44857</w:t>
            </w:r>
          </w:p>
        </w:tc>
      </w:tr>
    </w:tbl>
    <w:p>
      <w:pPr>
        <w:spacing w:after="80" w:before="220"/>
      </w:pPr>
      <w:r>
        <w:rPr>
          <w:rFonts w:ascii="Calibri" w:cs="Calibri" w:eastAsia="Calibri" w:hAnsi="Calibri"/>
          <w:b/>
          <w:bCs/>
          <w:color w:val="0446F1"/>
          <w:sz w:val="22"/>
          <w:szCs w:val="22"/>
        </w:rPr>
        <w:t xml:space="preserve">How it was collected</w:t>
      </w:r>
    </w:p>
    <w:p>
      <w:pPr>
        <w:spacing w:after="130"/>
      </w:pPr>
      <w:r>
        <w:rPr>
          <w:rFonts w:ascii="Calibri" w:cs="Calibri" w:eastAsia="Calibri" w:hAnsi="Calibri"/>
          <w:sz w:val="20"/>
          <w:szCs w:val="20"/>
        </w:rPr>
        <w:t xml:space="preserve">From placement in December through late March the collector dialled the main line eleven times with essentially no traction. An after-hours recording revealed AP leaves at 5. One note records the only substantive response in that period: "said will need project info for payment."</w:t>
      </w:r>
    </w:p>
    <w:p>
      <w:pPr>
        <w:spacing w:after="80" w:before="220"/>
      </w:pPr>
      <w:r>
        <w:rPr>
          <w:rFonts w:ascii="Calibri" w:cs="Calibri" w:eastAsia="Calibri" w:hAnsi="Calibri"/>
          <w:b/>
          <w:bCs/>
          <w:color w:val="0446F1"/>
          <w:sz w:val="22"/>
          <w:szCs w:val="22"/>
        </w:rPr>
        <w:t xml:space="preserve">Public-records work performed along the way</w:t>
      </w:r>
    </w:p>
    <w:p>
      <w:pPr>
        <w:spacing w:after="130"/>
      </w:pPr>
      <w:r>
        <w:rPr>
          <w:rFonts w:ascii="Calibri" w:cs="Calibri" w:eastAsia="Calibri" w:hAnsi="Calibri"/>
          <w:sz w:val="20"/>
          <w:szCs w:val="20"/>
        </w:rPr>
        <w:t xml:space="preserve">In December the collector documented genuine title research on the subject property — identifying the Huron County Auditor real-estate search and the Huron County Recorder (419-668-1916, recorder@huroncounty-oh.gov), and correctly flagging that Alrig is Michigan-based with no public confirmation it holds title to the Norwalk Ohio property. The recommendation logged was an Auditor/Recorder pull for the legal owner of record. That is exactly the right instinct on a real-estate debtor and should be standard practice.</w:t>
      </w:r>
    </w:p>
    <w:p>
      <w:pPr>
        <w:pBdr>
          <w:left w:val="single" w:color="1F9D55" w:sz="18"/>
        </w:pBdr>
        <w:shd w:fill="E8F6EE" w:color="auto" w:val="clear"/>
        <w:spacing w:after="140" w:before="120"/>
        <w:ind w:left="160"/>
      </w:pPr>
      <w:r>
        <w:rPr>
          <w:rFonts w:ascii="Calibri" w:cs="Calibri" w:eastAsia="Calibri" w:hAnsi="Calibri"/>
          <w:sz w:val="20"/>
          <w:szCs w:val="20"/>
        </w:rPr>
        <w:t xml:space="preserve">THE TURNING POINT — On 3/23 the collector abandoned the switchboard and emailed documents to named individuals: wayne@alrigusa.com and, critically, GSchuchman@MidAmericaGrp.com — an affiliated owner contact found through open research rather than supplied by the client. Gabe replied in seventeen minutes: "Can you guys follow up with Justin please?" Three days later, "Autumn will today." Payment address confirmed the same morning, UPS tracking supplied by 4pm, check in hand 3/30. Three and a half months of dialling produced nothing; one round of named emails produced payment in seven days.</w:t>
      </w:r>
    </w:p>
    <w:p>
      <w:pPr>
        <w:pBdr>
          <w:left w:val="single" w:color="B8790A" w:sz="18"/>
        </w:pBdr>
        <w:shd w:fill="FDF4E3" w:color="auto" w:val="clear"/>
        <w:spacing w:after="140" w:before="120"/>
        <w:ind w:left="160"/>
      </w:pPr>
      <w:r>
        <w:rPr>
          <w:rFonts w:ascii="Calibri" w:cs="Calibri" w:eastAsia="Calibri" w:hAnsi="Calibri"/>
          <w:sz w:val="20"/>
          <w:szCs w:val="20"/>
        </w:rPr>
        <w:t xml:space="preserve">TRANSFERABLE TO — Employbridge, where 37 emails went to a single branch contact and none to corporate, and Pet Retail Brands, where the file was worked at store and switchboard level for months. The lesson is identical in both: a named human at or above owner level, reached in writing with documents attached, outperforms any volume of calls to a general line.</w:t>
      </w:r>
    </w:p>
    <w:p>
      <w:r>
        <w:br w:type="page"/>
      </w:r>
    </w:p>
    <w:p>
      <w:pPr>
        <w:spacing w:after="60" w:before="80"/>
      </w:pPr>
      <w:r>
        <w:rPr>
          <w:rFonts w:ascii="Calibri" w:cs="Calibri" w:eastAsia="Calibri" w:hAnsi="Calibri"/>
          <w:b/>
          <w:bCs/>
          <w:color w:val="070B97"/>
          <w:sz w:val="30"/>
          <w:szCs w:val="30"/>
        </w:rPr>
        <w:t xml:space="preserve">3. Jim Wood Company Inc. — $1,601.07 recovered</w:t>
      </w:r>
    </w:p>
    <w:p>
      <w:pPr>
        <w:spacing w:after="130"/>
      </w:pPr>
      <w:r>
        <w:rPr>
          <w:rFonts w:ascii="Calibri" w:cs="Calibri" w:eastAsia="Calibri" w:hAnsi="Calibri"/>
          <w:color w:val="6B7280"/>
          <w:sz w:val="19"/>
          <w:szCs w:val="19"/>
        </w:rPr>
        <w:t xml:space="preserve">AGYID SWRS658352 · DOR 07/24/2025 · placed 06/04/2026 · resolved 06/29/2026 · 61 notes · $0.06 residual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tcMar>
              <w:top w:type="dxa" w:w="60"/>
              <w:left w:type="dxa" w:w="100"/>
              <w:bottom w:type="dxa" w:w="60"/>
              <w:right w:type="dxa" w:w="100"/>
            </w:tcMar>
          </w:tcPr>
          <w:p>
            <w:r>
              <w:rPr>
                <w:rFonts w:ascii="Calibri" w:cs="Calibri" w:eastAsia="Calibri" w:hAnsi="Calibri"/>
                <w:b/>
                <w:bCs/>
                <w:sz w:val="18"/>
                <w:szCs w:val="18"/>
              </w:rPr>
              <w:t xml:space="preserve">Entity</w:t>
            </w:r>
          </w:p>
        </w:tc>
        <w:tc>
          <w:tcPr>
            <w:tcW w:type="dxa" w:w="6460"/>
            <w:tcMar>
              <w:top w:type="dxa" w:w="60"/>
              <w:left w:type="dxa" w:w="100"/>
              <w:bottom w:type="dxa" w:w="60"/>
              <w:right w:type="dxa" w:w="100"/>
            </w:tcMar>
          </w:tcPr>
          <w:p>
            <w:r>
              <w:rPr>
                <w:rFonts w:ascii="Calibri" w:cs="Calibri" w:eastAsia="Calibri" w:hAnsi="Calibri"/>
                <w:sz w:val="18"/>
                <w:szCs w:val="18"/>
              </w:rPr>
              <w:t xml:space="preserve">Jim Wood Company Inc. — Arkansas (501 exchange)</w:t>
            </w:r>
          </w:p>
        </w:tc>
      </w:tr>
      <w:tr>
        <w:tc>
          <w:tcPr>
            <w:tcW w:type="dxa" w:w="2900"/>
            <w:tcMar>
              <w:top w:type="dxa" w:w="60"/>
              <w:left w:type="dxa" w:w="100"/>
              <w:bottom w:type="dxa" w:w="60"/>
              <w:right w:type="dxa" w:w="100"/>
            </w:tcMar>
          </w:tcPr>
          <w:p>
            <w:r>
              <w:rPr>
                <w:rFonts w:ascii="Calibri" w:cs="Calibri" w:eastAsia="Calibri" w:hAnsi="Calibri"/>
                <w:b/>
                <w:bCs/>
                <w:sz w:val="18"/>
                <w:szCs w:val="18"/>
              </w:rPr>
              <w:t xml:space="preserve">Domain</w:t>
            </w:r>
          </w:p>
        </w:tc>
        <w:tc>
          <w:tcPr>
            <w:tcW w:type="dxa" w:w="6460"/>
            <w:tcMar>
              <w:top w:type="dxa" w:w="60"/>
              <w:left w:type="dxa" w:w="100"/>
              <w:bottom w:type="dxa" w:w="60"/>
              <w:right w:type="dxa" w:w="100"/>
            </w:tcMar>
          </w:tcPr>
          <w:p>
            <w:r>
              <w:rPr>
                <w:rFonts w:ascii="Calibri" w:cs="Calibri" w:eastAsia="Calibri" w:hAnsi="Calibri"/>
                <w:sz w:val="18"/>
                <w:szCs w:val="18"/>
              </w:rPr>
              <w:t xml:space="preserve">jimwoodcompany.com</w:t>
            </w:r>
          </w:p>
        </w:tc>
      </w:tr>
      <w:tr>
        <w:tc>
          <w:tcPr>
            <w:tcW w:type="dxa" w:w="2900"/>
            <w:tcMar>
              <w:top w:type="dxa" w:w="60"/>
              <w:left w:type="dxa" w:w="100"/>
              <w:bottom w:type="dxa" w:w="60"/>
              <w:right w:type="dxa" w:w="100"/>
            </w:tcMar>
          </w:tcPr>
          <w:p>
            <w:r>
              <w:rPr>
                <w:rFonts w:ascii="Calibri" w:cs="Calibri" w:eastAsia="Calibri" w:hAnsi="Calibri"/>
                <w:b/>
                <w:bCs/>
                <w:sz w:val="18"/>
                <w:szCs w:val="18"/>
              </w:rPr>
              <w:t xml:space="preserve">Listed business line</w:t>
            </w:r>
          </w:p>
        </w:tc>
        <w:tc>
          <w:tcPr>
            <w:tcW w:type="dxa" w:w="6460"/>
            <w:tcMar>
              <w:top w:type="dxa" w:w="60"/>
              <w:left w:type="dxa" w:w="100"/>
              <w:bottom w:type="dxa" w:w="60"/>
              <w:right w:type="dxa" w:w="100"/>
            </w:tcMar>
          </w:tcPr>
          <w:p>
            <w:r>
              <w:rPr>
                <w:rFonts w:ascii="Calibri" w:cs="Calibri" w:eastAsia="Calibri" w:hAnsi="Calibri"/>
                <w:sz w:val="18"/>
                <w:szCs w:val="18"/>
              </w:rPr>
              <w:t xml:space="preserve">501-372-4661 — MISROUTES to a state agency; bad data</w:t>
            </w:r>
          </w:p>
        </w:tc>
      </w:tr>
      <w:tr>
        <w:tc>
          <w:tcPr>
            <w:tcW w:type="dxa" w:w="2900"/>
            <w:tcMar>
              <w:top w:type="dxa" w:w="60"/>
              <w:left w:type="dxa" w:w="100"/>
              <w:bottom w:type="dxa" w:w="60"/>
              <w:right w:type="dxa" w:w="100"/>
            </w:tcMar>
          </w:tcPr>
          <w:p>
            <w:r>
              <w:rPr>
                <w:rFonts w:ascii="Calibri" w:cs="Calibri" w:eastAsia="Calibri" w:hAnsi="Calibri"/>
                <w:b/>
                <w:bCs/>
                <w:sz w:val="18"/>
                <w:szCs w:val="18"/>
              </w:rPr>
              <w:t xml:space="preserve">Working number</w:t>
            </w:r>
          </w:p>
        </w:tc>
        <w:tc>
          <w:tcPr>
            <w:tcW w:type="dxa" w:w="6460"/>
            <w:tcMar>
              <w:top w:type="dxa" w:w="60"/>
              <w:left w:type="dxa" w:w="100"/>
              <w:bottom w:type="dxa" w:w="60"/>
              <w:right w:type="dxa" w:w="100"/>
            </w:tcMar>
          </w:tcPr>
          <w:p>
            <w:r>
              <w:rPr>
                <w:rFonts w:ascii="Calibri" w:cs="Calibri" w:eastAsia="Calibri" w:hAnsi="Calibri"/>
                <w:sz w:val="18"/>
                <w:szCs w:val="18"/>
              </w:rPr>
              <w:t xml:space="preserve">501-951-9076 — reached Kay Wood</w:t>
            </w:r>
          </w:p>
        </w:tc>
      </w:tr>
      <w:tr>
        <w:tc>
          <w:tcPr>
            <w:tcW w:type="dxa" w:w="2900"/>
            <w:tcMar>
              <w:top w:type="dxa" w:w="60"/>
              <w:left w:type="dxa" w:w="100"/>
              <w:bottom w:type="dxa" w:w="60"/>
              <w:right w:type="dxa" w:w="100"/>
            </w:tcMar>
          </w:tcPr>
          <w:p>
            <w:r>
              <w:rPr>
                <w:rFonts w:ascii="Calibri" w:cs="Calibri" w:eastAsia="Calibri" w:hAnsi="Calibri"/>
                <w:b/>
                <w:bCs/>
                <w:sz w:val="18"/>
                <w:szCs w:val="18"/>
              </w:rPr>
              <w:t xml:space="preserve">Google-sourced number</w:t>
            </w:r>
          </w:p>
        </w:tc>
        <w:tc>
          <w:tcPr>
            <w:tcW w:type="dxa" w:w="6460"/>
            <w:tcMar>
              <w:top w:type="dxa" w:w="60"/>
              <w:left w:type="dxa" w:w="100"/>
              <w:bottom w:type="dxa" w:w="60"/>
              <w:right w:type="dxa" w:w="100"/>
            </w:tcMar>
          </w:tcPr>
          <w:p>
            <w:r>
              <w:rPr>
                <w:rFonts w:ascii="Calibri" w:cs="Calibri" w:eastAsia="Calibri" w:hAnsi="Calibri"/>
                <w:sz w:val="18"/>
                <w:szCs w:val="18"/>
              </w:rPr>
              <w:t xml:space="preserve">501-221-7007 (4 dials) — this is what actually worked</w:t>
            </w:r>
          </w:p>
        </w:tc>
      </w:tr>
      <w:tr>
        <w:tc>
          <w:tcPr>
            <w:tcW w:type="dxa" w:w="2900"/>
            <w:tcMar>
              <w:top w:type="dxa" w:w="60"/>
              <w:left w:type="dxa" w:w="100"/>
              <w:bottom w:type="dxa" w:w="60"/>
              <w:right w:type="dxa" w:w="100"/>
            </w:tcMar>
          </w:tcPr>
          <w:p>
            <w:r>
              <w:rPr>
                <w:rFonts w:ascii="Calibri" w:cs="Calibri" w:eastAsia="Calibri" w:hAnsi="Calibri"/>
                <w:b/>
                <w:bCs/>
                <w:sz w:val="18"/>
                <w:szCs w:val="18"/>
              </w:rPr>
              <w:t xml:space="preserve">Key contact</w:t>
            </w:r>
          </w:p>
        </w:tc>
        <w:tc>
          <w:tcPr>
            <w:tcW w:type="dxa" w:w="6460"/>
            <w:tcMar>
              <w:top w:type="dxa" w:w="60"/>
              <w:left w:type="dxa" w:w="100"/>
              <w:bottom w:type="dxa" w:w="60"/>
              <w:right w:type="dxa" w:w="100"/>
            </w:tcMar>
          </w:tcPr>
          <w:p>
            <w:r>
              <w:rPr>
                <w:rFonts w:ascii="Calibri" w:cs="Calibri" w:eastAsia="Calibri" w:hAnsi="Calibri"/>
                <w:sz w:val="18"/>
                <w:szCs w:val="18"/>
              </w:rPr>
              <w:t xml:space="preserve">Kay Wood — kwood@jimwoodcompany.com</w:t>
            </w:r>
          </w:p>
        </w:tc>
      </w:tr>
      <w:tr>
        <w:tc>
          <w:tcPr>
            <w:tcW w:type="dxa" w:w="2900"/>
            <w:tcMar>
              <w:top w:type="dxa" w:w="60"/>
              <w:left w:type="dxa" w:w="100"/>
              <w:bottom w:type="dxa" w:w="60"/>
              <w:right w:type="dxa" w:w="100"/>
            </w:tcMar>
          </w:tcPr>
          <w:p>
            <w:r>
              <w:rPr>
                <w:rFonts w:ascii="Calibri" w:cs="Calibri" w:eastAsia="Calibri" w:hAnsi="Calibri"/>
                <w:b/>
                <w:bCs/>
                <w:sz w:val="18"/>
                <w:szCs w:val="18"/>
              </w:rPr>
              <w:t xml:space="preserve">Compromised address</w:t>
            </w:r>
          </w:p>
        </w:tc>
        <w:tc>
          <w:tcPr>
            <w:tcW w:type="dxa" w:w="6460"/>
            <w:tcMar>
              <w:top w:type="dxa" w:w="60"/>
              <w:left w:type="dxa" w:w="100"/>
              <w:bottom w:type="dxa" w:w="60"/>
              <w:right w:type="dxa" w:w="100"/>
            </w:tcMar>
          </w:tcPr>
          <w:p>
            <w:r>
              <w:rPr>
                <w:rFonts w:ascii="Calibri" w:cs="Calibri" w:eastAsia="Calibri" w:hAnsi="Calibri"/>
                <w:sz w:val="18"/>
                <w:szCs w:val="18"/>
              </w:rPr>
              <w:t xml:space="preserve">indiakelley.jimwoodcompany@gmail.com — former employee</w:t>
            </w:r>
          </w:p>
        </w:tc>
      </w:tr>
    </w:tbl>
    <w:p>
      <w:pPr>
        <w:spacing w:after="80" w:before="220"/>
      </w:pPr>
      <w:r>
        <w:rPr>
          <w:rFonts w:ascii="Calibri" w:cs="Calibri" w:eastAsia="Calibri" w:hAnsi="Calibri"/>
          <w:b/>
          <w:bCs/>
          <w:color w:val="0446F1"/>
          <w:sz w:val="22"/>
          <w:szCs w:val="22"/>
        </w:rPr>
        <w:t xml:space="preserve">How it was collected</w:t>
      </w:r>
    </w:p>
    <w:p>
      <w:pPr>
        <w:spacing w:after="130"/>
      </w:pPr>
      <w:r>
        <w:rPr>
          <w:rFonts w:ascii="Calibri" w:cs="Calibri" w:eastAsia="Calibri" w:hAnsi="Calibri"/>
          <w:sz w:val="20"/>
          <w:szCs w:val="20"/>
        </w:rPr>
        <w:t xml:space="preserve">The business number on the placement file routed to a state agency. The collector found a working number through Google and reached Kay Wood, the principal's spouse, who said she was no longer with the company but would resolve it if the invoices were mailed to her. She supplied kwood@jimwoodcompany.com; the documents were forwarded and a read receipt logged the same minute.</w:t>
      </w:r>
    </w:p>
    <w:p>
      <w:pPr>
        <w:pBdr>
          <w:left w:val="single" w:color="C0392B" w:sz="18"/>
        </w:pBdr>
        <w:shd w:fill="FBEAE8" w:color="auto" w:val="clear"/>
        <w:spacing w:after="140" w:before="120"/>
        <w:ind w:left="160"/>
      </w:pPr>
      <w:r>
        <w:rPr>
          <w:rFonts w:ascii="Calibri" w:cs="Calibri" w:eastAsia="Calibri" w:hAnsi="Calibri"/>
          <w:sz w:val="20"/>
          <w:szCs w:val="20"/>
        </w:rPr>
        <w:t xml:space="preserve">CONTACT-HYGIENE FAILURE WORTH NOTING — Kay disclosed that India Kelley, whose personal Gmail was the email of record on this account, "stole one of their computers and took off." Our system nonetheless sent the Regulation F validation email to indiakelley.jimwoodcompany@gmail.com on 6/8 — a former employee's personal address, after the company had already disowned her. Sending account documentation to a departed employee's personal email is a real exposure. Any client-supplied personal Gmail address should be verified as current before validation material is sent to it.</w:t>
      </w:r>
    </w:p>
    <w:p>
      <w:pPr>
        <w:spacing w:after="80" w:before="220"/>
      </w:pPr>
      <w:r>
        <w:rPr>
          <w:rFonts w:ascii="Calibri" w:cs="Calibri" w:eastAsia="Calibri" w:hAnsi="Calibri"/>
          <w:b/>
          <w:bCs/>
          <w:color w:val="0446F1"/>
          <w:sz w:val="22"/>
          <w:szCs w:val="22"/>
        </w:rPr>
        <w:t xml:space="preserve">This was a DIRECT PAY — and it nearly went unrecorded</w:t>
      </w:r>
    </w:p>
    <w:p>
      <w:pPr>
        <w:spacing w:after="130"/>
      </w:pPr>
      <w:r>
        <w:rPr>
          <w:rFonts w:ascii="Calibri" w:cs="Calibri" w:eastAsia="Calibri" w:hAnsi="Calibri"/>
          <w:sz w:val="20"/>
          <w:szCs w:val="20"/>
        </w:rPr>
        <w:t xml:space="preserve">Kay mailed the check on 6/19 directly to Vixxo rather than to SWRS. A Direct Pay notification went to jennifer.patterson@vixxo.com on 6/29. The client's first response was that no payment had been received. Only after our collector pressed — asking what address the check was mailed to — did Abby at Vixxo correct the record: "I stand corrected. Payment was in today's checks," confirming $1,601.07.</w:t>
      </w:r>
    </w:p>
    <w:p>
      <w:pPr>
        <w:pBdr>
          <w:left w:val="single" w:color="B8790A" w:sz="18"/>
        </w:pBdr>
        <w:shd w:fill="FDF4E3" w:color="auto" w:val="clear"/>
        <w:spacing w:after="140" w:before="120"/>
        <w:ind w:left="160"/>
      </w:pPr>
      <w:r>
        <w:rPr>
          <w:rFonts w:ascii="Calibri" w:cs="Calibri" w:eastAsia="Calibri" w:hAnsi="Calibri"/>
          <w:sz w:val="20"/>
          <w:szCs w:val="20"/>
        </w:rPr>
        <w:t xml:space="preserve">PROCESS POINT — Had the collector accepted the client's initial "no payment received," this account would have stayed open and the debtor would have been pursued for money she had already paid. That is both a wasted collection cycle and a genuine compliance risk. The direct-pay reconciliation process exists precisely for this, and here it worked because the collector challenged the client's first answer rather than the debtor's.</w:t>
      </w:r>
    </w:p>
    <w:p>
      <w:pPr>
        <w:spacing w:after="130"/>
      </w:pPr>
      <w:r>
        <w:rPr>
          <w:rFonts w:ascii="Calibri" w:cs="Calibri" w:eastAsia="Calibri" w:hAnsi="Calibri"/>
          <w:sz w:val="20"/>
          <w:szCs w:val="20"/>
        </w:rPr>
        <w:t xml:space="preserve">Two loose ends on this account: the $0.06 residual is a rounding remnant and should be written off and the account closed rather than left showing a balance. Separately, a 7/6 note records "Per client they received a check dated for September 16, 2026" — that date is after the resolution and may indicate a second payment, a post-dated check, or a data-entry error. Worth a look before final closure.</w:t>
      </w:r>
    </w:p>
    <w:p>
      <w:r>
        <w:br w:type="page"/>
      </w:r>
    </w:p>
    <w:p>
      <w:pPr>
        <w:spacing w:after="60" w:before="80"/>
      </w:pPr>
      <w:r>
        <w:rPr>
          <w:rFonts w:ascii="Calibri" w:cs="Calibri" w:eastAsia="Calibri" w:hAnsi="Calibri"/>
          <w:b/>
          <w:bCs/>
          <w:color w:val="070B97"/>
          <w:sz w:val="30"/>
          <w:szCs w:val="30"/>
        </w:rPr>
        <w:t xml:space="preserve">What These Three Accounts Teach the Seven Still Open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2760"/>
      </w:tblGrid>
      <w:tr>
        <w:trPr>
          <w:tblHeader/>
        </w:trPr>
        <w:tc>
          <w:tcPr>
            <w:tcW w:type="dxa" w:w="3000"/>
            <w:shd w:fill="070B97" w:color="auto" w:val="clear"/>
            <w:tcMar>
              <w:top w:type="dxa" w:w="60"/>
              <w:left w:type="dxa" w:w="100"/>
              <w:bottom w:type="dxa" w:w="60"/>
              <w:right w:type="dxa" w:w="100"/>
            </w:tcMar>
          </w:tcPr>
          <w:p>
            <w:r>
              <w:rPr>
                <w:rFonts w:ascii="Calibri" w:cs="Calibri" w:eastAsia="Calibri" w:hAnsi="Calibri"/>
                <w:b/>
                <w:bCs/>
                <w:color w:val="FFFFFF"/>
                <w:sz w:val="18"/>
                <w:szCs w:val="18"/>
              </w:rPr>
              <w:t xml:space="preserve">Pattern that worked</w:t>
            </w:r>
          </w:p>
        </w:tc>
        <w:tc>
          <w:tcPr>
            <w:tcW w:type="dxa" w:w="3600"/>
            <w:shd w:fill="070B97" w:color="auto" w:val="clear"/>
            <w:tcMar>
              <w:top w:type="dxa" w:w="60"/>
              <w:left w:type="dxa" w:w="100"/>
              <w:bottom w:type="dxa" w:w="60"/>
              <w:right w:type="dxa" w:w="100"/>
            </w:tcMar>
          </w:tcPr>
          <w:p>
            <w:r>
              <w:rPr>
                <w:rFonts w:ascii="Calibri" w:cs="Calibri" w:eastAsia="Calibri" w:hAnsi="Calibri"/>
                <w:b/>
                <w:bCs/>
                <w:color w:val="FFFFFF"/>
                <w:sz w:val="18"/>
                <w:szCs w:val="18"/>
              </w:rPr>
              <w:t xml:space="preserve">Evidence</w:t>
            </w:r>
          </w:p>
        </w:tc>
        <w:tc>
          <w:tcPr>
            <w:tcW w:type="dxa" w:w="2760"/>
            <w:shd w:fill="070B97" w:color="auto" w:val="clear"/>
            <w:tcMar>
              <w:top w:type="dxa" w:w="60"/>
              <w:left w:type="dxa" w:w="100"/>
              <w:bottom w:type="dxa" w:w="60"/>
              <w:right w:type="dxa" w:w="100"/>
            </w:tcMar>
          </w:tcPr>
          <w:p>
            <w:r>
              <w:rPr>
                <w:rFonts w:ascii="Calibri" w:cs="Calibri" w:eastAsia="Calibri" w:hAnsi="Calibri"/>
                <w:b/>
                <w:bCs/>
                <w:color w:val="FFFFFF"/>
                <w:sz w:val="18"/>
                <w:szCs w:val="18"/>
              </w:rPr>
              <w:t xml:space="preserve">Apply to</w:t>
            </w:r>
          </w:p>
        </w:tc>
      </w:tr>
      <w:tr>
        <w:tc>
          <w:tcPr>
            <w:tcW w:type="dxa" w:w="3000"/>
            <w:tcMar>
              <w:top w:type="dxa" w:w="60"/>
              <w:left w:type="dxa" w:w="100"/>
              <w:bottom w:type="dxa" w:w="60"/>
              <w:right w:type="dxa" w:w="100"/>
            </w:tcMar>
          </w:tcPr>
          <w:p>
            <w:r>
              <w:rPr>
                <w:rFonts w:ascii="Calibri" w:cs="Calibri" w:eastAsia="Calibri" w:hAnsi="Calibri"/>
                <w:sz w:val="18"/>
                <w:szCs w:val="18"/>
              </w:rPr>
              <w:t xml:space="preserve">Escalate over the cooperative intermediary to a named owner, in writing, with documents</w:t>
            </w:r>
          </w:p>
        </w:tc>
        <w:tc>
          <w:tcPr>
            <w:tcW w:type="dxa" w:w="3600"/>
            <w:tcMar>
              <w:top w:type="dxa" w:w="60"/>
              <w:left w:type="dxa" w:w="100"/>
              <w:bottom w:type="dxa" w:w="60"/>
              <w:right w:type="dxa" w:w="100"/>
            </w:tcMar>
          </w:tcPr>
          <w:p>
            <w:r>
              <w:rPr>
                <w:rFonts w:ascii="Calibri" w:cs="Calibri" w:eastAsia="Calibri" w:hAnsi="Calibri"/>
                <w:sz w:val="18"/>
                <w:szCs w:val="18"/>
              </w:rPr>
              <w:t xml:space="preserve">Vision General: 5 weeks of AP stalling broke within one hour of the owner reading the email</w:t>
            </w:r>
          </w:p>
        </w:tc>
        <w:tc>
          <w:tcPr>
            <w:tcW w:type="dxa" w:w="2760"/>
            <w:tcMar>
              <w:top w:type="dxa" w:w="60"/>
              <w:left w:type="dxa" w:w="100"/>
              <w:bottom w:type="dxa" w:w="60"/>
              <w:right w:type="dxa" w:w="100"/>
            </w:tcMar>
          </w:tcPr>
          <w:p>
            <w:r>
              <w:rPr>
                <w:rFonts w:ascii="Calibri" w:cs="Calibri" w:eastAsia="Calibri" w:hAnsi="Calibri"/>
                <w:sz w:val="18"/>
                <w:szCs w:val="18"/>
              </w:rPr>
              <w:t xml:space="preserve">Lightning Electric (Dustin) · SCI Group (Atul → Chirag Patel)</w:t>
            </w:r>
          </w:p>
        </w:tc>
      </w:tr>
      <w:tr>
        <w:tc>
          <w:tcPr>
            <w:tcW w:type="dxa" w:w="3000"/>
            <w:tcMar>
              <w:top w:type="dxa" w:w="60"/>
              <w:left w:type="dxa" w:w="100"/>
              <w:bottom w:type="dxa" w:w="60"/>
              <w:right w:type="dxa" w:w="100"/>
            </w:tcMar>
          </w:tcPr>
          <w:p>
            <w:r>
              <w:rPr>
                <w:rFonts w:ascii="Calibri" w:cs="Calibri" w:eastAsia="Calibri" w:hAnsi="Calibri"/>
                <w:sz w:val="18"/>
                <w:szCs w:val="18"/>
              </w:rPr>
              <w:t xml:space="preserve">Research named executives yourself rather than waiting for the debtor to route you</w:t>
            </w:r>
          </w:p>
        </w:tc>
        <w:tc>
          <w:tcPr>
            <w:tcW w:type="dxa" w:w="3600"/>
            <w:tcMar>
              <w:top w:type="dxa" w:w="60"/>
              <w:left w:type="dxa" w:w="100"/>
              <w:bottom w:type="dxa" w:w="60"/>
              <w:right w:type="dxa" w:w="100"/>
            </w:tcMar>
          </w:tcPr>
          <w:p>
            <w:r>
              <w:rPr>
                <w:rFonts w:ascii="Calibri" w:cs="Calibri" w:eastAsia="Calibri" w:hAnsi="Calibri"/>
                <w:sz w:val="18"/>
                <w:szCs w:val="18"/>
              </w:rPr>
              <w:t xml:space="preserve">Alrig: affiliated owner found via open research, replied in 17 minutes</w:t>
            </w:r>
          </w:p>
        </w:tc>
        <w:tc>
          <w:tcPr>
            <w:tcW w:type="dxa" w:w="2760"/>
            <w:tcMar>
              <w:top w:type="dxa" w:w="60"/>
              <w:left w:type="dxa" w:w="100"/>
              <w:bottom w:type="dxa" w:w="60"/>
              <w:right w:type="dxa" w:w="100"/>
            </w:tcMar>
          </w:tcPr>
          <w:p>
            <w:r>
              <w:rPr>
                <w:rFonts w:ascii="Calibri" w:cs="Calibri" w:eastAsia="Calibri" w:hAnsi="Calibri"/>
                <w:sz w:val="18"/>
                <w:szCs w:val="18"/>
              </w:rPr>
              <w:t xml:space="preserve">Pet Retail Brands · Employbridge</w:t>
            </w:r>
          </w:p>
        </w:tc>
      </w:tr>
      <w:tr>
        <w:tc>
          <w:tcPr>
            <w:tcW w:type="dxa" w:w="3000"/>
            <w:tcMar>
              <w:top w:type="dxa" w:w="60"/>
              <w:left w:type="dxa" w:w="100"/>
              <w:bottom w:type="dxa" w:w="60"/>
              <w:right w:type="dxa" w:w="100"/>
            </w:tcMar>
          </w:tcPr>
          <w:p>
            <w:r>
              <w:rPr>
                <w:rFonts w:ascii="Calibri" w:cs="Calibri" w:eastAsia="Calibri" w:hAnsi="Calibri"/>
                <w:sz w:val="18"/>
                <w:szCs w:val="18"/>
              </w:rPr>
              <w:t xml:space="preserve">Named emails beat switchboard volume</w:t>
            </w:r>
          </w:p>
        </w:tc>
        <w:tc>
          <w:tcPr>
            <w:tcW w:type="dxa" w:w="3600"/>
            <w:tcMar>
              <w:top w:type="dxa" w:w="60"/>
              <w:left w:type="dxa" w:w="100"/>
              <w:bottom w:type="dxa" w:w="60"/>
              <w:right w:type="dxa" w:w="100"/>
            </w:tcMar>
          </w:tcPr>
          <w:p>
            <w:r>
              <w:rPr>
                <w:rFonts w:ascii="Calibri" w:cs="Calibri" w:eastAsia="Calibri" w:hAnsi="Calibri"/>
                <w:sz w:val="18"/>
                <w:szCs w:val="18"/>
              </w:rPr>
              <w:t xml:space="preserve">Alrig: 11 dials over 3.5 months = nothing; one email round = paid in 7 days</w:t>
            </w:r>
          </w:p>
        </w:tc>
        <w:tc>
          <w:tcPr>
            <w:tcW w:type="dxa" w:w="2760"/>
            <w:tcMar>
              <w:top w:type="dxa" w:w="60"/>
              <w:left w:type="dxa" w:w="100"/>
              <w:bottom w:type="dxa" w:w="60"/>
              <w:right w:type="dxa" w:w="100"/>
            </w:tcMar>
          </w:tcPr>
          <w:p>
            <w:r>
              <w:rPr>
                <w:rFonts w:ascii="Calibri" w:cs="Calibri" w:eastAsia="Calibri" w:hAnsi="Calibri"/>
                <w:sz w:val="18"/>
                <w:szCs w:val="18"/>
              </w:rPr>
              <w:t xml:space="preserve">Employbridge (37 emails, one branch contact)</w:t>
            </w:r>
          </w:p>
        </w:tc>
      </w:tr>
      <w:tr>
        <w:tc>
          <w:tcPr>
            <w:tcW w:type="dxa" w:w="3000"/>
            <w:tcMar>
              <w:top w:type="dxa" w:w="60"/>
              <w:left w:type="dxa" w:w="100"/>
              <w:bottom w:type="dxa" w:w="60"/>
              <w:right w:type="dxa" w:w="100"/>
            </w:tcMar>
          </w:tcPr>
          <w:p>
            <w:r>
              <w:rPr>
                <w:rFonts w:ascii="Calibri" w:cs="Calibri" w:eastAsia="Calibri" w:hAnsi="Calibri"/>
                <w:sz w:val="18"/>
                <w:szCs w:val="18"/>
              </w:rPr>
              <w:t xml:space="preserve">Offer a cheaper payment rail when the debtor hesitates</w:t>
            </w:r>
          </w:p>
        </w:tc>
        <w:tc>
          <w:tcPr>
            <w:tcW w:type="dxa" w:w="3600"/>
            <w:tcMar>
              <w:top w:type="dxa" w:w="60"/>
              <w:left w:type="dxa" w:w="100"/>
              <w:bottom w:type="dxa" w:w="60"/>
              <w:right w:type="dxa" w:w="100"/>
            </w:tcMar>
          </w:tcPr>
          <w:p>
            <w:r>
              <w:rPr>
                <w:rFonts w:ascii="Calibri" w:cs="Calibri" w:eastAsia="Calibri" w:hAnsi="Calibri"/>
                <w:sz w:val="18"/>
                <w:szCs w:val="18"/>
              </w:rPr>
              <w:t xml:space="preserve">Vision General: ACH auth at $8.99 offered against overnight courier cost</w:t>
            </w:r>
          </w:p>
        </w:tc>
        <w:tc>
          <w:tcPr>
            <w:tcW w:type="dxa" w:w="2760"/>
            <w:tcMar>
              <w:top w:type="dxa" w:w="60"/>
              <w:left w:type="dxa" w:w="100"/>
              <w:bottom w:type="dxa" w:w="60"/>
              <w:right w:type="dxa" w:w="100"/>
            </w:tcMar>
          </w:tcPr>
          <w:p>
            <w:r>
              <w:rPr>
                <w:rFonts w:ascii="Calibri" w:cs="Calibri" w:eastAsia="Calibri" w:hAnsi="Calibri"/>
                <w:sz w:val="18"/>
                <w:szCs w:val="18"/>
              </w:rPr>
              <w:t xml:space="preserve">All open accounts</w:t>
            </w:r>
          </w:p>
        </w:tc>
      </w:tr>
      <w:tr>
        <w:tc>
          <w:tcPr>
            <w:tcW w:type="dxa" w:w="3000"/>
            <w:tcMar>
              <w:top w:type="dxa" w:w="60"/>
              <w:left w:type="dxa" w:w="100"/>
              <w:bottom w:type="dxa" w:w="60"/>
              <w:right w:type="dxa" w:w="100"/>
            </w:tcMar>
          </w:tcPr>
          <w:p>
            <w:r>
              <w:rPr>
                <w:rFonts w:ascii="Calibri" w:cs="Calibri" w:eastAsia="Calibri" w:hAnsi="Calibri"/>
                <w:sz w:val="18"/>
                <w:szCs w:val="18"/>
              </w:rPr>
              <w:t xml:space="preserve">Challenge the client's answer, not just the debtor's</w:t>
            </w:r>
          </w:p>
        </w:tc>
        <w:tc>
          <w:tcPr>
            <w:tcW w:type="dxa" w:w="3600"/>
            <w:tcMar>
              <w:top w:type="dxa" w:w="60"/>
              <w:left w:type="dxa" w:w="100"/>
              <w:bottom w:type="dxa" w:w="60"/>
              <w:right w:type="dxa" w:w="100"/>
            </w:tcMar>
          </w:tcPr>
          <w:p>
            <w:r>
              <w:rPr>
                <w:rFonts w:ascii="Calibri" w:cs="Calibri" w:eastAsia="Calibri" w:hAnsi="Calibri"/>
                <w:sz w:val="18"/>
                <w:szCs w:val="18"/>
              </w:rPr>
              <w:t xml:space="preserve">Jim Wood: client said no payment; it was in that day's checks</w:t>
            </w:r>
          </w:p>
        </w:tc>
        <w:tc>
          <w:tcPr>
            <w:tcW w:type="dxa" w:w="2760"/>
            <w:tcMar>
              <w:top w:type="dxa" w:w="60"/>
              <w:left w:type="dxa" w:w="100"/>
              <w:bottom w:type="dxa" w:w="60"/>
              <w:right w:type="dxa" w:w="100"/>
            </w:tcMar>
          </w:tcPr>
          <w:p>
            <w:r>
              <w:rPr>
                <w:rFonts w:ascii="Calibri" w:cs="Calibri" w:eastAsia="Calibri" w:hAnsi="Calibri"/>
                <w:sz w:val="18"/>
                <w:szCs w:val="18"/>
              </w:rPr>
              <w:t xml:space="preserve">Direct-pay reconciliation generally</w:t>
            </w:r>
          </w:p>
        </w:tc>
      </w:tr>
      <w:tr>
        <w:tc>
          <w:tcPr>
            <w:tcW w:type="dxa" w:w="3000"/>
            <w:tcMar>
              <w:top w:type="dxa" w:w="60"/>
              <w:left w:type="dxa" w:w="100"/>
              <w:bottom w:type="dxa" w:w="60"/>
              <w:right w:type="dxa" w:w="100"/>
            </w:tcMar>
          </w:tcPr>
          <w:p>
            <w:r>
              <w:rPr>
                <w:rFonts w:ascii="Calibri" w:cs="Calibri" w:eastAsia="Calibri" w:hAnsi="Calibri"/>
                <w:sz w:val="18"/>
                <w:szCs w:val="18"/>
              </w:rPr>
              <w:t xml:space="preserve">Pull county Auditor/Recorder records on real-estate debtors</w:t>
            </w:r>
          </w:p>
        </w:tc>
        <w:tc>
          <w:tcPr>
            <w:tcW w:type="dxa" w:w="3600"/>
            <w:tcMar>
              <w:top w:type="dxa" w:w="60"/>
              <w:left w:type="dxa" w:w="100"/>
              <w:bottom w:type="dxa" w:w="60"/>
              <w:right w:type="dxa" w:w="100"/>
            </w:tcMar>
          </w:tcPr>
          <w:p>
            <w:r>
              <w:rPr>
                <w:rFonts w:ascii="Calibri" w:cs="Calibri" w:eastAsia="Calibri" w:hAnsi="Calibri"/>
                <w:sz w:val="18"/>
                <w:szCs w:val="18"/>
              </w:rPr>
              <w:t xml:space="preserve">Alrig: title research on the subject property</w:t>
            </w:r>
          </w:p>
        </w:tc>
        <w:tc>
          <w:tcPr>
            <w:tcW w:type="dxa" w:w="2760"/>
            <w:tcMar>
              <w:top w:type="dxa" w:w="60"/>
              <w:left w:type="dxa" w:w="100"/>
              <w:bottom w:type="dxa" w:w="60"/>
              <w:right w:type="dxa" w:w="100"/>
            </w:tcMar>
          </w:tcPr>
          <w:p>
            <w:r>
              <w:rPr>
                <w:rFonts w:ascii="Calibri" w:cs="Calibri" w:eastAsia="Calibri" w:hAnsi="Calibri"/>
                <w:sz w:val="18"/>
                <w:szCs w:val="18"/>
              </w:rPr>
              <w:t xml:space="preserve">Abeco (9 Brooklyn property LLCs identified)</w:t>
            </w:r>
          </w:p>
        </w:tc>
      </w:tr>
    </w:tbl>
    <w:p>
      <w:pPr>
        <w:spacing w:after="80" w:before="220"/>
      </w:pPr>
      <w:r>
        <w:rPr>
          <w:rFonts w:ascii="Calibri" w:cs="Calibri" w:eastAsia="Calibri" w:hAnsi="Calibri"/>
          <w:b/>
          <w:bCs/>
          <w:color w:val="0446F1"/>
          <w:sz w:val="22"/>
          <w:szCs w:val="22"/>
        </w:rPr>
        <w:t xml:space="preserve">Two corrections for the operation</w:t>
      </w:r>
    </w:p>
    <w:p>
      <w:pPr>
        <w:pStyle w:val="ListParagraph"/>
        <w:numPr>
          <w:ilvl w:val="0"/>
          <w:numId w:val="1"/>
        </w:numPr>
        <w:spacing w:after="70"/>
      </w:pPr>
      <w:r>
        <w:rPr>
          <w:rFonts w:ascii="Calibri" w:cs="Calibri" w:eastAsia="Calibri" w:hAnsi="Calibri"/>
          <w:sz w:val="20"/>
          <w:szCs w:val="20"/>
        </w:rPr>
        <w:t xml:space="preserve">Validation material was sent to a former employee's personal Gmail on the Jim Wood account after the company had disowned her. Client-supplied personal addresses should be verified as current before Reg F documentation goes to them.</w:t>
      </w:r>
    </w:p>
    <w:p>
      <w:pPr>
        <w:pStyle w:val="ListParagraph"/>
        <w:numPr>
          <w:ilvl w:val="0"/>
          <w:numId w:val="1"/>
        </w:numPr>
        <w:spacing w:after="70"/>
      </w:pPr>
      <w:r>
        <w:rPr>
          <w:rFonts w:ascii="Calibri" w:cs="Calibri" w:eastAsia="Calibri" w:hAnsi="Calibri"/>
          <w:sz w:val="20"/>
          <w:szCs w:val="20"/>
        </w:rPr>
        <w:t xml:space="preserve">The Jim Wood business number on the placement file routes to a state agency. Bad client-supplied phone data cost several days; the number that worked was found on Google.</w:t>
      </w:r>
    </w:p>
    <w:p>
      <w:pPr>
        <w:spacing w:after="130"/>
      </w:pPr>
      <w:r>
        <w:rPr>
          <w:rFonts w:ascii="Calibri" w:cs="Calibri" w:eastAsia="Calibri" w:hAnsi="Calibri"/>
          <w:b/>
          <w:bCs/>
          <w:sz w:val="20"/>
          <w:szCs w:val="20"/>
        </w:rPr>
        <w:t xml:space="preserve">With this addendum, all fourteen placed accounts on Vixxo Kansas are documented: eleven open accounts across the master dossier and the account intelligence file, and these three recovered accounts.</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2026-09-23T23:19:59.935Z</dcterms:created>
  <dcterms:modified xsi:type="dcterms:W3CDTF">2026-09-23T23:19:59.944Z</dcterms:modified>
</cp:coreProperties>
</file>

<file path=docProps/custom.xml><?xml version="1.0" encoding="utf-8"?>
<Properties xmlns="http://schemas.openxmlformats.org/officeDocument/2006/custom-properties" xmlns:vt="http://schemas.openxmlformats.org/officeDocument/2006/docPropsVTypes"/>
</file>