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3-PGmix — Cohort-Level Model</w:t>
      </w:r>
    </w:p>
    <w:p>
      <w:pPr>
        <w:jc w:val="center"/>
      </w:pPr>
      <w:r>
        <w:rPr>
          <w:i/>
        </w:rPr>
        <w:t>Process Flow Diagram</w:t>
      </w:r>
    </w:p>
    <w:p/>
    <w:p>
      <w:pPr>
        <w:pStyle w:val="Heading2"/>
      </w:pPr>
      <w:r>
        <w:t>Scope note</w:t>
      </w:r>
    </w:p>
    <w:p>
      <w:r>
        <w:t>This is a cohort-mean model, not an individual-tree model. Each species/cohort is represented by one set of mean state variables per month (mean height, mean DBH, mean crown dimensions, total biomass pools). Diagrams for CabalaTree and the Forecaster ITGM (see CabalaTree/ and Forecaster/ in this repository) model discrete trees on a grid or tree list; this diagram covers the r3PG / 3-PGmix cohort-mean formulation (source: R3PG/ in this repository, upstream trotsiuk/r3PG).</w:t>
      </w:r>
    </w:p>
    <w:p>
      <w:pPr>
        <w:pStyle w:val="Heading2"/>
      </w:pPr>
      <w:r>
        <w:t>Inputs (per simulation, from prepare_input())</w:t>
      </w:r>
    </w:p>
    <w:p>
      <w:pPr>
        <w:pStyle w:val="ListBullet"/>
      </w:pPr>
      <w:r>
        <w:t>site: latitude, altitude, soil class, initial/min/max available soil water, simulation period</w:t>
      </w:r>
    </w:p>
    <w:p>
      <w:pPr>
        <w:pStyle w:val="ListBullet"/>
      </w:pPr>
      <w:r>
        <w:t>species: one row per cohort — planting date, fertility, stocking, initial stem/root/foliage biomass</w:t>
      </w:r>
    </w:p>
    <w:p>
      <w:pPr>
        <w:pStyle w:val="ListBullet"/>
      </w:pPr>
      <w:r>
        <w:t>climate: monthly tmp_min, tmp_max, precipitation, solar radiation, frost days, VPD, CO2, d13C</w:t>
      </w:r>
    </w:p>
    <w:p>
      <w:pPr>
        <w:pStyle w:val="ListBullet"/>
      </w:pPr>
      <w:r>
        <w:t>thinning: optional per-cohort stem removal events</w:t>
      </w:r>
    </w:p>
    <w:p>
      <w:pPr>
        <w:pStyle w:val="ListBullet"/>
      </w:pPr>
      <w:r>
        <w:t>parameters / size_dist: per-species allometric and physiological coefficients (82 + 47 parameters)</w:t>
      </w:r>
    </w:p>
    <w:p>
      <w:pPr>
        <w:pStyle w:val="ListBullet"/>
      </w:pPr>
      <w:r>
        <w:t>settings: light_model / transp_model / phys_model = 2 selects 3-PGmix behaviour; height_model; correct_bias; calculate_d13c</w:t>
      </w:r>
    </w:p>
    <w:p/>
    <w:p>
      <w:pPr>
        <w:pStyle w:val="Heading2"/>
      </w:pPr>
      <w:r>
        <w:t>Monthly loop (per cohort, per month)</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1 — CANOPY LAYERING</w:t>
            </w:r>
          </w:p>
          <w:p>
            <w:r>
              <w:rPr>
                <w:rFonts w:ascii="Consolas" w:hAnsi="Consolas"/>
                <w:sz w:val="20"/>
              </w:rPr>
              <w:t>Each cohort treated as a vertical interval:</w:t>
            </w:r>
          </w:p>
          <w:p>
            <w:r>
              <w:rPr>
                <w:rFonts w:ascii="Consolas" w:hAnsi="Consolas"/>
                <w:sz w:val="20"/>
              </w:rPr>
              <w:t xml:space="preserve">  [height - crown_length, height]</w:t>
            </w:r>
          </w:p>
          <w:p>
            <w:r>
              <w:rPr>
                <w:rFonts w:ascii="Consolas" w:hAnsi="Consolas"/>
                <w:sz w:val="20"/>
              </w:rPr>
              <w:t>Intervals sorted; layer boundary drawn wherever</w:t>
            </w:r>
          </w:p>
          <w:p>
            <w:r>
              <w:rPr>
                <w:rFonts w:ascii="Consolas" w:hAnsi="Consolas"/>
                <w:sz w:val="20"/>
              </w:rPr>
              <w:t>no crown interval is open (running overlap count = 0)</w:t>
            </w:r>
          </w:p>
          <w:p>
            <w:r>
              <w:rPr>
                <w:rFonts w:ascii="Consolas" w:hAnsi="Consolas"/>
                <w:sz w:val="20"/>
              </w:rPr>
              <w:t>Cohorts with overlapping crown envelopes share a layer;</w:t>
            </w:r>
          </w:p>
          <w:p>
            <w:r>
              <w:rPr>
                <w:rFonts w:ascii="Consolas" w:hAnsi="Consolas"/>
                <w:sz w:val="20"/>
              </w:rPr>
              <w:t>a height gap between cohorts creates a new layer</w:t>
            </w:r>
          </w:p>
          <w:p>
            <w:r>
              <w:rPr>
                <w:rFonts w:ascii="Consolas" w:hAnsi="Consolas"/>
                <w:sz w:val="20"/>
              </w:rPr>
            </w:r>
          </w:p>
          <w:p>
            <w:r>
              <w:rPr>
                <w:rFonts w:ascii="Consolas" w:hAnsi="Consolas"/>
                <w:sz w:val="20"/>
              </w:rPr>
              <w:t>f_get_layer() -&gt; layer_id per cohort</w:t>
            </w:r>
          </w:p>
          <w:p>
            <w:r>
              <w:rPr>
                <w:rFonts w:ascii="Consolas" w:hAnsi="Consolas"/>
                <w:sz w:val="20"/>
              </w:rPr>
              <w:t>Number of layers: 1 to n_sp (not fixed)</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2 — LIGHT INTERCEPTION (Beer-Lambert, top-down)</w:t>
            </w:r>
          </w:p>
          <w:p>
            <w:r>
              <w:rPr>
                <w:rFonts w:ascii="Consolas" w:hAnsi="Consolas"/>
                <w:sz w:val="20"/>
              </w:rPr>
              <w:t>Per layer, combined extinction:</w:t>
            </w:r>
          </w:p>
          <w:p>
            <w:r>
              <w:rPr>
                <w:rFonts w:ascii="Consolas" w:hAnsi="Consolas"/>
                <w:sz w:val="20"/>
              </w:rPr>
              <w:t xml:space="preserve">  layer_apar = RAD_remaining * (1 - exp(-sum(k * LAI)))</w:t>
            </w:r>
          </w:p>
          <w:p>
            <w:r>
              <w:rPr>
                <w:rFonts w:ascii="Consolas" w:hAnsi="Consolas"/>
                <w:sz w:val="20"/>
              </w:rPr>
              <w:t>Remaining radiation passed down to next layer</w:t>
            </w:r>
          </w:p>
          <w:p>
            <w:r>
              <w:rPr>
                <w:rFonts w:ascii="Consolas" w:hAnsi="Consolas"/>
                <w:sz w:val="20"/>
              </w:rPr>
            </w:r>
          </w:p>
          <w:p>
            <w:r>
              <w:rPr>
                <w:rFonts w:ascii="Consolas" w:hAnsi="Consolas"/>
                <w:sz w:val="20"/>
              </w:rPr>
              <w:t>Within a layer, absorbed radiation split between</w:t>
            </w:r>
          </w:p>
          <w:p>
            <w:r>
              <w:rPr>
                <w:rFonts w:ascii="Consolas" w:hAnsi="Consolas"/>
                <w:sz w:val="20"/>
              </w:rPr>
              <w:t>co-occurring cohorts by two fitted weights</w:t>
            </w:r>
          </w:p>
          <w:p>
            <w:r>
              <w:rPr>
                <w:rFonts w:ascii="Consolas" w:hAnsi="Consolas"/>
                <w:sz w:val="20"/>
              </w:rPr>
              <w:t>(Forrester et al. 2014, Forest Ecosystems 1:17):</w:t>
            </w:r>
          </w:p>
          <w:p>
            <w:r>
              <w:rPr>
                <w:rFonts w:ascii="Consolas" w:hAnsi="Consolas"/>
                <w:sz w:val="20"/>
              </w:rPr>
              <w:t xml:space="preserve">  lambda_v - vertical: crown position + LAI share</w:t>
            </w:r>
          </w:p>
          <w:p>
            <w:r>
              <w:rPr>
                <w:rFonts w:ascii="Consolas" w:hAnsi="Consolas"/>
                <w:sz w:val="20"/>
              </w:rPr>
              <w:t xml:space="preserve">  lambda_h - horizontal: crown packing density,</w:t>
            </w:r>
          </w:p>
          <w:p>
            <w:r>
              <w:rPr>
                <w:rFonts w:ascii="Consolas" w:hAnsi="Consolas"/>
                <w:sz w:val="20"/>
              </w:rPr>
              <w:t xml:space="preserve">             solar zenith angle</w:t>
            </w:r>
          </w:p>
          <w:p>
            <w:r>
              <w:rPr>
                <w:rFonts w:ascii="Consolas" w:hAnsi="Consolas"/>
                <w:sz w:val="20"/>
              </w:rPr>
            </w:r>
          </w:p>
          <w:p>
            <w:r>
              <w:rPr>
                <w:rFonts w:ascii="Consolas" w:hAnsi="Consolas"/>
                <w:sz w:val="20"/>
              </w:rPr>
              <w:t>apar[cohort] = layer_apar * lambda_v * lambda_h</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3 — ENVIRONMENTAL MODIFIERS (per cohort)</w:t>
            </w:r>
          </w:p>
          <w:p>
            <w:r>
              <w:rPr>
                <w:rFonts w:ascii="Consolas" w:hAnsi="Consolas"/>
                <w:sz w:val="20"/>
              </w:rPr>
              <w:t>Temperature (Tmin/Topt/Tmax), frost days (kF),</w:t>
            </w:r>
          </w:p>
          <w:p>
            <w:r>
              <w:rPr>
                <w:rFonts w:ascii="Consolas" w:hAnsi="Consolas"/>
                <w:sz w:val="20"/>
              </w:rPr>
              <w:t>vapour pressure deficit (CoeffCond), available soil</w:t>
            </w:r>
          </w:p>
          <w:p>
            <w:r>
              <w:rPr>
                <w:rFonts w:ascii="Consolas" w:hAnsi="Consolas"/>
                <w:sz w:val="20"/>
              </w:rPr>
              <w:t>water (SWconst/SWpower), stand age (rAge/nAge),</w:t>
            </w:r>
          </w:p>
          <w:p>
            <w:r>
              <w:rPr>
                <w:rFonts w:ascii="Consolas" w:hAnsi="Consolas"/>
                <w:sz w:val="20"/>
              </w:rPr>
              <w:t>and fertility (fN0/fNn) each scale between 0 and 1</w:t>
            </w:r>
          </w:p>
          <w:p>
            <w:r>
              <w:rPr>
                <w:rFonts w:ascii="Consolas" w:hAnsi="Consolas"/>
                <w:sz w:val="20"/>
              </w:rPr>
              <w:t>and combine to modify canopy quantum efficiency</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4 — GPP AND NPP</w:t>
            </w:r>
          </w:p>
          <w:p>
            <w:r>
              <w:rPr>
                <w:rFonts w:ascii="Consolas" w:hAnsi="Consolas"/>
                <w:sz w:val="20"/>
              </w:rPr>
              <w:t>GPP[cohort] = apar[cohort] x modified canopy</w:t>
            </w:r>
          </w:p>
          <w:p>
            <w:r>
              <w:rPr>
                <w:rFonts w:ascii="Consolas" w:hAnsi="Consolas"/>
                <w:sz w:val="20"/>
              </w:rPr>
              <w:t xml:space="preserve">              quantum efficiency (alphaCx)</w:t>
            </w:r>
          </w:p>
          <w:p>
            <w:r>
              <w:rPr>
                <w:rFonts w:ascii="Consolas" w:hAnsi="Consolas"/>
                <w:sz w:val="20"/>
              </w:rPr>
              <w:t>NPP[cohort] = GPP[cohort] x Y  (NPP:GPP ratio)</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5 — WATER BALANCE (shared soil water pool)</w:t>
            </w:r>
          </w:p>
          <w:p>
            <w:r>
              <w:rPr>
                <w:rFonts w:ascii="Consolas" w:hAnsi="Consolas"/>
                <w:sz w:val="20"/>
              </w:rPr>
              <w:t>All cohorts draw from one site-level available soil</w:t>
            </w:r>
          </w:p>
          <w:p>
            <w:r>
              <w:rPr>
                <w:rFonts w:ascii="Consolas" w:hAnsi="Consolas"/>
                <w:sz w:val="20"/>
              </w:rPr>
              <w:t>water pool (asw_i / asw_min / asw_max)</w:t>
            </w:r>
          </w:p>
          <w:p>
            <w:r>
              <w:rPr>
                <w:rFonts w:ascii="Consolas" w:hAnsi="Consolas"/>
                <w:sz w:val="20"/>
              </w:rPr>
              <w:t>Canopy conductance per cohort (MinCond/MaxCond/</w:t>
            </w:r>
          </w:p>
          <w:p>
            <w:r>
              <w:rPr>
                <w:rFonts w:ascii="Consolas" w:hAnsi="Consolas"/>
                <w:sz w:val="20"/>
              </w:rPr>
              <w:t>LAIgcx/CoeffCond) sets transpiration demand</w:t>
            </w:r>
          </w:p>
          <w:p>
            <w:r>
              <w:rPr>
                <w:rFonts w:ascii="Consolas" w:hAnsi="Consolas"/>
                <w:sz w:val="20"/>
              </w:rPr>
              <w:t>One cohort depleting soil water lowers the SWconst/</w:t>
            </w:r>
          </w:p>
          <w:p>
            <w:r>
              <w:rPr>
                <w:rFonts w:ascii="Consolas" w:hAnsi="Consolas"/>
                <w:sz w:val="20"/>
              </w:rPr>
              <w:t>SWpower modifier for every other cohort next month</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6 — BIOMASS ALLOCATION (per cohort)</w:t>
            </w:r>
          </w:p>
          <w:p>
            <w:r>
              <w:rPr>
                <w:rFonts w:ascii="Consolas" w:hAnsi="Consolas"/>
                <w:sz w:val="20"/>
              </w:rPr>
              <w:t>Root fraction from pRx/pRn and fertility/soil-water state</w:t>
            </w:r>
          </w:p>
          <w:p>
            <w:r>
              <w:rPr>
                <w:rFonts w:ascii="Consolas" w:hAnsi="Consolas"/>
                <w:sz w:val="20"/>
              </w:rPr>
              <w:t>Remaining NPP split foliage vs stem via the pFS(DBH)</w:t>
            </w:r>
          </w:p>
          <w:p>
            <w:r>
              <w:rPr>
                <w:rFonts w:ascii="Consolas" w:hAnsi="Consolas"/>
                <w:sz w:val="20"/>
              </w:rPr>
              <w:t>relationship (pFS2, pFS20)</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7 — LITTERFALL, TURNOVER, MORTALITY</w:t>
            </w:r>
          </w:p>
          <w:p>
            <w:r>
              <w:rPr>
                <w:rFonts w:ascii="Consolas" w:hAnsi="Consolas"/>
                <w:sz w:val="20"/>
              </w:rPr>
              <w:t>Foliage litterfall (gammaF0/gammaF1/tgammaF)</w:t>
            </w:r>
          </w:p>
          <w:p>
            <w:r>
              <w:rPr>
                <w:rFonts w:ascii="Consolas" w:hAnsi="Consolas"/>
                <w:sz w:val="20"/>
              </w:rPr>
              <w:t>Root turnover (gammaR)</w:t>
            </w:r>
          </w:p>
          <w:p>
            <w:r>
              <w:rPr>
                <w:rFonts w:ascii="Consolas" w:hAnsi="Consolas"/>
                <w:sz w:val="20"/>
              </w:rPr>
              <w:t>Background mortality (gammaN0/gammaN1/tgammaN)</w:t>
            </w:r>
          </w:p>
          <w:p>
            <w:r>
              <w:rPr>
                <w:rFonts w:ascii="Consolas" w:hAnsi="Consolas"/>
                <w:sz w:val="20"/>
              </w:rPr>
              <w:t>Self-thinning (Yoda -3/2 power law):</w:t>
            </w:r>
          </w:p>
          <w:p>
            <w:r>
              <w:rPr>
                <w:rFonts w:ascii="Consolas" w:hAnsi="Consolas"/>
                <w:sz w:val="20"/>
              </w:rPr>
              <w:t xml:space="preserve">  W_max = wSx1000 * (1000 / stocking)^(3/2)</w:t>
            </w:r>
          </w:p>
          <w:p>
            <w:r>
              <w:rPr>
                <w:rFonts w:ascii="Consolas" w:hAnsi="Consolas"/>
                <w:sz w:val="20"/>
              </w:rPr>
              <w:t>stocking reduced when mean stem mass exceeds W_max</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8 — ALLOMETRY (per cohort mean tree)</w:t>
            </w:r>
          </w:p>
          <w:p>
            <w:r>
              <w:rPr>
                <w:rFonts w:ascii="Consolas" w:hAnsi="Consolas"/>
                <w:sz w:val="20"/>
              </w:rPr>
              <w:t>Height from DBH (aH/nHB/nHC — competition-adjusted)</w:t>
            </w:r>
          </w:p>
          <w:p>
            <w:r>
              <w:rPr>
                <w:rFonts w:ascii="Consolas" w:hAnsi="Consolas"/>
                <w:sz w:val="20"/>
              </w:rPr>
              <w:t>Volume from DBH and height (aV/nVB/nVH/nVBH)</w:t>
            </w:r>
          </w:p>
          <w:p>
            <w:r>
              <w:rPr>
                <w:rFonts w:ascii="Consolas" w:hAnsi="Consolas"/>
                <w:sz w:val="20"/>
              </w:rPr>
              <w:t>Crown width/length from DBH, height, LAI, competition</w:t>
            </w:r>
          </w:p>
          <w:p>
            <w:r>
              <w:rPr>
                <w:rFonts w:ascii="Consolas" w:hAnsi="Consolas"/>
                <w:sz w:val="20"/>
              </w:rPr>
              <w:t>(aK/nKB/nKH/nKC/nKrh, aHL/nHLB/nHLL/nHLC/nHLrh)</w:t>
            </w:r>
          </w:p>
        </w:tc>
      </w:tr>
    </w:tbl>
    <w:p/>
    <w:p>
      <w:pPr>
        <w:jc w:val="center"/>
      </w:pPr>
      <w:r>
        <w:rPr>
          <w:b/>
          <w:sz w:val="32"/>
        </w:rPr>
        <w:t>↓</w:t>
      </w:r>
    </w:p>
    <w:tbl>
      <w:tblPr>
        <w:tblW w:type="auto" w:w="0"/>
        <w:jc w:val="center"/>
        <w:tblLook w:firstColumn="1" w:firstRow="1" w:lastColumn="0" w:lastRow="0" w:noHBand="0" w:noVBand="1" w:val="04A0"/>
      </w:tblPr>
      <w:tblGrid>
        <w:gridCol w:w="8640"/>
      </w:tblGrid>
      <w:tr>
        <w:tc>
          <w:tcPr>
            <w:tcW w:type="dxa" w:w="8640"/>
            <w:tcBorders>
              <w:top w:val="single" w:sz="12" w:color="404040"/>
              <w:left w:val="single" w:sz="12" w:color="404040"/>
              <w:bottom w:val="single" w:sz="12" w:color="404040"/>
              <w:right w:val="single" w:sz="12" w:color="404040"/>
            </w:tcBorders>
            <w:shd w:val="clear" w:color="auto" w:fill="EEF3F8"/>
          </w:tcPr>
          <w:p>
            <w:r>
              <w:rPr>
                <w:b/>
                <w:sz w:val="22"/>
              </w:rPr>
              <w:t>STEP 9 — SIZE-DISTRIBUTION BIAS CORRECTION (optional)</w:t>
            </w:r>
          </w:p>
          <w:p>
            <w:r>
              <w:rPr>
                <w:rFonts w:ascii="Consolas" w:hAnsi="Consolas"/>
                <w:sz w:val="20"/>
              </w:rPr>
              <w:t>Only if settings$correct_bias = 1</w:t>
            </w:r>
          </w:p>
          <w:p>
            <w:r>
              <w:rPr>
                <w:rFonts w:ascii="Consolas" w:hAnsi="Consolas"/>
                <w:sz w:val="20"/>
              </w:rPr>
              <w:t>s_sizeDist_correct() fits a Weibull distribution to</w:t>
            </w:r>
          </w:p>
          <w:p>
            <w:r>
              <w:rPr>
                <w:rFonts w:ascii="Consolas" w:hAnsi="Consolas"/>
                <w:sz w:val="20"/>
              </w:rPr>
              <w:t>each cohort mean (Dscale/Dshape/Dlocation for DBH,</w:t>
            </w:r>
          </w:p>
          <w:p>
            <w:r>
              <w:rPr>
                <w:rFonts w:ascii="Consolas" w:hAnsi="Consolas"/>
                <w:sz w:val="20"/>
              </w:rPr>
              <w:t>wsscale/wsshape/wslocation for stem mass) driven by</w:t>
            </w:r>
          </w:p>
          <w:p>
            <w:r>
              <w:rPr>
                <w:rFonts w:ascii="Consolas" w:hAnsi="Consolas"/>
                <w:sz w:val="20"/>
              </w:rPr>
              <w:t>DBH, relative height, age and competition</w:t>
            </w:r>
          </w:p>
          <w:p>
            <w:r>
              <w:rPr>
                <w:rFonts w:ascii="Consolas" w:hAnsi="Consolas"/>
                <w:sz w:val="20"/>
              </w:rPr>
            </w:r>
          </w:p>
          <w:p>
            <w:r>
              <w:rPr>
                <w:rFonts w:ascii="Consolas" w:hAnsi="Consolas"/>
                <w:sz w:val="20"/>
              </w:rPr>
              <w:t>This disaggregates the cohort mean into a size class</w:t>
            </w:r>
          </w:p>
          <w:p>
            <w:r>
              <w:rPr>
                <w:rFonts w:ascii="Consolas" w:hAnsi="Consolas"/>
                <w:sz w:val="20"/>
              </w:rPr>
              <w:t>distribution for reporting and corrects Jensen's-</w:t>
            </w:r>
          </w:p>
          <w:p>
            <w:r>
              <w:rPr>
                <w:rFonts w:ascii="Consolas" w:hAnsi="Consolas"/>
                <w:sz w:val="20"/>
              </w:rPr>
              <w:t>inequality bias in the allometric back-transforms.</w:t>
            </w:r>
          </w:p>
          <w:p>
            <w:r>
              <w:rPr>
                <w:rFonts w:ascii="Consolas" w:hAnsi="Consolas"/>
                <w:sz w:val="20"/>
              </w:rPr>
              <w:t>It does not simulate individual stems.</w:t>
            </w:r>
          </w:p>
        </w:tc>
      </w:tr>
    </w:tbl>
    <w:p/>
    <w:p>
      <w:pPr>
        <w:jc w:val="center"/>
      </w:pPr>
      <w:r>
        <w:rPr>
          <w:b/>
          <w:sz w:val="32"/>
        </w:rPr>
        <w:t>↓</w:t>
      </w:r>
    </w:p>
    <w:p>
      <w:pPr>
        <w:jc w:val="center"/>
      </w:pPr>
      <w:r>
        <w:rPr>
          <w:b/>
        </w:rPr>
        <w:t>REPEAT NEXT MONTH</w:t>
      </w:r>
    </w:p>
    <w:p/>
    <w:p>
      <w:pPr>
        <w:pStyle w:val="Heading2"/>
      </w:pPr>
      <w:r>
        <w:t>Outputs (per cohort, per month)</w:t>
      </w:r>
    </w:p>
    <w:p>
      <w:pPr>
        <w:pStyle w:val="ListBullet"/>
      </w:pPr>
      <w:r>
        <w:t>Biomass pools: foliage, stem, root (i_output group: biomass)</w:t>
      </w:r>
    </w:p>
    <w:p>
      <w:pPr>
        <w:pStyle w:val="ListBullet"/>
      </w:pPr>
      <w:r>
        <w:t>Structure: height, DBH, basal area, volume, crown width/length, LAI</w:t>
      </w:r>
    </w:p>
    <w:p>
      <w:pPr>
        <w:pStyle w:val="ListBullet"/>
      </w:pPr>
      <w:r>
        <w:t>Production: GPP, NPP, APAR, fraction of light intercepted</w:t>
      </w:r>
    </w:p>
    <w:p>
      <w:pPr>
        <w:pStyle w:val="ListBullet"/>
      </w:pPr>
      <w:r>
        <w:t>Water balance: transpiration, evaporation, available soil water</w:t>
      </w:r>
    </w:p>
    <w:p>
      <w:pPr>
        <w:pStyle w:val="ListBullet"/>
      </w:pPr>
      <w:r>
        <w:t>Stand state: stocking, self-thinning losses</w:t>
      </w:r>
    </w:p>
    <w:p>
      <w:pPr>
        <w:pStyle w:val="ListBullet"/>
      </w:pPr>
      <w:r>
        <w:t>Long-format output columns: date, species, group, variable, value</w:t>
      </w:r>
    </w:p>
    <w:p>
      <w:pPr>
        <w:pStyle w:val="Heading2"/>
      </w:pPr>
      <w:r>
        <w:t>Key differences from the individual-tree models in this repository</w:t>
      </w:r>
    </w:p>
    <w:p>
      <w:r>
        <w:rPr>
          <w:b/>
        </w:rPr>
        <w:t xml:space="preserve">No spatial grid or tree list: </w:t>
      </w:r>
      <w:r>
        <w:t>CabalaTree and Forecaster ITGM track discrete stems; 3-PGmix tracks one mean-tree state per cohort per month.</w:t>
      </w:r>
    </w:p>
    <w:p>
      <w:r>
        <w:rPr>
          <w:b/>
        </w:rPr>
        <w:t xml:space="preserve">Layering replaces neighbour shading: </w:t>
      </w:r>
      <w:r>
        <w:t>CabalaTree resolves shading via an 8-neighbour hourly solar-geometry loop; 3-PGmix resolves it via cohort-level canopy layers and the lambda_v / lambda_h partition.</w:t>
      </w:r>
    </w:p>
    <w:p>
      <w:r>
        <w:rPr>
          <w:b/>
        </w:rPr>
        <w:t xml:space="preserve">Size distribution is statistical, not simulated: </w:t>
      </w:r>
      <w:r>
        <w:t>The Weibull size-distribution module (Step 9) disaggregates a cohort mean into a size-class distribution; it is a post-hoc statistical correction, not per-stem growth.</w:t>
      </w:r>
    </w:p>
    <w:p>
      <w:r>
        <w:rPr>
          <w:b/>
        </w:rPr>
        <w:t xml:space="preserve">Water competition is a shared pool: </w:t>
      </w:r>
      <w:r>
        <w:t>Cohorts compete for one site-level soil water balance rather than local root-zone competition.</w:t>
      </w:r>
    </w:p>
    <w:p/>
    <w:p>
      <w:r>
        <w:rPr>
          <w:i/>
          <w:sz w:val="16"/>
        </w:rPr>
        <w:t>Sources: R3PG/prepare_input.R, R3PG/run_3PG.R, R3PG/data.R (this repository); src/md_3PG.f95 subroutine s_light_3pgmix and function f_get_layer (upstream trotsiuk/r3PG, not vendored in this repository); Forrester, D.I., Guisasola, R., Tang, X. et al. (2014) For. Ecosyst. 1:17; Forrester, D.I. (2020) 3-PG User Manual; Sands, P.J. (2010) 3PGpjs User Manual; Landsberg, J.J. &amp; Waring, R.H. (1997) For. Ecol. Manage. 95(3):209-228.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