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44"/>
        </w:rPr>
        <w:t>Individual Tree Growth Model (ITGM)</w:t>
      </w:r>
    </w:p>
    <w:p>
      <w:pPr>
        <w:jc w:val="center"/>
      </w:pPr>
      <w:r>
        <w:rPr>
          <w:color w:val="5A5A5A"/>
          <w:sz w:val="28"/>
        </w:rPr>
        <w:t>Improvement work list</w:t>
      </w:r>
    </w:p>
    <w:p>
      <w:pPr>
        <w:jc w:val="center"/>
      </w:pPr>
      <w:r>
        <w:rPr>
          <w:i/>
          <w:color w:val="5A5A5A"/>
          <w:sz w:val="20"/>
        </w:rPr>
        <w:t>Source: Forecaster / StandGrower / GrowthModels / ITGM.cs   |   Record date: 08 July 2026</w:t>
      </w:r>
    </w:p>
    <w:p/>
    <w:p>
      <w:pPr>
        <w:pStyle w:val="Heading1"/>
      </w:pPr>
      <w:r>
        <w:rPr>
          <w:color w:val="17324D"/>
        </w:rPr>
        <w:t>Context</w:t>
      </w:r>
    </w:p>
    <w:p>
      <w:r>
        <w:rPr>
          <w:i w:val="0"/>
          <w:sz w:val="22"/>
        </w:rPr>
        <w:t>This work list records a code review discussion of the individual tree growth model. The review covered the model's competition index, its potential growth formulation, its regional stratification, and the reasons the model has not been adopted operationally despite being licensed and instantiable in the codebase. Tasks below are grouped by theme and ranked by priority.</w:t>
      </w:r>
    </w:p>
    <w:p>
      <w:pPr>
        <w:pStyle w:val="Heading1"/>
      </w:pPr>
      <w:r>
        <w:rPr>
          <w:color w:val="17324D"/>
        </w:rPr>
        <w:t>1. Replace region with continuous site covariates</w:t>
      </w:r>
    </w:p>
    <w:p>
      <w:r>
        <w:rPr>
          <w:i w:val="0"/>
          <w:sz w:val="22"/>
        </w:rPr>
        <w:t>Region is a categorical proxy for underlying biophysical drivers (temperature, water balance, soil fertility and drainage, solar radiation). It produces a step change in predicted growth at region boundaries and provides no defensible prediction outside the eight calibrated regions. Continuous site data covering all growers is available, so data sourcing is not a blocker.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80"/>
            <w:shd w:val="clear" w:color="auto" w:fill="2C5B8A"/>
          </w:tcPr>
          <w:p>
            <w:r>
              <w:rPr>
                <w:b/>
                <w:color w:val="FFFFFF"/>
                <w:sz w:val="21"/>
              </w:rPr>
              <w:t>#</w:t>
            </w:r>
          </w:p>
        </w:tc>
        <w:tc>
          <w:tcPr>
            <w:tcW w:type="dxa" w:w="4535"/>
            <w:shd w:val="clear" w:color="auto" w:fill="2C5B8A"/>
          </w:tcPr>
          <w:p>
            <w:r>
              <w:rPr>
                <w:b/>
                <w:color w:val="FFFFFF"/>
                <w:sz w:val="21"/>
              </w:rPr>
              <w:t>Task</w:t>
            </w:r>
          </w:p>
        </w:tc>
        <w:tc>
          <w:tcPr>
            <w:tcW w:type="dxa" w:w="3685"/>
            <w:shd w:val="clear" w:color="auto" w:fill="2C5B8A"/>
          </w:tcPr>
          <w:p>
            <w:r>
              <w:rPr>
                <w:b/>
                <w:color w:val="FFFFFF"/>
                <w:sz w:val="21"/>
              </w:rPr>
              <w:t>Rationale</w:t>
            </w:r>
          </w:p>
        </w:tc>
        <w:tc>
          <w:tcPr>
            <w:tcW w:type="dxa" w:w="1134"/>
            <w:shd w:val="clear" w:color="auto" w:fill="2C5B8A"/>
          </w:tcPr>
          <w:p>
            <w:r>
              <w:rPr>
                <w:b/>
                <w:color w:val="FFFFFF"/>
                <w:sz w:val="21"/>
              </w:rPr>
              <w:t>Priority</w:t>
            </w:r>
          </w:p>
        </w:tc>
      </w:tr>
      <w:tr>
        <w:tc>
          <w:tcPr>
            <w:tcW w:type="dxa" w:w="680"/>
          </w:tcPr>
          <w:p>
            <w:r>
              <w:rPr>
                <w:sz w:val="20"/>
              </w:rPr>
              <w:t>1</w:t>
            </w:r>
          </w:p>
        </w:tc>
        <w:tc>
          <w:tcPr>
            <w:tcW w:type="dxa" w:w="4535"/>
          </w:tcPr>
          <w:p>
            <w:r>
              <w:rPr>
                <w:sz w:val="20"/>
              </w:rPr>
              <w:t>Source and integrate a national continuous environmental covariate layer (temperature, water balance, soil fertility and drainage, solar radiation) into the Forecaster site input, replacing the region pick-list.</w:t>
            </w:r>
          </w:p>
        </w:tc>
        <w:tc>
          <w:tcPr>
            <w:tcW w:type="dxa" w:w="3685"/>
          </w:tcPr>
          <w:p>
            <w:r>
              <w:rPr>
                <w:sz w:val="20"/>
              </w:rPr>
              <w:t>Removes the categorical region proxy and its boundary discontinuities.</w:t>
            </w:r>
          </w:p>
        </w:tc>
        <w:tc>
          <w:tcPr>
            <w:tcW w:type="dxa" w:w="1134"/>
          </w:tcPr>
          <w:p>
            <w:r>
              <w:rPr>
                <w:b/>
                <w:color w:val="C0392B"/>
              </w:rPr>
              <w:t>High</w:t>
            </w:r>
          </w:p>
        </w:tc>
      </w:tr>
      <w:tr>
        <w:tc>
          <w:tcPr>
            <w:tcW w:type="dxa" w:w="680"/>
          </w:tcPr>
          <w:p>
            <w:r>
              <w:rPr>
                <w:sz w:val="20"/>
              </w:rPr>
              <w:t>2</w:t>
            </w:r>
          </w:p>
        </w:tc>
        <w:tc>
          <w:tcPr>
            <w:tcW w:type="dxa" w:w="4535"/>
          </w:tcPr>
          <w:p>
            <w:r>
              <w:rPr>
                <w:sz w:val="20"/>
              </w:rPr>
              <w:t>Refit survival, diameter increment, height increment, and guide-curve anchor functions against permanent sample plot data using the continuous covariates in place of the eight-region switch.</w:t>
            </w:r>
          </w:p>
        </w:tc>
        <w:tc>
          <w:tcPr>
            <w:tcW w:type="dxa" w:w="3685"/>
          </w:tcPr>
          <w:p>
            <w:r>
              <w:rPr>
                <w:sz w:val="20"/>
              </w:rPr>
              <w:t>The current functions are hard-coded per region and cannot use continuous site data without refitting.</w:t>
            </w:r>
          </w:p>
        </w:tc>
        <w:tc>
          <w:tcPr>
            <w:tcW w:type="dxa" w:w="1134"/>
          </w:tcPr>
          <w:p>
            <w:r>
              <w:rPr>
                <w:b/>
                <w:color w:val="C0392B"/>
              </w:rPr>
              <w:t>High</w:t>
            </w:r>
          </w:p>
        </w:tc>
      </w:tr>
    </w:tbl>
    <w:p/>
    <w:p>
      <w:pPr>
        <w:pStyle w:val="Heading1"/>
      </w:pPr>
      <w:r>
        <w:rPr>
          <w:color w:val="17324D"/>
        </w:rPr>
        <w:t>2. Add calibration against observed data</w:t>
      </w:r>
    </w:p>
    <w:p>
      <w:r>
        <w:rPr>
          <w:i w:val="0"/>
          <w:sz w:val="22"/>
        </w:rPr>
        <w:t>The model has no mechanism to reconcile its predictions against an observed remeasurement, unlike the 300 and 500 Index models.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80"/>
            <w:shd w:val="clear" w:color="auto" w:fill="2C5B8A"/>
          </w:tcPr>
          <w:p>
            <w:r>
              <w:rPr>
                <w:b/>
                <w:color w:val="FFFFFF"/>
                <w:sz w:val="21"/>
              </w:rPr>
              <w:t>#</w:t>
            </w:r>
          </w:p>
        </w:tc>
        <w:tc>
          <w:tcPr>
            <w:tcW w:type="dxa" w:w="4535"/>
            <w:shd w:val="clear" w:color="auto" w:fill="2C5B8A"/>
          </w:tcPr>
          <w:p>
            <w:r>
              <w:rPr>
                <w:b/>
                <w:color w:val="FFFFFF"/>
                <w:sz w:val="21"/>
              </w:rPr>
              <w:t>Task</w:t>
            </w:r>
          </w:p>
        </w:tc>
        <w:tc>
          <w:tcPr>
            <w:tcW w:type="dxa" w:w="3685"/>
            <w:shd w:val="clear" w:color="auto" w:fill="2C5B8A"/>
          </w:tcPr>
          <w:p>
            <w:r>
              <w:rPr>
                <w:b/>
                <w:color w:val="FFFFFF"/>
                <w:sz w:val="21"/>
              </w:rPr>
              <w:t>Rationale</w:t>
            </w:r>
          </w:p>
        </w:tc>
        <w:tc>
          <w:tcPr>
            <w:tcW w:type="dxa" w:w="1134"/>
            <w:shd w:val="clear" w:color="auto" w:fill="2C5B8A"/>
          </w:tcPr>
          <w:p>
            <w:r>
              <w:rPr>
                <w:b/>
                <w:color w:val="FFFFFF"/>
                <w:sz w:val="21"/>
              </w:rPr>
              <w:t>Priority</w:t>
            </w:r>
          </w:p>
        </w:tc>
      </w:tr>
      <w:tr>
        <w:tc>
          <w:tcPr>
            <w:tcW w:type="dxa" w:w="680"/>
          </w:tcPr>
          <w:p>
            <w:r>
              <w:rPr>
                <w:sz w:val="20"/>
              </w:rPr>
              <w:t>3</w:t>
            </w:r>
          </w:p>
        </w:tc>
        <w:tc>
          <w:tcPr>
            <w:tcW w:type="dxa" w:w="4535"/>
          </w:tcPr>
          <w:p>
            <w:r>
              <w:rPr>
                <w:sz w:val="20"/>
              </w:rPr>
              <w:t>Run the 300 or 500 Index model alongside the individual tree growth model, compute a correction ratio (index-predicted stand growth divided by individual-tree-model-predicted stand growth), and cascade that ratio down to every tree as a scaling correction.</w:t>
            </w:r>
          </w:p>
        </w:tc>
        <w:tc>
          <w:tcPr>
            <w:tcW w:type="dxa" w:w="3685"/>
          </w:tcPr>
          <w:p>
            <w:r>
              <w:rPr>
                <w:sz w:val="20"/>
              </w:rPr>
              <w:t>Gives the model the same plot-based correction capability the 300 and 500 Index models already have.</w:t>
            </w:r>
          </w:p>
        </w:tc>
        <w:tc>
          <w:tcPr>
            <w:tcW w:type="dxa" w:w="1134"/>
          </w:tcPr>
          <w:p>
            <w:r>
              <w:rPr>
                <w:b/>
                <w:color w:val="B5651D"/>
              </w:rPr>
              <w:t>Medium</w:t>
            </w:r>
          </w:p>
        </w:tc>
      </w:tr>
      <w:tr>
        <w:tc>
          <w:tcPr>
            <w:tcW w:type="dxa" w:w="680"/>
          </w:tcPr>
          <w:p>
            <w:r>
              <w:rPr>
                <w:sz w:val="20"/>
              </w:rPr>
              <w:t>4</w:t>
            </w:r>
          </w:p>
        </w:tc>
        <w:tc>
          <w:tcPr>
            <w:tcW w:type="dxa" w:w="4535"/>
          </w:tcPr>
          <w:p>
            <w:r>
              <w:rPr>
                <w:sz w:val="20"/>
              </w:rPr>
              <w:t>Where actual remeasured tree-level data exists for a site, calibrate each tree's diameter and height increment directly against its own observed growth.</w:t>
            </w:r>
          </w:p>
        </w:tc>
        <w:tc>
          <w:tcPr>
            <w:tcW w:type="dxa" w:w="3685"/>
          </w:tcPr>
          <w:p>
            <w:r>
              <w:rPr>
                <w:sz w:val="20"/>
              </w:rPr>
              <w:t>More precise than a stand-level correction factor when tree-level data is available.</w:t>
            </w:r>
          </w:p>
        </w:tc>
        <w:tc>
          <w:tcPr>
            <w:tcW w:type="dxa" w:w="1134"/>
          </w:tcPr>
          <w:p>
            <w:r>
              <w:rPr>
                <w:b/>
                <w:color w:val="B5651D"/>
              </w:rPr>
              <w:t>Medium</w:t>
            </w:r>
          </w:p>
        </w:tc>
      </w:tr>
    </w:tbl>
    <w:p/>
    <w:p>
      <w:pPr>
        <w:pStyle w:val="Heading1"/>
      </w:pPr>
      <w:r>
        <w:rPr>
          <w:color w:val="17324D"/>
        </w:rPr>
        <w:t>3. Refit and validate against permanent sample plot data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80"/>
            <w:shd w:val="clear" w:color="auto" w:fill="2C5B8A"/>
          </w:tcPr>
          <w:p>
            <w:r>
              <w:rPr>
                <w:b/>
                <w:color w:val="FFFFFF"/>
                <w:sz w:val="21"/>
              </w:rPr>
              <w:t>#</w:t>
            </w:r>
          </w:p>
        </w:tc>
        <w:tc>
          <w:tcPr>
            <w:tcW w:type="dxa" w:w="4535"/>
            <w:shd w:val="clear" w:color="auto" w:fill="2C5B8A"/>
          </w:tcPr>
          <w:p>
            <w:r>
              <w:rPr>
                <w:b/>
                <w:color w:val="FFFFFF"/>
                <w:sz w:val="21"/>
              </w:rPr>
              <w:t>Task</w:t>
            </w:r>
          </w:p>
        </w:tc>
        <w:tc>
          <w:tcPr>
            <w:tcW w:type="dxa" w:w="3685"/>
            <w:shd w:val="clear" w:color="auto" w:fill="2C5B8A"/>
          </w:tcPr>
          <w:p>
            <w:r>
              <w:rPr>
                <w:b/>
                <w:color w:val="FFFFFF"/>
                <w:sz w:val="21"/>
              </w:rPr>
              <w:t>Rationale</w:t>
            </w:r>
          </w:p>
        </w:tc>
        <w:tc>
          <w:tcPr>
            <w:tcW w:type="dxa" w:w="1134"/>
            <w:shd w:val="clear" w:color="auto" w:fill="2C5B8A"/>
          </w:tcPr>
          <w:p>
            <w:r>
              <w:rPr>
                <w:b/>
                <w:color w:val="FFFFFF"/>
                <w:sz w:val="21"/>
              </w:rPr>
              <w:t>Priority</w:t>
            </w:r>
          </w:p>
        </w:tc>
      </w:tr>
      <w:tr>
        <w:tc>
          <w:tcPr>
            <w:tcW w:type="dxa" w:w="680"/>
          </w:tcPr>
          <w:p>
            <w:r>
              <w:rPr>
                <w:sz w:val="20"/>
              </w:rPr>
              <w:t>5</w:t>
            </w:r>
          </w:p>
        </w:tc>
        <w:tc>
          <w:tcPr>
            <w:tcW w:type="dxa" w:w="4535"/>
          </w:tcPr>
          <w:p>
            <w:r>
              <w:rPr>
                <w:sz w:val="20"/>
              </w:rPr>
              <w:t>Refit all region coefficients against current permanent sample plot data and test predictions against held-out remeasurements, by region.</w:t>
            </w:r>
          </w:p>
        </w:tc>
        <w:tc>
          <w:tcPr>
            <w:tcW w:type="dxa" w:w="3685"/>
          </w:tcPr>
          <w:p>
            <w:r>
              <w:rPr>
                <w:sz w:val="20"/>
              </w:rPr>
              <w:t>Confirms whether the existing coefficients (Shula, SGM Cooperative reports 58 to 60) remain accurate; source data vintage is not stated in the code.</w:t>
            </w:r>
          </w:p>
        </w:tc>
        <w:tc>
          <w:tcPr>
            <w:tcW w:type="dxa" w:w="1134"/>
          </w:tcPr>
          <w:p>
            <w:r>
              <w:rPr>
                <w:b/>
                <w:color w:val="C0392B"/>
              </w:rPr>
              <w:t>High</w:t>
            </w:r>
          </w:p>
        </w:tc>
      </w:tr>
      <w:tr>
        <w:tc>
          <w:tcPr>
            <w:tcW w:type="dxa" w:w="680"/>
          </w:tcPr>
          <w:p>
            <w:r>
              <w:rPr>
                <w:sz w:val="20"/>
              </w:rPr>
              <w:t>6</w:t>
            </w:r>
          </w:p>
        </w:tc>
        <w:tc>
          <w:tcPr>
            <w:tcW w:type="dxa" w:w="4535"/>
          </w:tcPr>
          <w:p>
            <w:r>
              <w:rPr>
                <w:sz w:val="20"/>
              </w:rPr>
              <w:t>Fit a genuine survival function for the Canterbury region.</w:t>
            </w:r>
          </w:p>
        </w:tc>
        <w:tc>
          <w:tcPr>
            <w:tcW w:type="dxa" w:w="3685"/>
          </w:tcPr>
          <w:p>
            <w:r>
              <w:rPr>
                <w:sz w:val="20"/>
              </w:rPr>
              <w:t>Survival probability is currently fixed at 1.0 for Canterbury; no mortality is modelled for that region.</w:t>
            </w:r>
          </w:p>
        </w:tc>
        <w:tc>
          <w:tcPr>
            <w:tcW w:type="dxa" w:w="1134"/>
          </w:tcPr>
          <w:p>
            <w:r>
              <w:rPr>
                <w:b/>
                <w:color w:val="C0392B"/>
              </w:rPr>
              <w:t>High</w:t>
            </w:r>
          </w:p>
        </w:tc>
      </w:tr>
      <w:tr>
        <w:tc>
          <w:tcPr>
            <w:tcW w:type="dxa" w:w="680"/>
          </w:tcPr>
          <w:p>
            <w:r>
              <w:rPr>
                <w:sz w:val="20"/>
              </w:rPr>
              <w:t>7</w:t>
            </w:r>
          </w:p>
        </w:tc>
        <w:tc>
          <w:tcPr>
            <w:tcW w:type="dxa" w:w="4535"/>
          </w:tcPr>
          <w:p>
            <w:r>
              <w:rPr>
                <w:sz w:val="20"/>
              </w:rPr>
              <w:t>Refit region-specific coefficients for the Westland survival function.</w:t>
            </w:r>
          </w:p>
        </w:tc>
        <w:tc>
          <w:tcPr>
            <w:tcW w:type="dxa" w:w="3685"/>
          </w:tcPr>
          <w:p>
            <w:r>
              <w:rPr>
                <w:sz w:val="20"/>
              </w:rPr>
              <w:t>Westland currently reuses Nelson's fitted coefficients for the change-in-potential-mean-top-diameter term.</w:t>
            </w:r>
          </w:p>
        </w:tc>
        <w:tc>
          <w:tcPr>
            <w:tcW w:type="dxa" w:w="1134"/>
          </w:tcPr>
          <w:p>
            <w:r>
              <w:rPr>
                <w:b/>
                <w:color w:val="B5651D"/>
              </w:rPr>
              <w:t>Medium</w:t>
            </w:r>
          </w:p>
        </w:tc>
      </w:tr>
      <w:tr>
        <w:tc>
          <w:tcPr>
            <w:tcW w:type="dxa" w:w="680"/>
          </w:tcPr>
          <w:p>
            <w:r>
              <w:rPr>
                <w:sz w:val="20"/>
              </w:rPr>
              <w:t>8</w:t>
            </w:r>
          </w:p>
        </w:tc>
        <w:tc>
          <w:tcPr>
            <w:tcW w:type="dxa" w:w="4535"/>
          </w:tcPr>
          <w:p>
            <w:r>
              <w:rPr>
                <w:sz w:val="20"/>
              </w:rPr>
              <w:t>Resolve or remove the missing change-in-potential-mean-top-diameter coefficients for Central North Island, Canterbury, and South.</w:t>
            </w:r>
          </w:p>
        </w:tc>
        <w:tc>
          <w:tcPr>
            <w:tcW w:type="dxa" w:w="3685"/>
          </w:tcPr>
          <w:p>
            <w:r>
              <w:rPr>
                <w:sz w:val="20"/>
              </w:rPr>
              <w:t>Currently unreachable in all present code paths, but represents an incomplete, unaudited implementation.</w:t>
            </w:r>
          </w:p>
        </w:tc>
        <w:tc>
          <w:tcPr>
            <w:tcW w:type="dxa" w:w="1134"/>
          </w:tcPr>
          <w:p>
            <w:r>
              <w:rPr>
                <w:b/>
                <w:color w:val="5A5A5A"/>
              </w:rPr>
              <w:t>Low</w:t>
            </w:r>
          </w:p>
        </w:tc>
      </w:tr>
      <w:tr>
        <w:tc>
          <w:tcPr>
            <w:tcW w:type="dxa" w:w="680"/>
          </w:tcPr>
          <w:p>
            <w:r>
              <w:rPr>
                <w:sz w:val="20"/>
              </w:rPr>
              <w:t>9</w:t>
            </w:r>
          </w:p>
        </w:tc>
        <w:tc>
          <w:tcPr>
            <w:tcW w:type="dxa" w:w="4535"/>
          </w:tcPr>
          <w:p>
            <w:r>
              <w:rPr>
                <w:sz w:val="20"/>
              </w:rPr>
              <w:t>Standardise the stand density term used in diameter increment equations.</w:t>
            </w:r>
          </w:p>
        </w:tc>
        <w:tc>
          <w:tcPr>
            <w:tcW w:type="dxa" w:w="3685"/>
          </w:tcPr>
          <w:p>
            <w:r>
              <w:rPr>
                <w:sz w:val="20"/>
              </w:rPr>
              <w:t>Clay and sandy free-tillage soils use a relative spacing index while most other regions use Reineke's stand density index, with no stated rationale for the difference.</w:t>
            </w:r>
          </w:p>
        </w:tc>
        <w:tc>
          <w:tcPr>
            <w:tcW w:type="dxa" w:w="1134"/>
          </w:tcPr>
          <w:p>
            <w:r>
              <w:rPr>
                <w:b/>
                <w:color w:val="5A5A5A"/>
              </w:rPr>
              <w:t>Low</w:t>
            </w:r>
          </w:p>
        </w:tc>
      </w:tr>
    </w:tbl>
    <w:p/>
    <w:p>
      <w:pPr>
        <w:pStyle w:val="Heading1"/>
      </w:pPr>
      <w:r>
        <w:rPr>
          <w:color w:val="17324D"/>
        </w:rPr>
        <w:t>4. Improve the competition index</w:t>
      </w:r>
    </w:p>
    <w:p>
      <w:r>
        <w:rPr>
          <w:i w:val="0"/>
          <w:sz w:val="22"/>
        </w:rPr>
        <w:t>Basal area in larger trees is summed across the entire stand tree list, regardless of the spatial location of those trees within the stand, and with no correction for trees at the stand boundary.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80"/>
            <w:shd w:val="clear" w:color="auto" w:fill="2C5B8A"/>
          </w:tcPr>
          <w:p>
            <w:r>
              <w:rPr>
                <w:b/>
                <w:color w:val="FFFFFF"/>
                <w:sz w:val="21"/>
              </w:rPr>
              <w:t>#</w:t>
            </w:r>
          </w:p>
        </w:tc>
        <w:tc>
          <w:tcPr>
            <w:tcW w:type="dxa" w:w="4535"/>
            <w:shd w:val="clear" w:color="auto" w:fill="2C5B8A"/>
          </w:tcPr>
          <w:p>
            <w:r>
              <w:rPr>
                <w:b/>
                <w:color w:val="FFFFFF"/>
                <w:sz w:val="21"/>
              </w:rPr>
              <w:t>Task</w:t>
            </w:r>
          </w:p>
        </w:tc>
        <w:tc>
          <w:tcPr>
            <w:tcW w:type="dxa" w:w="3685"/>
            <w:shd w:val="clear" w:color="auto" w:fill="2C5B8A"/>
          </w:tcPr>
          <w:p>
            <w:r>
              <w:rPr>
                <w:b/>
                <w:color w:val="FFFFFF"/>
                <w:sz w:val="21"/>
              </w:rPr>
              <w:t>Rationale</w:t>
            </w:r>
          </w:p>
        </w:tc>
        <w:tc>
          <w:tcPr>
            <w:tcW w:type="dxa" w:w="1134"/>
            <w:shd w:val="clear" w:color="auto" w:fill="2C5B8A"/>
          </w:tcPr>
          <w:p>
            <w:r>
              <w:rPr>
                <w:b/>
                <w:color w:val="FFFFFF"/>
                <w:sz w:val="21"/>
              </w:rPr>
              <w:t>Priority</w:t>
            </w:r>
          </w:p>
        </w:tc>
      </w:tr>
      <w:tr>
        <w:tc>
          <w:tcPr>
            <w:tcW w:type="dxa" w:w="680"/>
          </w:tcPr>
          <w:p>
            <w:r>
              <w:rPr>
                <w:sz w:val="20"/>
              </w:rPr>
              <w:t>10</w:t>
            </w:r>
          </w:p>
        </w:tc>
        <w:tc>
          <w:tcPr>
            <w:tcW w:type="dxa" w:w="4535"/>
          </w:tcPr>
          <w:p>
            <w:r>
              <w:rPr>
                <w:sz w:val="20"/>
              </w:rPr>
              <w:t>Cap or weight the basal-area-in-larger-trees calculation by a realistic neighbourhood or plot-size proxy rather than pooling the entire tree list.</w:t>
            </w:r>
          </w:p>
        </w:tc>
        <w:tc>
          <w:tcPr>
            <w:tcW w:type="dxa" w:w="3685"/>
          </w:tcPr>
          <w:p>
            <w:r>
              <w:rPr>
                <w:sz w:val="20"/>
              </w:rPr>
              <w:t>Mitigates competition being counted between trees that are not spatially adjacent, and the lack of any edge-tree correction.</w:t>
            </w:r>
          </w:p>
        </w:tc>
        <w:tc>
          <w:tcPr>
            <w:tcW w:type="dxa" w:w="1134"/>
          </w:tcPr>
          <w:p>
            <w:r>
              <w:rPr>
                <w:b/>
                <w:color w:val="B5651D"/>
              </w:rPr>
              <w:t>Medium</w:t>
            </w:r>
          </w:p>
        </w:tc>
      </w:tr>
    </w:tbl>
    <w:p/>
    <w:p>
      <w:pPr>
        <w:pStyle w:val="Heading1"/>
      </w:pPr>
      <w:r>
        <w:rPr>
          <w:color w:val="17324D"/>
        </w:rPr>
        <w:t>5. Refine the potential growth curve</w:t>
      </w:r>
    </w:p>
    <w:p>
      <w:r>
        <w:rPr>
          <w:i w:val="0"/>
          <w:sz w:val="22"/>
        </w:rPr>
        <w:t>The guide curve used to project potential diameter and height is anchored on each tree's own current size, regardless of that tree's competitive history. A tree already suppressed for several years has its suppressed size projected forward as its potential trajectory.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80"/>
            <w:shd w:val="clear" w:color="auto" w:fill="2C5B8A"/>
          </w:tcPr>
          <w:p>
            <w:r>
              <w:rPr>
                <w:b/>
                <w:color w:val="FFFFFF"/>
                <w:sz w:val="21"/>
              </w:rPr>
              <w:t>#</w:t>
            </w:r>
          </w:p>
        </w:tc>
        <w:tc>
          <w:tcPr>
            <w:tcW w:type="dxa" w:w="4535"/>
            <w:shd w:val="clear" w:color="auto" w:fill="2C5B8A"/>
          </w:tcPr>
          <w:p>
            <w:r>
              <w:rPr>
                <w:b/>
                <w:color w:val="FFFFFF"/>
                <w:sz w:val="21"/>
              </w:rPr>
              <w:t>Task</w:t>
            </w:r>
          </w:p>
        </w:tc>
        <w:tc>
          <w:tcPr>
            <w:tcW w:type="dxa" w:w="3685"/>
            <w:shd w:val="clear" w:color="auto" w:fill="2C5B8A"/>
          </w:tcPr>
          <w:p>
            <w:r>
              <w:rPr>
                <w:b/>
                <w:color w:val="FFFFFF"/>
                <w:sz w:val="21"/>
              </w:rPr>
              <w:t>Rationale</w:t>
            </w:r>
          </w:p>
        </w:tc>
        <w:tc>
          <w:tcPr>
            <w:tcW w:type="dxa" w:w="1134"/>
            <w:shd w:val="clear" w:color="auto" w:fill="2C5B8A"/>
          </w:tcPr>
          <w:p>
            <w:r>
              <w:rPr>
                <w:b/>
                <w:color w:val="FFFFFF"/>
                <w:sz w:val="21"/>
              </w:rPr>
              <w:t>Priority</w:t>
            </w:r>
          </w:p>
        </w:tc>
      </w:tr>
      <w:tr>
        <w:tc>
          <w:tcPr>
            <w:tcW w:type="dxa" w:w="680"/>
          </w:tcPr>
          <w:p>
            <w:r>
              <w:rPr>
                <w:sz w:val="20"/>
              </w:rPr>
              <w:t>11</w:t>
            </w:r>
          </w:p>
        </w:tc>
        <w:tc>
          <w:tcPr>
            <w:tcW w:type="dxa" w:w="4535"/>
          </w:tcPr>
          <w:p>
            <w:r>
              <w:rPr>
                <w:sz w:val="20"/>
              </w:rPr>
              <w:t>Refit the guide curve using only dominant, co-dominant, or historically low-competition trees from permanent sample plot data.</w:t>
            </w:r>
          </w:p>
        </w:tc>
        <w:tc>
          <w:tcPr>
            <w:tcW w:type="dxa" w:w="3685"/>
          </w:tcPr>
          <w:p>
            <w:r>
              <w:rPr>
                <w:sz w:val="20"/>
              </w:rPr>
              <w:t>Produces a potential growth trajectory that represents genuine open-grown capacity rather than a trajectory already compromised by suppression.</w:t>
            </w:r>
          </w:p>
        </w:tc>
        <w:tc>
          <w:tcPr>
            <w:tcW w:type="dxa" w:w="1134"/>
          </w:tcPr>
          <w:p>
            <w:r>
              <w:rPr>
                <w:b/>
                <w:color w:val="B5651D"/>
              </w:rPr>
              <w:t>Medium</w:t>
            </w:r>
          </w:p>
        </w:tc>
      </w:tr>
      <w:tr>
        <w:tc>
          <w:tcPr>
            <w:tcW w:type="dxa" w:w="680"/>
          </w:tcPr>
          <w:p>
            <w:r>
              <w:rPr>
                <w:sz w:val="20"/>
              </w:rPr>
              <w:t>12</w:t>
            </w:r>
          </w:p>
        </w:tc>
        <w:tc>
          <w:tcPr>
            <w:tcW w:type="dxa" w:w="4535"/>
          </w:tcPr>
          <w:p>
            <w:r>
              <w:rPr>
                <w:sz w:val="20"/>
              </w:rPr>
              <w:t>Anchor the guide curve on a plot or stand dominant cohort rather than each tree's own size.</w:t>
            </w:r>
          </w:p>
        </w:tc>
        <w:tc>
          <w:tcPr>
            <w:tcW w:type="dxa" w:w="3685"/>
          </w:tcPr>
          <w:p>
            <w:r>
              <w:rPr>
                <w:sz w:val="20"/>
              </w:rPr>
              <w:t>Consistent with how site index guide curves are conventionally constructed.</w:t>
            </w:r>
          </w:p>
        </w:tc>
        <w:tc>
          <w:tcPr>
            <w:tcW w:type="dxa" w:w="1134"/>
          </w:tcPr>
          <w:p>
            <w:r>
              <w:rPr>
                <w:b/>
                <w:color w:val="B5651D"/>
              </w:rPr>
              <w:t>Medium</w:t>
            </w:r>
          </w:p>
        </w:tc>
      </w:tr>
      <w:tr>
        <w:tc>
          <w:tcPr>
            <w:tcW w:type="dxa" w:w="680"/>
          </w:tcPr>
          <w:p>
            <w:r>
              <w:rPr>
                <w:sz w:val="20"/>
              </w:rPr>
              <w:t>13</w:t>
            </w:r>
          </w:p>
        </w:tc>
        <w:tc>
          <w:tcPr>
            <w:tcW w:type="dxa" w:w="4535"/>
          </w:tcPr>
          <w:p>
            <w:r>
              <w:rPr>
                <w:sz w:val="20"/>
              </w:rPr>
              <w:t>Validate release response using permanent sample plot data with pre-thin and post-thin remeasurements.</w:t>
            </w:r>
          </w:p>
        </w:tc>
        <w:tc>
          <w:tcPr>
            <w:tcW w:type="dxa" w:w="3685"/>
          </w:tcPr>
          <w:p>
            <w:r>
              <w:rPr>
                <w:sz w:val="20"/>
              </w:rPr>
              <w:t>Base-age-invariant guide curves anchored on suppressed size are known to respond slowly to reduced competition after thinning; this has not been tested for this model.</w:t>
            </w:r>
          </w:p>
        </w:tc>
        <w:tc>
          <w:tcPr>
            <w:tcW w:type="dxa" w:w="1134"/>
          </w:tcPr>
          <w:p>
            <w:r>
              <w:rPr>
                <w:b/>
                <w:color w:val="B5651D"/>
              </w:rPr>
              <w:t>Medium</w:t>
            </w:r>
          </w:p>
        </w:tc>
      </w:tr>
      <w:tr>
        <w:tc>
          <w:tcPr>
            <w:tcW w:type="dxa" w:w="680"/>
          </w:tcPr>
          <w:p>
            <w:r>
              <w:rPr>
                <w:sz w:val="20"/>
              </w:rPr>
              <w:t>14</w:t>
            </w:r>
          </w:p>
        </w:tc>
        <w:tc>
          <w:tcPr>
            <w:tcW w:type="dxa" w:w="4535"/>
          </w:tcPr>
          <w:p>
            <w:r>
              <w:rPr>
                <w:sz w:val="20"/>
              </w:rPr>
              <w:t>If release lag is confirmed, add a suppression-duration or growth-efficiency modifier term.</w:t>
            </w:r>
          </w:p>
        </w:tc>
        <w:tc>
          <w:tcPr>
            <w:tcW w:type="dxa" w:w="3685"/>
          </w:tcPr>
          <w:p>
            <w:r>
              <w:rPr>
                <w:sz w:val="20"/>
              </w:rPr>
              <w:t>The guide curve alone may not adequately capture post-thinning growth recovery.</w:t>
            </w:r>
          </w:p>
        </w:tc>
        <w:tc>
          <w:tcPr>
            <w:tcW w:type="dxa" w:w="1134"/>
          </w:tcPr>
          <w:p>
            <w:r>
              <w:rPr>
                <w:b/>
                <w:color w:val="5A5A5A"/>
              </w:rPr>
              <w:t>Low</w:t>
            </w:r>
          </w:p>
        </w:tc>
      </w:tr>
    </w:tbl>
    <w:p/>
    <w:p>
      <w:pPr>
        <w:pStyle w:val="Heading1"/>
      </w:pPr>
      <w:r>
        <w:rPr>
          <w:color w:val="17324D"/>
        </w:rPr>
        <w:t>6. Usability and adoption</w:t>
      </w:r>
    </w:p>
    <w:p>
      <w:r>
        <w:rPr>
          <w:i w:val="0"/>
          <w:sz w:val="22"/>
        </w:rPr>
        <w:t>The model has never been assigned to any shipped species set, function set, or regime, despite being licensed and instantiable, and carries data requirements that are unrelated to tree-list completeness.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80"/>
            <w:shd w:val="clear" w:color="auto" w:fill="2C5B8A"/>
          </w:tcPr>
          <w:p>
            <w:r>
              <w:rPr>
                <w:b/>
                <w:color w:val="FFFFFF"/>
                <w:sz w:val="21"/>
              </w:rPr>
              <w:t>#</w:t>
            </w:r>
          </w:p>
        </w:tc>
        <w:tc>
          <w:tcPr>
            <w:tcW w:type="dxa" w:w="4535"/>
            <w:shd w:val="clear" w:color="auto" w:fill="2C5B8A"/>
          </w:tcPr>
          <w:p>
            <w:r>
              <w:rPr>
                <w:b/>
                <w:color w:val="FFFFFF"/>
                <w:sz w:val="21"/>
              </w:rPr>
              <w:t>Task</w:t>
            </w:r>
          </w:p>
        </w:tc>
        <w:tc>
          <w:tcPr>
            <w:tcW w:type="dxa" w:w="3685"/>
            <w:shd w:val="clear" w:color="auto" w:fill="2C5B8A"/>
          </w:tcPr>
          <w:p>
            <w:r>
              <w:rPr>
                <w:b/>
                <w:color w:val="FFFFFF"/>
                <w:sz w:val="21"/>
              </w:rPr>
              <w:t>Rationale</w:t>
            </w:r>
          </w:p>
        </w:tc>
        <w:tc>
          <w:tcPr>
            <w:tcW w:type="dxa" w:w="1134"/>
            <w:shd w:val="clear" w:color="auto" w:fill="2C5B8A"/>
          </w:tcPr>
          <w:p>
            <w:r>
              <w:rPr>
                <w:b/>
                <w:color w:val="FFFFFF"/>
                <w:sz w:val="21"/>
              </w:rPr>
              <w:t>Priority</w:t>
            </w:r>
          </w:p>
        </w:tc>
      </w:tr>
      <w:tr>
        <w:tc>
          <w:tcPr>
            <w:tcW w:type="dxa" w:w="680"/>
          </w:tcPr>
          <w:p>
            <w:r>
              <w:rPr>
                <w:sz w:val="20"/>
              </w:rPr>
              <w:t>15</w:t>
            </w:r>
          </w:p>
        </w:tc>
        <w:tc>
          <w:tcPr>
            <w:tcW w:type="dxa" w:w="4535"/>
          </w:tcPr>
          <w:p>
            <w:r>
              <w:rPr>
                <w:sz w:val="20"/>
              </w:rPr>
              <w:t>Make the twelve monthly rainfall values optional, with a regional climate-normal fallback.</w:t>
            </w:r>
          </w:p>
        </w:tc>
        <w:tc>
          <w:tcPr>
            <w:tcW w:type="dxa" w:w="3685"/>
          </w:tcPr>
          <w:p>
            <w:r>
              <w:rPr>
                <w:sz w:val="20"/>
              </w:rPr>
              <w:t>Currently mandatory; the model throws an error if any of the twelve values is unset.</w:t>
            </w:r>
          </w:p>
        </w:tc>
        <w:tc>
          <w:tcPr>
            <w:tcW w:type="dxa" w:w="1134"/>
          </w:tcPr>
          <w:p>
            <w:r>
              <w:rPr>
                <w:b/>
                <w:color w:val="5A5A5A"/>
              </w:rPr>
              <w:t>Low</w:t>
            </w:r>
          </w:p>
        </w:tc>
      </w:tr>
      <w:tr>
        <w:tc>
          <w:tcPr>
            <w:tcW w:type="dxa" w:w="680"/>
          </w:tcPr>
          <w:p>
            <w:r>
              <w:rPr>
                <w:sz w:val="20"/>
              </w:rPr>
              <w:t>16</w:t>
            </w:r>
          </w:p>
        </w:tc>
        <w:tc>
          <w:tcPr>
            <w:tcW w:type="dxa" w:w="4535"/>
          </w:tcPr>
          <w:p>
            <w:r>
              <w:rPr>
                <w:sz w:val="20"/>
              </w:rPr>
              <w:t>Reassess the categorical 1 to 7 nitrogen and phosphorus foliar deficiency scores, replacing them with continuous measured values where available.</w:t>
            </w:r>
          </w:p>
        </w:tc>
        <w:tc>
          <w:tcPr>
            <w:tcW w:type="dxa" w:w="3685"/>
          </w:tcPr>
          <w:p>
            <w:r>
              <w:rPr>
                <w:sz w:val="20"/>
              </w:rPr>
              <w:t>Subjective categorical scores are an additional data burden most operational users will not maintain routinely.</w:t>
            </w:r>
          </w:p>
        </w:tc>
        <w:tc>
          <w:tcPr>
            <w:tcW w:type="dxa" w:w="1134"/>
          </w:tcPr>
          <w:p>
            <w:r>
              <w:rPr>
                <w:b/>
                <w:color w:val="5A5A5A"/>
              </w:rPr>
              <w:t>Low</w:t>
            </w:r>
          </w:p>
        </w:tc>
      </w:tr>
      <w:tr>
        <w:tc>
          <w:tcPr>
            <w:tcW w:type="dxa" w:w="680"/>
          </w:tcPr>
          <w:p>
            <w:r>
              <w:rPr>
                <w:sz w:val="20"/>
              </w:rPr>
              <w:t>17</w:t>
            </w:r>
          </w:p>
        </w:tc>
        <w:tc>
          <w:tcPr>
            <w:tcW w:type="dxa" w:w="4535"/>
          </w:tcPr>
          <w:p>
            <w:r>
              <w:rPr>
                <w:sz w:val="20"/>
              </w:rPr>
              <w:t>Assign the model to at least one demonstration species set, function set, or regime.</w:t>
            </w:r>
          </w:p>
        </w:tc>
        <w:tc>
          <w:tcPr>
            <w:tcW w:type="dxa" w:w="3685"/>
          </w:tcPr>
          <w:p>
            <w:r>
              <w:rPr>
                <w:sz w:val="20"/>
              </w:rPr>
              <w:t>The model is registered in the licensed growth model list and is reflection-instantiable, but no shipped reference configuration exercises it end-to-end.</w:t>
            </w:r>
          </w:p>
        </w:tc>
        <w:tc>
          <w:tcPr>
            <w:tcW w:type="dxa" w:w="1134"/>
          </w:tcPr>
          <w:p>
            <w:r>
              <w:rPr>
                <w:b/>
                <w:color w:val="5A5A5A"/>
              </w:rPr>
              <w:t>Low</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