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Individual Tree Growth Model (ITGM)</w:t>
      </w:r>
    </w:p>
    <w:p>
      <w:pPr>
        <w:jc w:val="center"/>
      </w:pPr>
      <w:r>
        <w:rPr>
          <w:color w:val="5A5A5A"/>
          <w:sz w:val="28"/>
        </w:rPr>
        <w:t>Process flow and mathematical formulation</w:t>
      </w:r>
    </w:p>
    <w:p>
      <w:pPr>
        <w:jc w:val="center"/>
      </w:pPr>
      <w:r>
        <w:rPr>
          <w:i/>
          <w:color w:val="5A5A5A"/>
          <w:sz w:val="21"/>
        </w:rPr>
        <w:t>Source: Forecaster / StandGrower / GrowthModels / ITGM.cs</w:t>
      </w:r>
    </w:p>
    <w:p/>
    <w:p>
      <w:pPr>
        <w:pStyle w:val="Heading1"/>
      </w:pPr>
      <w:r>
        <w:rPr>
          <w:color w:val="17324D"/>
        </w:rPr>
        <w:t>Overview</w:t>
      </w:r>
    </w:p>
    <w:p>
      <w:r>
        <w:rPr>
          <w:i w:val="0"/>
          <w:sz w:val="22"/>
        </w:rPr>
        <w:t>The individual tree growth model projects a forest stand through time by applying annual survival, stem diameter growth, and height growth functions to each tree recorded in the stand's tree list. The model is documented in Shula, R.G., Stand Growth Modelling Cooperative reports 58, 59, and 60, New Zealand Forest Research Institute. Growth and survival equations use fitted coefficients specific to eight New Zealand regions: Sands, Clay and sandy free-tillage soils, Central North Island, Canterbury, Hawke's Bay, Nelson, South, and Westland. The model projects forward only; backward growth is not supported.</w:t>
      </w:r>
    </w:p>
    <w:p>
      <w:pPr>
        <w:pStyle w:val="Heading1"/>
      </w:pPr>
      <w:r>
        <w:rPr>
          <w:color w:val="17324D"/>
        </w:rPr>
        <w:t>Process flow</w:t>
      </w:r>
    </w:p>
    <w:p>
      <w:pPr>
        <w:jc w:val="center"/>
      </w:pPr>
      <w:r>
        <w:drawing>
          <wp:inline xmlns:a="http://schemas.openxmlformats.org/drawingml/2006/main" xmlns:pic="http://schemas.openxmlformats.org/drawingml/2006/picture">
            <wp:extent cx="5940000" cy="10945617"/>
            <wp:docPr id="1" name="Picture 1"/>
            <wp:cNvGraphicFramePr>
              <a:graphicFrameLocks noChangeAspect="1"/>
            </wp:cNvGraphicFramePr>
            <a:graphic>
              <a:graphicData uri="http://schemas.openxmlformats.org/drawingml/2006/picture">
                <pic:pic>
                  <pic:nvPicPr>
                    <pic:cNvPr id="0" name="itgm_flowchart.png"/>
                    <pic:cNvPicPr/>
                  </pic:nvPicPr>
                  <pic:blipFill>
                    <a:blip r:embed="rId9"/>
                    <a:stretch>
                      <a:fillRect/>
                    </a:stretch>
                  </pic:blipFill>
                  <pic:spPr>
                    <a:xfrm>
                      <a:off x="0" y="0"/>
                      <a:ext cx="5940000" cy="10945617"/>
                    </a:xfrm>
                    <a:prstGeom prst="rect"/>
                  </pic:spPr>
                </pic:pic>
              </a:graphicData>
            </a:graphic>
          </wp:inline>
        </w:drawing>
      </w:r>
    </w:p>
    <w:p>
      <w:pPr>
        <w:pStyle w:val="Heading1"/>
      </w:pPr>
      <w:r>
        <w:rPr>
          <w:color w:val="17324D"/>
        </w:rPr>
        <w:t>Step-by-step description</w:t>
      </w:r>
    </w:p>
    <w:p>
      <w:pPr>
        <w:pStyle w:val="Heading2"/>
      </w:pPr>
      <w:r>
        <w:rPr>
          <w:color w:val="17324D"/>
        </w:rPr>
        <w:t>1. Stand initialisation</w:t>
      </w:r>
    </w:p>
    <w:p>
      <w:r>
        <w:rPr>
          <w:i w:val="0"/>
          <w:sz w:val="22"/>
        </w:rPr>
        <w:t>A stand object is created once, before the simulation begins, from the region code, site altitude, nitrogen and phosphorus nutrition scores, twelve monthly rainfall values, a mortality adjustment percentage, and the starting tree list (stem diameter at breast height, height, and stocking weighting for each tree).</w:t>
      </w:r>
    </w:p>
    <w:p>
      <w:pPr>
        <w:pStyle w:val="Heading2"/>
      </w:pPr>
      <w:r>
        <w:rPr>
          <w:color w:val="17324D"/>
        </w:rPr>
        <w:t>2. Annual growth loop</w:t>
      </w:r>
    </w:p>
    <w:p>
      <w:r>
        <w:rPr>
          <w:i w:val="0"/>
          <w:sz w:val="22"/>
        </w:rPr>
        <w:t>The stand is advanced one year at a time. Each annual step first validates that basal area, stocking, height, site index, and age fall within the warning limits defined for the model, and confirms site altitude falls between zero and 900 metres. Stand-level statistics (stocking, basal area, quadratic mean diameter, mean top diameter, mean top height) are then calculated from the current tree list.</w:t>
      </w:r>
    </w:p>
    <w:p>
      <w:pPr>
        <w:pStyle w:val="Heading2"/>
      </w:pPr>
      <w:r>
        <w:rPr>
          <w:color w:val="17324D"/>
        </w:rPr>
        <w:t>3. Per-tree growth calculations</w:t>
      </w:r>
    </w:p>
    <w:p>
      <w:r>
        <w:rPr>
          <w:i w:val="0"/>
          <w:sz w:val="22"/>
        </w:rPr>
        <w:t>For every tree in the stand, the model calculates the basal area held in trees larger than that tree, a measure of local competition. This competition measure, together with stand density, site nutrition, and rainfall, feeds three region-specific statistical functions: a survival probability that updates the tree's contribution to stand stocking, a diameter increment, and a height increment. Predicted height is bounded at a minimum of 1.4 metres. The exact form of each function is given in the Mathematical formulation section below.</w:t>
      </w:r>
    </w:p>
    <w:p>
      <w:pPr>
        <w:pStyle w:val="Heading2"/>
      </w:pPr>
      <w:r>
        <w:rPr>
          <w:color w:val="17324D"/>
        </w:rPr>
        <w:t>4. Apply updates and advance</w:t>
      </w:r>
    </w:p>
    <w:p>
      <w:r>
        <w:rPr>
          <w:i w:val="0"/>
          <w:sz w:val="22"/>
        </w:rPr>
        <w:t>Once every tree has been processed, the stored diameter increments and updated stocking weightings are applied to the tree list, the stand mean top height is recalculated, and the stand age is advanced by one year. The loop repeats until the target age or end date of the simulation is reached.</w:t>
      </w:r>
    </w:p>
    <w:p>
      <w:pPr>
        <w:pStyle w:val="Heading2"/>
      </w:pPr>
      <w:r>
        <w:rPr>
          <w:color w:val="17324D"/>
        </w:rPr>
        <w:t>5. Output</w:t>
      </w:r>
    </w:p>
    <w:p>
      <w:r>
        <w:rPr>
          <w:i w:val="0"/>
          <w:sz w:val="22"/>
        </w:rPr>
        <w:t>Each annual step yields an updated tree list (stem diameter, height, survival weighting) and updated stand summaries (basal area, stocking, mean top height, quadratic mean diameter). These outputs feed downstream modules, including volume, log product, and economic calculations.</w:t>
      </w:r>
    </w:p>
    <w:p>
      <w:r>
        <w:br w:type="page"/>
      </w:r>
    </w:p>
    <w:p>
      <w:pPr>
        <w:pStyle w:val="Heading1"/>
      </w:pPr>
      <w:r>
        <w:rPr>
          <w:color w:val="17324D"/>
        </w:rPr>
        <w:t>Mathematical formulation</w:t>
      </w:r>
    </w:p>
    <w:p>
      <w:r>
        <w:rPr>
          <w:i w:val="0"/>
          <w:sz w:val="22"/>
        </w:rPr>
        <w:t>This section gives the exact equations implemented in the model, translated from source code into standard mathematical notation. All equations are specific to this model as currently implemented; coefficients are fitted independently for each of the eight regions unless stated otherwise.</w:t>
      </w:r>
    </w:p>
    <w:p>
      <w:pPr>
        <w:pStyle w:val="Heading2"/>
      </w:pPr>
      <w:r>
        <w:rPr>
          <w:color w:val="17324D"/>
        </w:rPr>
        <w:t>Notation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2C5B8A"/>
          </w:tcPr>
          <w:p>
            <w:r>
              <w:rPr>
                <w:b/>
                <w:color w:val="FFFFFF"/>
                <w:sz w:val="20"/>
              </w:rPr>
              <w:t>Symbol</w:t>
            </w:r>
          </w:p>
        </w:tc>
        <w:tc>
          <w:tcPr>
            <w:tcW w:type="dxa" w:w="5953"/>
            <w:shd w:val="clear" w:color="auto" w:fill="2C5B8A"/>
          </w:tcPr>
          <w:p>
            <w:r>
              <w:rPr>
                <w:b/>
                <w:color w:val="FFFFFF"/>
                <w:sz w:val="20"/>
              </w:rPr>
              <w:t>Meaning</w:t>
            </w:r>
          </w:p>
        </w:tc>
        <w:tc>
          <w:tcPr>
            <w:tcW w:type="dxa" w:w="2154"/>
            <w:shd w:val="clear" w:color="auto" w:fill="2C5B8A"/>
          </w:tcPr>
          <w:p>
            <w:r>
              <w:rPr>
                <w:b/>
                <w:color w:val="FFFFFF"/>
                <w:sz w:val="20"/>
              </w:rPr>
              <w:t>Units</w:t>
            </w:r>
          </w:p>
        </w:tc>
      </w:tr>
      <w:tr>
        <w:tc>
          <w:tcPr>
            <w:tcW w:type="dxa" w:w="1701"/>
          </w:tcPr>
          <w:p>
            <w:r>
              <w:rPr>
                <w:sz w:val="19"/>
              </w:rPr>
              <w:t>N</w:t>
            </w:r>
          </w:p>
        </w:tc>
        <w:tc>
          <w:tcPr>
            <w:tcW w:type="dxa" w:w="5953"/>
          </w:tcPr>
          <w:p>
            <w:r>
              <w:rPr>
                <w:sz w:val="19"/>
              </w:rPr>
              <w:t>Stand stocking</w:t>
            </w:r>
          </w:p>
        </w:tc>
        <w:tc>
          <w:tcPr>
            <w:tcW w:type="dxa" w:w="2154"/>
          </w:tcPr>
          <w:p>
            <w:r>
              <w:rPr>
                <w:sz w:val="19"/>
              </w:rPr>
              <w:t>stems / ha</w:t>
            </w:r>
          </w:p>
        </w:tc>
      </w:tr>
      <w:tr>
        <w:tc>
          <w:tcPr>
            <w:tcW w:type="dxa" w:w="1701"/>
          </w:tcPr>
          <w:p>
            <w:r>
              <w:rPr>
                <w:sz w:val="19"/>
              </w:rPr>
              <w:t>G</w:t>
            </w:r>
          </w:p>
        </w:tc>
        <w:tc>
          <w:tcPr>
            <w:tcW w:type="dxa" w:w="5953"/>
          </w:tcPr>
          <w:p>
            <w:r>
              <w:rPr>
                <w:sz w:val="19"/>
              </w:rPr>
              <w:t>Stand basal area</w:t>
            </w:r>
          </w:p>
        </w:tc>
        <w:tc>
          <w:tcPr>
            <w:tcW w:type="dxa" w:w="2154"/>
          </w:tcPr>
          <w:p>
            <w:r>
              <w:rPr>
                <w:sz w:val="19"/>
              </w:rPr>
              <w:t>m² / ha</w:t>
            </w:r>
          </w:p>
        </w:tc>
      </w:tr>
      <w:tr>
        <w:tc>
          <w:tcPr>
            <w:tcW w:type="dxa" w:w="1701"/>
          </w:tcPr>
          <w:p>
            <w:r>
              <w:rPr>
                <w:sz w:val="19"/>
              </w:rPr>
              <w:t>QMD</w:t>
            </w:r>
          </w:p>
        </w:tc>
        <w:tc>
          <w:tcPr>
            <w:tcW w:type="dxa" w:w="5953"/>
          </w:tcPr>
          <w:p>
            <w:r>
              <w:rPr>
                <w:sz w:val="19"/>
              </w:rPr>
              <w:t>Quadratic mean diameter</w:t>
            </w:r>
          </w:p>
        </w:tc>
        <w:tc>
          <w:tcPr>
            <w:tcW w:type="dxa" w:w="2154"/>
          </w:tcPr>
          <w:p>
            <w:r>
              <w:rPr>
                <w:sz w:val="19"/>
              </w:rPr>
              <w:t>cm</w:t>
            </w:r>
          </w:p>
        </w:tc>
      </w:tr>
      <w:tr>
        <w:tc>
          <w:tcPr>
            <w:tcW w:type="dxa" w:w="1701"/>
          </w:tcPr>
          <w:p>
            <w:r>
              <w:rPr>
                <w:sz w:val="19"/>
              </w:rPr>
              <w:t>MTD</w:t>
            </w:r>
          </w:p>
        </w:tc>
        <w:tc>
          <w:tcPr>
            <w:tcW w:type="dxa" w:w="5953"/>
          </w:tcPr>
          <w:p>
            <w:r>
              <w:rPr>
                <w:sz w:val="19"/>
              </w:rPr>
              <w:t>Mean top diameter (mean of the 100 largest-diameter stems per ha)</w:t>
            </w:r>
          </w:p>
        </w:tc>
        <w:tc>
          <w:tcPr>
            <w:tcW w:type="dxa" w:w="2154"/>
          </w:tcPr>
          <w:p>
            <w:r>
              <w:rPr>
                <w:sz w:val="19"/>
              </w:rPr>
              <w:t>cm</w:t>
            </w:r>
          </w:p>
        </w:tc>
      </w:tr>
      <w:tr>
        <w:tc>
          <w:tcPr>
            <w:tcW w:type="dxa" w:w="1701"/>
          </w:tcPr>
          <w:p>
            <w:r>
              <w:rPr>
                <w:sz w:val="19"/>
              </w:rPr>
              <w:t>MTH</w:t>
            </w:r>
          </w:p>
        </w:tc>
        <w:tc>
          <w:tcPr>
            <w:tcW w:type="dxa" w:w="5953"/>
          </w:tcPr>
          <w:p>
            <w:r>
              <w:rPr>
                <w:sz w:val="19"/>
              </w:rPr>
              <w:t>Mean top height</w:t>
            </w:r>
          </w:p>
        </w:tc>
        <w:tc>
          <w:tcPr>
            <w:tcW w:type="dxa" w:w="2154"/>
          </w:tcPr>
          <w:p>
            <w:r>
              <w:rPr>
                <w:sz w:val="19"/>
              </w:rPr>
              <w:t>m</w:t>
            </w:r>
          </w:p>
        </w:tc>
      </w:tr>
      <w:tr>
        <w:tc>
          <w:tcPr>
            <w:tcW w:type="dxa" w:w="1701"/>
          </w:tcPr>
          <w:p>
            <w:r>
              <w:rPr>
                <w:sz w:val="19"/>
              </w:rPr>
              <w:t>Age</w:t>
            </w:r>
          </w:p>
        </w:tc>
        <w:tc>
          <w:tcPr>
            <w:tcW w:type="dxa" w:w="5953"/>
          </w:tcPr>
          <w:p>
            <w:r>
              <w:rPr>
                <w:sz w:val="19"/>
              </w:rPr>
              <w:t>Stand age</w:t>
            </w:r>
          </w:p>
        </w:tc>
        <w:tc>
          <w:tcPr>
            <w:tcW w:type="dxa" w:w="2154"/>
          </w:tcPr>
          <w:p>
            <w:r>
              <w:rPr>
                <w:sz w:val="19"/>
              </w:rPr>
              <w:t>years</w:t>
            </w:r>
          </w:p>
        </w:tc>
      </w:tr>
      <w:tr>
        <w:tc>
          <w:tcPr>
            <w:tcW w:type="dxa" w:w="1701"/>
          </w:tcPr>
          <w:p>
            <w:r>
              <w:rPr>
                <w:sz w:val="19"/>
              </w:rPr>
              <w:t>D</w:t>
            </w:r>
          </w:p>
        </w:tc>
        <w:tc>
          <w:tcPr>
            <w:tcW w:type="dxa" w:w="5953"/>
          </w:tcPr>
          <w:p>
            <w:r>
              <w:rPr>
                <w:sz w:val="19"/>
              </w:rPr>
              <w:t>Individual tree diameter at breast height</w:t>
            </w:r>
          </w:p>
        </w:tc>
        <w:tc>
          <w:tcPr>
            <w:tcW w:type="dxa" w:w="2154"/>
          </w:tcPr>
          <w:p>
            <w:r>
              <w:rPr>
                <w:sz w:val="19"/>
              </w:rPr>
              <w:t>cm</w:t>
            </w:r>
          </w:p>
        </w:tc>
      </w:tr>
      <w:tr>
        <w:tc>
          <w:tcPr>
            <w:tcW w:type="dxa" w:w="1701"/>
          </w:tcPr>
          <w:p>
            <w:r>
              <w:rPr>
                <w:sz w:val="19"/>
              </w:rPr>
              <w:t>Dₘₘ</w:t>
            </w:r>
          </w:p>
        </w:tc>
        <w:tc>
          <w:tcPr>
            <w:tcW w:type="dxa" w:w="5953"/>
          </w:tcPr>
          <w:p>
            <w:r>
              <w:rPr>
                <w:sz w:val="19"/>
              </w:rPr>
              <w:t>Individual tree diameter at breast height</w:t>
            </w:r>
          </w:p>
        </w:tc>
        <w:tc>
          <w:tcPr>
            <w:tcW w:type="dxa" w:w="2154"/>
          </w:tcPr>
          <w:p>
            <w:r>
              <w:rPr>
                <w:sz w:val="19"/>
              </w:rPr>
              <w:t>mm (= D × 10)</w:t>
            </w:r>
          </w:p>
        </w:tc>
      </w:tr>
      <w:tr>
        <w:tc>
          <w:tcPr>
            <w:tcW w:type="dxa" w:w="1701"/>
          </w:tcPr>
          <w:p>
            <w:r>
              <w:rPr>
                <w:sz w:val="19"/>
              </w:rPr>
              <w:t>H</w:t>
            </w:r>
          </w:p>
        </w:tc>
        <w:tc>
          <w:tcPr>
            <w:tcW w:type="dxa" w:w="5953"/>
          </w:tcPr>
          <w:p>
            <w:r>
              <w:rPr>
                <w:sz w:val="19"/>
              </w:rPr>
              <w:t>Individual tree height</w:t>
            </w:r>
          </w:p>
        </w:tc>
        <w:tc>
          <w:tcPr>
            <w:tcW w:type="dxa" w:w="2154"/>
          </w:tcPr>
          <w:p>
            <w:r>
              <w:rPr>
                <w:sz w:val="19"/>
              </w:rPr>
              <w:t>m</w:t>
            </w:r>
          </w:p>
        </w:tc>
      </w:tr>
      <w:tr>
        <w:tc>
          <w:tcPr>
            <w:tcW w:type="dxa" w:w="1701"/>
          </w:tcPr>
          <w:p>
            <w:r>
              <w:rPr>
                <w:sz w:val="19"/>
              </w:rPr>
              <w:t>BAL</w:t>
            </w:r>
          </w:p>
        </w:tc>
        <w:tc>
          <w:tcPr>
            <w:tcW w:type="dxa" w:w="5953"/>
          </w:tcPr>
          <w:p>
            <w:r>
              <w:rPr>
                <w:sz w:val="19"/>
              </w:rPr>
              <w:t>Basal area in trees larger than the subject tree (competition index)</w:t>
            </w:r>
          </w:p>
        </w:tc>
        <w:tc>
          <w:tcPr>
            <w:tcW w:type="dxa" w:w="2154"/>
          </w:tcPr>
          <w:p>
            <w:r>
              <w:rPr>
                <w:sz w:val="19"/>
              </w:rPr>
              <w:t>m² / ha</w:t>
            </w:r>
          </w:p>
        </w:tc>
      </w:tr>
      <w:tr>
        <w:tc>
          <w:tcPr>
            <w:tcW w:type="dxa" w:w="1701"/>
          </w:tcPr>
          <w:p>
            <w:r>
              <w:rPr>
                <w:sz w:val="19"/>
              </w:rPr>
              <w:t>SDI</w:t>
            </w:r>
          </w:p>
        </w:tc>
        <w:tc>
          <w:tcPr>
            <w:tcW w:type="dxa" w:w="5953"/>
          </w:tcPr>
          <w:p>
            <w:r>
              <w:rPr>
                <w:sz w:val="19"/>
              </w:rPr>
              <w:t>Reineke stand density index</w:t>
            </w:r>
          </w:p>
        </w:tc>
        <w:tc>
          <w:tcPr>
            <w:tcW w:type="dxa" w:w="2154"/>
          </w:tcPr>
          <w:p>
            <w:r>
              <w:rPr>
                <w:sz w:val="19"/>
              </w:rPr>
              <w:t>index</w:t>
            </w:r>
          </w:p>
        </w:tc>
      </w:tr>
      <w:tr>
        <w:tc>
          <w:tcPr>
            <w:tcW w:type="dxa" w:w="1701"/>
          </w:tcPr>
          <w:p>
            <w:r>
              <w:rPr>
                <w:sz w:val="19"/>
              </w:rPr>
              <w:t>RS</w:t>
            </w:r>
          </w:p>
        </w:tc>
        <w:tc>
          <w:tcPr>
            <w:tcW w:type="dxa" w:w="5953"/>
          </w:tcPr>
          <w:p>
            <w:r>
              <w:rPr>
                <w:sz w:val="19"/>
              </w:rPr>
              <w:t>Relative spacing index (Clay/SFT diameter equation only)</w:t>
            </w:r>
          </w:p>
        </w:tc>
        <w:tc>
          <w:tcPr>
            <w:tcW w:type="dxa" w:w="2154"/>
          </w:tcPr>
          <w:p>
            <w:r>
              <w:rPr>
                <w:sz w:val="19"/>
              </w:rPr>
              <w:t>index</w:t>
            </w:r>
          </w:p>
        </w:tc>
      </w:tr>
      <w:tr>
        <w:tc>
          <w:tcPr>
            <w:tcW w:type="dxa" w:w="1701"/>
          </w:tcPr>
          <w:p>
            <w:r>
              <w:rPr>
                <w:sz w:val="19"/>
              </w:rPr>
              <w:t>RD</w:t>
            </w:r>
          </w:p>
        </w:tc>
        <w:tc>
          <w:tcPr>
            <w:tcW w:type="dxa" w:w="5953"/>
          </w:tcPr>
          <w:p>
            <w:r>
              <w:rPr>
                <w:sz w:val="19"/>
              </w:rPr>
              <w:t>Stand density ratio, G / √QMD (Hawke's Bay diameter equation only)</w:t>
            </w:r>
          </w:p>
        </w:tc>
        <w:tc>
          <w:tcPr>
            <w:tcW w:type="dxa" w:w="2154"/>
          </w:tcPr>
          <w:p>
            <w:r>
              <w:rPr>
                <w:sz w:val="19"/>
              </w:rPr>
              <w:t>index</w:t>
            </w:r>
          </w:p>
        </w:tc>
      </w:tr>
      <w:tr>
        <w:tc>
          <w:tcPr>
            <w:tcW w:type="dxa" w:w="1701"/>
          </w:tcPr>
          <w:p>
            <w:r>
              <w:rPr>
                <w:sz w:val="19"/>
              </w:rPr>
              <w:t>N-score, P-score</w:t>
            </w:r>
          </w:p>
        </w:tc>
        <w:tc>
          <w:tcPr>
            <w:tcW w:type="dxa" w:w="5953"/>
          </w:tcPr>
          <w:p>
            <w:r>
              <w:rPr>
                <w:sz w:val="19"/>
              </w:rPr>
              <w:t>Foliar nitrogen / phosphorus deficiency score</w:t>
            </w:r>
          </w:p>
        </w:tc>
        <w:tc>
          <w:tcPr>
            <w:tcW w:type="dxa" w:w="2154"/>
          </w:tcPr>
          <w:p>
            <w:r>
              <w:rPr>
                <w:sz w:val="19"/>
              </w:rPr>
              <w:t>1 (deficient) to 7 (satisfactory)</w:t>
            </w:r>
          </w:p>
        </w:tc>
      </w:tr>
      <w:tr>
        <w:tc>
          <w:tcPr>
            <w:tcW w:type="dxa" w:w="1701"/>
          </w:tcPr>
          <w:p>
            <w:r>
              <w:rPr>
                <w:sz w:val="19"/>
              </w:rPr>
              <w:t>Rain_total, Rain_spring, Rain_summer</w:t>
            </w:r>
          </w:p>
        </w:tc>
        <w:tc>
          <w:tcPr>
            <w:tcW w:type="dxa" w:w="5953"/>
          </w:tcPr>
          <w:p>
            <w:r>
              <w:rPr>
                <w:sz w:val="19"/>
              </w:rPr>
              <w:t>Summed monthly rainfall over the relevant months</w:t>
            </w:r>
          </w:p>
        </w:tc>
        <w:tc>
          <w:tcPr>
            <w:tcW w:type="dxa" w:w="2154"/>
          </w:tcPr>
          <w:p>
            <w:r>
              <w:rPr>
                <w:sz w:val="19"/>
              </w:rPr>
              <w:t>mm</w:t>
            </w:r>
          </w:p>
        </w:tc>
      </w:tr>
      <w:tr>
        <w:tc>
          <w:tcPr>
            <w:tcW w:type="dxa" w:w="1701"/>
          </w:tcPr>
          <w:p>
            <w:r>
              <w:rPr>
                <w:sz w:val="19"/>
              </w:rPr>
              <w:t>ΔPDBH</w:t>
            </w:r>
          </w:p>
        </w:tc>
        <w:tc>
          <w:tcPr>
            <w:tcW w:type="dxa" w:w="5953"/>
          </w:tcPr>
          <w:p>
            <w:r>
              <w:rPr>
                <w:sz w:val="19"/>
              </w:rPr>
              <w:t>Potential one-year diameter change (diameter guide curve)</w:t>
            </w:r>
          </w:p>
        </w:tc>
        <w:tc>
          <w:tcPr>
            <w:tcW w:type="dxa" w:w="2154"/>
          </w:tcPr>
          <w:p>
            <w:r>
              <w:rPr>
                <w:sz w:val="19"/>
              </w:rPr>
              <w:t>cm</w:t>
            </w:r>
          </w:p>
        </w:tc>
      </w:tr>
      <w:tr>
        <w:tc>
          <w:tcPr>
            <w:tcW w:type="dxa" w:w="1701"/>
          </w:tcPr>
          <w:p>
            <w:r>
              <w:rPr>
                <w:sz w:val="19"/>
              </w:rPr>
              <w:t>ΔPMTD</w:t>
            </w:r>
          </w:p>
        </w:tc>
        <w:tc>
          <w:tcPr>
            <w:tcW w:type="dxa" w:w="5953"/>
          </w:tcPr>
          <w:p>
            <w:r>
              <w:rPr>
                <w:sz w:val="19"/>
              </w:rPr>
              <w:t>Potential one-year change used only in the survival function (survival guide curve)</w:t>
            </w:r>
          </w:p>
        </w:tc>
        <w:tc>
          <w:tcPr>
            <w:tcW w:type="dxa" w:w="2154"/>
          </w:tcPr>
          <w:p>
            <w:r>
              <w:rPr>
                <w:sz w:val="19"/>
              </w:rPr>
              <w:t>cm</w:t>
            </w:r>
          </w:p>
        </w:tc>
      </w:tr>
      <w:tr>
        <w:tc>
          <w:tcPr>
            <w:tcW w:type="dxa" w:w="1701"/>
          </w:tcPr>
          <w:p>
            <w:r>
              <w:rPr>
                <w:sz w:val="19"/>
              </w:rPr>
              <w:t>PotHt20</w:t>
            </w:r>
          </w:p>
        </w:tc>
        <w:tc>
          <w:tcPr>
            <w:tcW w:type="dxa" w:w="5953"/>
          </w:tcPr>
          <w:p>
            <w:r>
              <w:rPr>
                <w:sz w:val="19"/>
              </w:rPr>
              <w:t>Height the tree's current growth trajectory implies at a reference age of 20 years (height guide curve)</w:t>
            </w:r>
          </w:p>
        </w:tc>
        <w:tc>
          <w:tcPr>
            <w:tcW w:type="dxa" w:w="2154"/>
          </w:tcPr>
          <w:p>
            <w:r>
              <w:rPr>
                <w:sz w:val="19"/>
              </w:rPr>
              <w:t>m</w:t>
            </w:r>
          </w:p>
        </w:tc>
      </w:tr>
      <w:tr>
        <w:tc>
          <w:tcPr>
            <w:tcW w:type="dxa" w:w="1701"/>
          </w:tcPr>
          <w:p>
            <w:r>
              <w:rPr>
                <w:sz w:val="19"/>
              </w:rPr>
              <w:t>MortAdj</w:t>
            </w:r>
          </w:p>
        </w:tc>
        <w:tc>
          <w:tcPr>
            <w:tcW w:type="dxa" w:w="5953"/>
          </w:tcPr>
          <w:p>
            <w:r>
              <w:rPr>
                <w:sz w:val="19"/>
              </w:rPr>
              <w:t>Mortality adjustment multiplier = 1 + (mortality adjustment % / 100)</w:t>
            </w:r>
          </w:p>
        </w:tc>
        <w:tc>
          <w:tcPr>
            <w:tcW w:type="dxa" w:w="2154"/>
          </w:tcPr>
          <w:p>
            <w:r>
              <w:rPr>
                <w:sz w:val="19"/>
              </w:rPr>
              <w:t>dimensionless</w:t>
            </w:r>
          </w:p>
        </w:tc>
      </w:tr>
    </w:tbl>
    <w:p/>
    <w:p>
      <w:pPr>
        <w:pStyle w:val="Heading2"/>
      </w:pPr>
      <w:r>
        <w:rPr>
          <w:color w:val="17324D"/>
        </w:rPr>
        <w:t>Stand density and competition metrics</w:t>
      </w:r>
    </w:p>
    <w:p>
      <w:r>
        <w:rPr>
          <w:i w:val="0"/>
          <w:sz w:val="22"/>
        </w:rPr>
        <w:t>Reineke stand density index, bounded at a minimum of 1:</w:t>
      </w:r>
    </w:p>
    <w:p>
      <w:pPr>
        <w:spacing w:before="80" w:after="80"/>
        <w:ind w:left="340"/>
        <w:shd w:val="clear" w:color="auto" w:fill="F2F6FB"/>
      </w:pPr>
      <w:r>
        <w:rPr>
          <w:rFonts w:ascii="Consolas" w:hAnsi="Consolas"/>
          <w:color w:val="17324D"/>
          <w:sz w:val="21"/>
        </w:rPr>
        <w:t>SDI = max( round( 1.0147 × 10^( log₁₀(N) + 1.605×log₁₀(QMD) − 2.250 ) ), 1 )</w:t>
      </w:r>
    </w:p>
    <w:p>
      <w:r>
        <w:rPr>
          <w:i w:val="0"/>
          <w:sz w:val="22"/>
        </w:rPr>
        <w:t>Relative spacing index, used only in the Clay/SFT diameter increment equation:</w:t>
      </w:r>
    </w:p>
    <w:p>
      <w:pPr>
        <w:spacing w:before="80" w:after="80"/>
        <w:ind w:left="340"/>
        <w:shd w:val="clear" w:color="auto" w:fill="F2F6FB"/>
      </w:pPr>
      <w:r>
        <w:rPr>
          <w:rFonts w:ascii="Consolas" w:hAnsi="Consolas"/>
          <w:color w:val="17324D"/>
          <w:sz w:val="21"/>
        </w:rPr>
        <w:t>RS = 1000 / ( MTH × √N )</w:t>
      </w:r>
    </w:p>
    <w:p>
      <w:r>
        <w:rPr>
          <w:i w:val="0"/>
          <w:sz w:val="22"/>
        </w:rPr>
        <w:t>Basal area in larger trees, the competition index used throughout the model. It is calculated separately for every tree i as the summed basal area of all trees with a larger diameter, taken across the entire stand tree list with no distance weighting and no correction for trees at the stand boundary:</w:t>
      </w:r>
    </w:p>
    <w:p>
      <w:pPr>
        <w:spacing w:before="80" w:after="80"/>
        <w:ind w:left="340"/>
        <w:shd w:val="clear" w:color="auto" w:fill="F2F6FB"/>
      </w:pPr>
      <w:r>
        <w:rPr>
          <w:rFonts w:ascii="Consolas" w:hAnsi="Consolas"/>
          <w:color w:val="17324D"/>
          <w:sz w:val="21"/>
        </w:rPr>
        <w:t>BALᵢ = Σ Gⱼ   for every tree j in the stand with Dⱼ &gt; Dᵢ</w:t>
      </w:r>
    </w:p>
    <w:p>
      <w:pPr>
        <w:pStyle w:val="Heading2"/>
      </w:pPr>
      <w:r>
        <w:rPr>
          <w:color w:val="17324D"/>
        </w:rPr>
        <w:t>Potential growth guide curve</w:t>
      </w:r>
    </w:p>
    <w:p>
      <w:r>
        <w:rPr>
          <w:i w:val="0"/>
          <w:sz w:val="22"/>
        </w:rPr>
        <w:t>Three terms in the model, potential height, potential diameter change, and the survival function's potential change term, use the same base-age-invariant algebraic-difference form. Each is applied to a tree's own current size and age, with region-specific fitted constants a and b. Given a size S1 at age1, the predicted size S2 at age2 is:</w:t>
      </w:r>
    </w:p>
    <w:p>
      <w:pPr>
        <w:spacing w:before="80" w:after="80"/>
        <w:ind w:left="340"/>
        <w:shd w:val="clear" w:color="auto" w:fill="F2F6FB"/>
      </w:pPr>
      <w:r>
        <w:rPr>
          <w:rFonts w:ascii="Consolas" w:hAnsi="Consolas"/>
          <w:color w:val="17324D"/>
          <w:sz w:val="21"/>
        </w:rPr>
        <w:t>S2 = S0 + exp( a + b × exp( ln[ (ln(S1 − S0) − a) / b ] × ln(age2)/ln(age1) ) )</w:t>
      </w:r>
    </w:p>
    <w:p>
      <w:r>
        <w:rPr>
          <w:i w:val="0"/>
          <w:sz w:val="22"/>
        </w:rPr>
        <w:t>S0 is zero for diameter and 1.37 m (breast height) for height. Three instances of this form are independently fitted:</w:t>
      </w:r>
    </w:p>
    <w:p>
      <w:r>
        <w:rPr>
          <w:i w:val="0"/>
          <w:sz w:val="21"/>
        </w:rPr>
        <w:t>1. Potential height at reference age 20 (PotHt20): S1 = H, age1 = Age, age2 = 20, S0 = 1.37 m. This rebases the tree's current height trajectory to a common reference age; it is a covariate representing inherent growth vigour, not a forecast of next year's height.</w:t>
      </w:r>
    </w:p>
    <w:p>
      <w:r>
        <w:rPr>
          <w:i w:val="0"/>
          <w:sz w:val="21"/>
        </w:rPr>
        <w:t>2. Potential diameter change (ΔPDBH): S1 = D, age1 = Age, age2 = Age + 1, S0 = 0. ΔPDBH = S2 − D. Used in the diameter increment equation.</w:t>
      </w:r>
    </w:p>
    <w:p>
      <w:r>
        <w:rPr>
          <w:i w:val="0"/>
          <w:sz w:val="21"/>
        </w:rPr>
        <w:t>3. Potential change in the survival function (ΔPMTD): a separately fitted instance of the same form (with the internal ratio bounded away from zero), S1 = D, age1 = Age, age2 = Age + 1. Used only in the survival probability equation. Not fitted for Central North Island, Canterbury, or South; Westland's survival function substitutes Nelson's fitted constants for this term.</w:t>
      </w:r>
    </w:p>
    <w:p>
      <w:pPr>
        <w:pStyle w:val="Heading2"/>
      </w:pPr>
      <w:r>
        <w:rPr>
          <w:color w:val="17324D"/>
        </w:rPr>
        <w:t>Survival probability</w:t>
      </w:r>
    </w:p>
    <w:p>
      <w:r>
        <w:rPr>
          <w:i w:val="0"/>
          <w:sz w:val="22"/>
        </w:rPr>
        <w:t>General logistic form:</w:t>
      </w:r>
    </w:p>
    <w:p>
      <w:pPr>
        <w:spacing w:before="80" w:after="80"/>
        <w:ind w:left="340"/>
        <w:shd w:val="clear" w:color="auto" w:fill="F2F6FB"/>
      </w:pPr>
      <w:r>
        <w:rPr>
          <w:rFonts w:ascii="Consolas" w:hAnsi="Consolas"/>
          <w:color w:val="17324D"/>
          <w:sz w:val="21"/>
        </w:rPr>
        <w:t>P(survive) = 1 / ( 1 + exp( a0 + a1×f1(SDI) + a2×ΔPMTD + a3×(D/QMD)^a4 ) )</w:t>
      </w:r>
    </w:p>
    <w:p>
      <w:r>
        <w:rPr>
          <w:i w:val="0"/>
          <w:sz w:val="22"/>
        </w:rPr>
        <w:t>Region-specific deviations from the general form:</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2C5B8A"/>
          </w:tcPr>
          <w:p>
            <w:r>
              <w:rPr>
                <w:b/>
                <w:color w:val="FFFFFF"/>
                <w:sz w:val="20"/>
              </w:rPr>
              <w:t>Region</w:t>
            </w:r>
          </w:p>
        </w:tc>
        <w:tc>
          <w:tcPr>
            <w:tcW w:type="dxa" w:w="6803"/>
            <w:shd w:val="clear" w:color="auto" w:fill="2C5B8A"/>
          </w:tcPr>
          <w:p>
            <w:r>
              <w:rPr>
                <w:b/>
                <w:color w:val="FFFFFF"/>
                <w:sz w:val="20"/>
              </w:rPr>
              <w:t>Form used</w:t>
            </w:r>
          </w:p>
        </w:tc>
      </w:tr>
      <w:tr>
        <w:tc>
          <w:tcPr>
            <w:tcW w:type="dxa" w:w="2551"/>
          </w:tcPr>
          <w:p>
            <w:r>
              <w:rPr>
                <w:sz w:val="19"/>
              </w:rPr>
              <w:t>Sands, Clay/SFT, Hawke's Bay</w:t>
            </w:r>
          </w:p>
        </w:tc>
        <w:tc>
          <w:tcPr>
            <w:tcW w:type="dxa" w:w="6803"/>
          </w:tcPr>
          <w:p>
            <w:r>
              <w:rPr>
                <w:sz w:val="19"/>
              </w:rPr>
              <w:t>General form; f1(SDI) = ln(SDI)</w:t>
            </w:r>
          </w:p>
        </w:tc>
      </w:tr>
      <w:tr>
        <w:tc>
          <w:tcPr>
            <w:tcW w:type="dxa" w:w="2551"/>
          </w:tcPr>
          <w:p>
            <w:r>
              <w:rPr>
                <w:sz w:val="19"/>
              </w:rPr>
              <w:t>Central North Island</w:t>
            </w:r>
          </w:p>
        </w:tc>
        <w:tc>
          <w:tcPr>
            <w:tcW w:type="dxa" w:w="6803"/>
          </w:tcPr>
          <w:p>
            <w:r>
              <w:rPr>
                <w:sz w:val="19"/>
              </w:rPr>
              <w:t>f1(SDI) = ln(SDI); ΔPMTD term replaced by a2×√D</w:t>
            </w:r>
          </w:p>
        </w:tc>
      </w:tr>
      <w:tr>
        <w:tc>
          <w:tcPr>
            <w:tcW w:type="dxa" w:w="2551"/>
          </w:tcPr>
          <w:p>
            <w:r>
              <w:rPr>
                <w:sz w:val="19"/>
              </w:rPr>
              <w:t>Nelson, Westland</w:t>
            </w:r>
          </w:p>
        </w:tc>
        <w:tc>
          <w:tcPr>
            <w:tcW w:type="dxa" w:w="6803"/>
          </w:tcPr>
          <w:p>
            <w:r>
              <w:rPr>
                <w:sz w:val="19"/>
              </w:rPr>
              <w:t>f1(SDI) = √SDI; Westland's ΔPMTD uses Nelson's guide-curve constants</w:t>
            </w:r>
          </w:p>
        </w:tc>
      </w:tr>
      <w:tr>
        <w:tc>
          <w:tcPr>
            <w:tcW w:type="dxa" w:w="2551"/>
          </w:tcPr>
          <w:p>
            <w:r>
              <w:rPr>
                <w:sz w:val="19"/>
              </w:rPr>
              <w:t>South</w:t>
            </w:r>
          </w:p>
        </w:tc>
        <w:tc>
          <w:tcPr>
            <w:tcW w:type="dxa" w:w="6803"/>
          </w:tcPr>
          <w:p>
            <w:r>
              <w:rPr>
                <w:sz w:val="19"/>
              </w:rPr>
              <w:t>P = 1/(1+exp(a0 + a1×ln(G) + a2×ln(QMD) + a3×(D/QMD))); no SDI, ΔPMTD, or a4 term</w:t>
            </w:r>
          </w:p>
        </w:tc>
      </w:tr>
      <w:tr>
        <w:tc>
          <w:tcPr>
            <w:tcW w:type="dxa" w:w="2551"/>
          </w:tcPr>
          <w:p>
            <w:r>
              <w:rPr>
                <w:sz w:val="19"/>
              </w:rPr>
              <w:t>Canterbury</w:t>
            </w:r>
          </w:p>
        </w:tc>
        <w:tc>
          <w:tcPr>
            <w:tcW w:type="dxa" w:w="6803"/>
          </w:tcPr>
          <w:p>
            <w:r>
              <w:rPr>
                <w:sz w:val="19"/>
              </w:rPr>
              <w:t>P = 1.0 (fixed); no mortality is modelled for this region</w:t>
            </w:r>
          </w:p>
        </w:tc>
      </w:tr>
    </w:tbl>
    <w:p>
      <w:r>
        <w:rPr>
          <w:i w:val="0"/>
          <w:sz w:val="22"/>
        </w:rPr>
        <w:t>Applied to each tree's stocking weighting:</w:t>
      </w:r>
    </w:p>
    <w:p>
      <w:pPr>
        <w:spacing w:before="80" w:after="80"/>
        <w:ind w:left="340"/>
        <w:shd w:val="clear" w:color="auto" w:fill="F2F6FB"/>
      </w:pPr>
      <w:r>
        <w:rPr>
          <w:rFonts w:ascii="Consolas" w:hAnsi="Consolas"/>
          <w:color w:val="17324D"/>
          <w:sz w:val="21"/>
        </w:rPr>
        <w:t>new_weighting = old_weighting × P(survive) ^ MortAdj</w:t>
      </w:r>
    </w:p>
    <w:p>
      <w:pPr>
        <w:pStyle w:val="Heading2"/>
      </w:pPr>
      <w:r>
        <w:rPr>
          <w:color w:val="17324D"/>
        </w:rPr>
        <w:t>Diameter increment</w:t>
      </w:r>
    </w:p>
    <w:p>
      <w:r>
        <w:rPr>
          <w:i w:val="0"/>
          <w:sz w:val="22"/>
        </w:rPr>
        <w:t>General log-linear form; all terms are region-specific and summed inside a single exponential:</w:t>
      </w:r>
    </w:p>
    <w:p>
      <w:pPr>
        <w:spacing w:before="80" w:after="80"/>
        <w:ind w:left="340"/>
        <w:shd w:val="clear" w:color="auto" w:fill="F2F6FB"/>
      </w:pPr>
      <w:r>
        <w:rPr>
          <w:rFonts w:ascii="Consolas" w:hAnsi="Consolas"/>
          <w:color w:val="17324D"/>
          <w:sz w:val="21"/>
        </w:rPr>
        <w:t>ΔD = exp( Σ terms )     [cm / year]</w:t>
      </w:r>
    </w:p>
    <w:p>
      <w:r>
        <w:rPr>
          <w:i w:val="0"/>
          <w:sz w:val="22"/>
        </w:rPr>
        <w:t>Region-specific equations:</w:t>
      </w:r>
    </w:p>
    <w:p>
      <w:r>
        <w:rPr>
          <w:i w:val="0"/>
          <w:sz w:val="21"/>
        </w:rPr>
        <w:t>Sands:</w:t>
      </w:r>
    </w:p>
    <w:p>
      <w:pPr>
        <w:spacing w:before="80" w:after="80"/>
        <w:ind w:left="340"/>
        <w:shd w:val="clear" w:color="auto" w:fill="F2F6FB"/>
      </w:pPr>
      <w:r>
        <w:rPr>
          <w:rFonts w:ascii="Consolas" w:hAnsi="Consolas"/>
          <w:color w:val="17324D"/>
          <w:sz w:val="19"/>
        </w:rPr>
        <w:t>ΔD = exp( a0 + a1×(ΔPDBH)²×100 + a2×PotHt20 + a3×N-score×P-score×ln(Dₘₘ) + a4×ln(SDI) )</w:t>
      </w:r>
    </w:p>
    <w:p>
      <w:r>
        <w:rPr>
          <w:i w:val="0"/>
          <w:sz w:val="21"/>
        </w:rPr>
        <w:t>Clay/SFT:</w:t>
      </w:r>
    </w:p>
    <w:p>
      <w:pPr>
        <w:spacing w:before="80" w:after="80"/>
        <w:ind w:left="340"/>
        <w:shd w:val="clear" w:color="auto" w:fill="F2F6FB"/>
      </w:pPr>
      <w:r>
        <w:rPr>
          <w:rFonts w:ascii="Consolas" w:hAnsi="Consolas"/>
          <w:color w:val="17324D"/>
          <w:sz w:val="19"/>
        </w:rPr>
        <w:t>ΔD = exp( a0 + a1×(BAL/Dₘₘ)² + a2×N-score + a3×RS² + a4×ln(ΔPDBH×10) )</w:t>
      </w:r>
    </w:p>
    <w:p>
      <w:r>
        <w:rPr>
          <w:i w:val="0"/>
          <w:sz w:val="21"/>
        </w:rPr>
        <w:t>Central North Island:</w:t>
      </w:r>
    </w:p>
    <w:p>
      <w:pPr>
        <w:spacing w:before="80" w:after="80"/>
        <w:ind w:left="340"/>
        <w:shd w:val="clear" w:color="auto" w:fill="F2F6FB"/>
      </w:pPr>
      <w:r>
        <w:rPr>
          <w:rFonts w:ascii="Consolas" w:hAnsi="Consolas"/>
          <w:color w:val="17324D"/>
          <w:sz w:val="19"/>
        </w:rPr>
        <w:t>ΔD = exp( a0 + a1×ln[(ΔPDBH)²×100] + a2×(BAL/Dₘₘ)² + a3×ln(SDI) + a4×(N/100)×ln[(D/QMD)²] )</w:t>
      </w:r>
    </w:p>
    <w:p>
      <w:r>
        <w:rPr>
          <w:i w:val="0"/>
          <w:sz w:val="21"/>
        </w:rPr>
        <w:t>Canterbury:</w:t>
      </w:r>
    </w:p>
    <w:p>
      <w:pPr>
        <w:spacing w:before="80" w:after="80"/>
        <w:ind w:left="340"/>
        <w:shd w:val="clear" w:color="auto" w:fill="F2F6FB"/>
      </w:pPr>
      <w:r>
        <w:rPr>
          <w:rFonts w:ascii="Consolas" w:hAnsi="Consolas"/>
          <w:color w:val="17324D"/>
          <w:sz w:val="19"/>
        </w:rPr>
        <w:t>ΔD = exp( a0 + a1×(ΔPDBH)²×100 + a2×(BAL/Dₘₘ)² + a3×ln(SDI) + a4×Rain_total/Dₘₘ )</w:t>
      </w:r>
    </w:p>
    <w:p>
      <w:r>
        <w:rPr>
          <w:i w:val="0"/>
          <w:sz w:val="21"/>
        </w:rPr>
        <w:t>Hawke's Bay:</w:t>
      </w:r>
    </w:p>
    <w:p>
      <w:pPr>
        <w:spacing w:before="80" w:after="80"/>
        <w:ind w:left="340"/>
        <w:shd w:val="clear" w:color="auto" w:fill="F2F6FB"/>
      </w:pPr>
      <w:r>
        <w:rPr>
          <w:rFonts w:ascii="Consolas" w:hAnsi="Consolas"/>
          <w:color w:val="17324D"/>
          <w:sz w:val="19"/>
        </w:rPr>
        <w:t>ΔD = exp( a0 + a1×ln[(ΔPDBH)²×100] + a2×BAL/Dₘₘ + a3×ln(RD) + a4×ln(PotHt20) )   where RD = max(round(G/√QMD), 1)</w:t>
      </w:r>
    </w:p>
    <w:p>
      <w:r>
        <w:rPr>
          <w:i w:val="0"/>
          <w:sz w:val="21"/>
        </w:rPr>
        <w:t>Nelson:</w:t>
      </w:r>
    </w:p>
    <w:p>
      <w:pPr>
        <w:spacing w:before="80" w:after="80"/>
        <w:ind w:left="340"/>
        <w:shd w:val="clear" w:color="auto" w:fill="F2F6FB"/>
      </w:pPr>
      <w:r>
        <w:rPr>
          <w:rFonts w:ascii="Consolas" w:hAnsi="Consolas"/>
          <w:color w:val="17324D"/>
          <w:sz w:val="19"/>
        </w:rPr>
        <w:t>ΔD = exp( a0 + a1×ln[(ΔPDBH)²×100] + a2×(BAL/Dₘₘ)² + a3×ln(SDI²) )     (no a4 term)</w:t>
      </w:r>
    </w:p>
    <w:p>
      <w:r>
        <w:rPr>
          <w:i w:val="0"/>
          <w:sz w:val="21"/>
        </w:rPr>
        <w:t>South:</w:t>
      </w:r>
    </w:p>
    <w:p>
      <w:pPr>
        <w:spacing w:before="80" w:after="80"/>
        <w:ind w:left="340"/>
        <w:shd w:val="clear" w:color="auto" w:fill="F2F6FB"/>
      </w:pPr>
      <w:r>
        <w:rPr>
          <w:rFonts w:ascii="Consolas" w:hAnsi="Consolas"/>
          <w:color w:val="17324D"/>
          <w:sz w:val="19"/>
        </w:rPr>
        <w:t>ΔD = exp( a0 + a1×ln(PotHt20) + a2×(BAL/Dₘₘ)² + a3×ln(SDI) + a4×√[(Rain_spring+Rain_summer)/1000] )</w:t>
      </w:r>
    </w:p>
    <w:p>
      <w:r>
        <w:rPr>
          <w:i w:val="0"/>
          <w:sz w:val="21"/>
        </w:rPr>
        <w:t>Westland:</w:t>
      </w:r>
    </w:p>
    <w:p>
      <w:pPr>
        <w:spacing w:before="80" w:after="80"/>
        <w:ind w:left="340"/>
        <w:shd w:val="clear" w:color="auto" w:fill="F2F6FB"/>
      </w:pPr>
      <w:r>
        <w:rPr>
          <w:rFonts w:ascii="Consolas" w:hAnsi="Consolas"/>
          <w:color w:val="17324D"/>
          <w:sz w:val="19"/>
        </w:rPr>
        <w:t>ΔD = exp( a0 + a1×ln[(ΔPDBH)²×100] + a2×(BAL/Dₘₘ)² + a3×ln(SDI²) )     (same form as Nelson; independently fitted coefficients; no a4 term)</w:t>
      </w:r>
    </w:p>
    <w:p>
      <w:pPr>
        <w:pStyle w:val="Heading2"/>
      </w:pPr>
      <w:r>
        <w:rPr>
          <w:color w:val="17324D"/>
        </w:rPr>
        <w:t>Height increment</w:t>
      </w:r>
    </w:p>
    <w:p>
      <w:r>
        <w:rPr>
          <w:i w:val="0"/>
          <w:sz w:val="22"/>
        </w:rPr>
        <w:t>General form, applied to all regions except Westland:</w:t>
      </w:r>
    </w:p>
    <w:p>
      <w:pPr>
        <w:spacing w:before="80" w:after="80"/>
        <w:ind w:left="340"/>
        <w:shd w:val="clear" w:color="auto" w:fill="F2F6FB"/>
      </w:pPr>
      <w:r>
        <w:rPr>
          <w:rFonts w:ascii="Consolas" w:hAnsi="Consolas"/>
          <w:color w:val="17324D"/>
          <w:sz w:val="21"/>
        </w:rPr>
        <w:t>ΔH = exp( b0 + b1×[ln(Dₘₘ)]² + b2×(H²/1000) + b3×PotHt20 + b4×(BAL/Dₘₘ) + b5×MTD )</w:t>
      </w:r>
    </w:p>
    <w:p>
      <w:r>
        <w:rPr>
          <w:i w:val="0"/>
          <w:sz w:val="22"/>
        </w:rPr>
        <w:t>For Sands, Clay/SFT, Central North Island, Canterbury, Hawke's Bay, Nelson, and South: b1 = 0.029945726, b2 = -0.738212634, b3 = 0.029422499, b4 = -0.367425918, b5 = 0 (only b0 varies by region; see coefficient table below).</w:t>
      </w:r>
    </w:p>
    <w:p>
      <w:r>
        <w:rPr>
          <w:i w:val="0"/>
          <w:sz w:val="22"/>
        </w:rPr>
        <w:t>Westland is fitted separately from the other regions, dropping the diameter term and adding a mean-top-diameter term: b0 = -1.07448940, b1 = 0, b2 = -1.05357063, b3 = 0.03915247, b4 = -11.07650424, b5 = 0.02288922.</w:t>
      </w:r>
    </w:p>
    <w:p>
      <w:r>
        <w:rPr>
          <w:i w:val="0"/>
          <w:sz w:val="22"/>
        </w:rPr>
        <w:t>Resulting tree height is floored at a minimum of 1.4 m.</w:t>
      </w:r>
    </w:p>
    <w:p>
      <w:r>
        <w:br w:type="page"/>
      </w:r>
    </w:p>
    <w:p>
      <w:pPr>
        <w:pStyle w:val="Heading1"/>
      </w:pPr>
      <w:r>
        <w:rPr>
          <w:color w:val="17324D"/>
        </w:rPr>
        <w:t>Regional coefficient reference</w:t>
      </w:r>
    </w:p>
    <w:p>
      <w:r>
        <w:rPr>
          <w:i w:val="0"/>
          <w:sz w:val="22"/>
        </w:rPr>
        <w:t>Exact fitted coefficient values for each region, as implemented in the model. Where a coefficient is not used by a region's equation (see the functional forms above), the cell is left blank.</w:t>
      </w:r>
    </w:p>
    <w:p>
      <w:pPr>
        <w:pStyle w:val="Heading2"/>
      </w:pPr>
      <w:r>
        <w:rPr>
          <w:color w:val="17324D"/>
        </w:rPr>
        <w:t>Survival probability coefficients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28"/>
            <w:shd w:val="clear" w:color="auto" w:fill="2C5B8A"/>
          </w:tcPr>
          <w:p>
            <w:r>
              <w:rPr>
                <w:b/>
                <w:color w:val="FFFFFF"/>
                <w:sz w:val="20"/>
              </w:rPr>
              <w:t>Region</w:t>
            </w:r>
          </w:p>
        </w:tc>
        <w:tc>
          <w:tcPr>
            <w:tcW w:type="dxa" w:w="1247"/>
            <w:shd w:val="clear" w:color="auto" w:fill="2C5B8A"/>
          </w:tcPr>
          <w:p>
            <w:r>
              <w:rPr>
                <w:b/>
                <w:color w:val="FFFFFF"/>
                <w:sz w:val="20"/>
              </w:rPr>
              <w:t>a0</w:t>
            </w:r>
          </w:p>
        </w:tc>
        <w:tc>
          <w:tcPr>
            <w:tcW w:type="dxa" w:w="1247"/>
            <w:shd w:val="clear" w:color="auto" w:fill="2C5B8A"/>
          </w:tcPr>
          <w:p>
            <w:r>
              <w:rPr>
                <w:b/>
                <w:color w:val="FFFFFF"/>
                <w:sz w:val="20"/>
              </w:rPr>
              <w:t>a1</w:t>
            </w:r>
          </w:p>
        </w:tc>
        <w:tc>
          <w:tcPr>
            <w:tcW w:type="dxa" w:w="1247"/>
            <w:shd w:val="clear" w:color="auto" w:fill="2C5B8A"/>
          </w:tcPr>
          <w:p>
            <w:r>
              <w:rPr>
                <w:b/>
                <w:color w:val="FFFFFF"/>
                <w:sz w:val="20"/>
              </w:rPr>
              <w:t>a2</w:t>
            </w:r>
          </w:p>
        </w:tc>
        <w:tc>
          <w:tcPr>
            <w:tcW w:type="dxa" w:w="1247"/>
            <w:shd w:val="clear" w:color="auto" w:fill="2C5B8A"/>
          </w:tcPr>
          <w:p>
            <w:r>
              <w:rPr>
                <w:b/>
                <w:color w:val="FFFFFF"/>
                <w:sz w:val="20"/>
              </w:rPr>
              <w:t>a3</w:t>
            </w:r>
          </w:p>
        </w:tc>
        <w:tc>
          <w:tcPr>
            <w:tcW w:type="dxa" w:w="1247"/>
            <w:shd w:val="clear" w:color="auto" w:fill="2C5B8A"/>
          </w:tcPr>
          <w:p>
            <w:r>
              <w:rPr>
                <w:b/>
                <w:color w:val="FFFFFF"/>
                <w:sz w:val="20"/>
              </w:rPr>
              <w:t>a4</w:t>
            </w:r>
          </w:p>
        </w:tc>
      </w:tr>
      <w:tr>
        <w:tc>
          <w:tcPr>
            <w:tcW w:type="dxa" w:w="1928"/>
          </w:tcPr>
          <w:p>
            <w:r>
              <w:rPr>
                <w:sz w:val="19"/>
              </w:rPr>
              <w:t>Sands</w:t>
            </w:r>
          </w:p>
        </w:tc>
        <w:tc>
          <w:tcPr>
            <w:tcW w:type="dxa" w:w="1247"/>
          </w:tcPr>
          <w:p>
            <w:r>
              <w:rPr>
                <w:sz w:val="19"/>
              </w:rPr>
              <w:t>-10.72208175</w:t>
            </w:r>
          </w:p>
        </w:tc>
        <w:tc>
          <w:tcPr>
            <w:tcW w:type="dxa" w:w="1247"/>
          </w:tcPr>
          <w:p>
            <w:r>
              <w:rPr>
                <w:sz w:val="19"/>
              </w:rPr>
              <w:t>1.52145029</w:t>
            </w:r>
          </w:p>
        </w:tc>
        <w:tc>
          <w:tcPr>
            <w:tcW w:type="dxa" w:w="1247"/>
          </w:tcPr>
          <w:p>
            <w:r>
              <w:rPr>
                <w:sz w:val="19"/>
              </w:rPr>
              <w:t>0.16317220</w:t>
            </w:r>
          </w:p>
        </w:tc>
        <w:tc>
          <w:tcPr>
            <w:tcW w:type="dxa" w:w="1247"/>
          </w:tcPr>
          <w:p>
            <w:r>
              <w:rPr>
                <w:sz w:val="19"/>
              </w:rPr>
              <w:t>-4.60461630</w:t>
            </w:r>
          </w:p>
        </w:tc>
        <w:tc>
          <w:tcPr>
            <w:tcW w:type="dxa" w:w="1247"/>
          </w:tcPr>
          <w:p>
            <w:r>
              <w:rPr>
                <w:sz w:val="19"/>
              </w:rPr>
              <w:t>1.13832131</w:t>
            </w:r>
          </w:p>
        </w:tc>
      </w:tr>
      <w:tr>
        <w:tc>
          <w:tcPr>
            <w:tcW w:type="dxa" w:w="1928"/>
          </w:tcPr>
          <w:p>
            <w:r>
              <w:rPr>
                <w:sz w:val="19"/>
              </w:rPr>
              <w:t>Clay/SFT</w:t>
            </w:r>
          </w:p>
        </w:tc>
        <w:tc>
          <w:tcPr>
            <w:tcW w:type="dxa" w:w="1247"/>
          </w:tcPr>
          <w:p>
            <w:r>
              <w:rPr>
                <w:sz w:val="19"/>
              </w:rPr>
              <w:t>-22.75898099</w:t>
            </w:r>
          </w:p>
        </w:tc>
        <w:tc>
          <w:tcPr>
            <w:tcW w:type="dxa" w:w="1247"/>
          </w:tcPr>
          <w:p>
            <w:r>
              <w:rPr>
                <w:sz w:val="19"/>
              </w:rPr>
              <w:t>3.12334159</w:t>
            </w:r>
          </w:p>
        </w:tc>
        <w:tc>
          <w:tcPr>
            <w:tcW w:type="dxa" w:w="1247"/>
          </w:tcPr>
          <w:p>
            <w:r>
              <w:rPr>
                <w:sz w:val="19"/>
              </w:rPr>
              <w:t>0.28486687</w:t>
            </w:r>
          </w:p>
        </w:tc>
        <w:tc>
          <w:tcPr>
            <w:tcW w:type="dxa" w:w="1247"/>
          </w:tcPr>
          <w:p>
            <w:r>
              <w:rPr>
                <w:sz w:val="19"/>
              </w:rPr>
              <w:t>-5.71097836</w:t>
            </w:r>
          </w:p>
        </w:tc>
        <w:tc>
          <w:tcPr>
            <w:tcW w:type="dxa" w:w="1247"/>
          </w:tcPr>
          <w:p>
            <w:r>
              <w:rPr>
                <w:sz w:val="19"/>
              </w:rPr>
              <w:t>2.13913197</w:t>
            </w:r>
          </w:p>
        </w:tc>
      </w:tr>
      <w:tr>
        <w:tc>
          <w:tcPr>
            <w:tcW w:type="dxa" w:w="1928"/>
          </w:tcPr>
          <w:p>
            <w:r>
              <w:rPr>
                <w:sz w:val="19"/>
              </w:rPr>
              <w:t>Central North Island</w:t>
            </w:r>
          </w:p>
        </w:tc>
        <w:tc>
          <w:tcPr>
            <w:tcW w:type="dxa" w:w="1247"/>
          </w:tcPr>
          <w:p>
            <w:r>
              <w:rPr>
                <w:sz w:val="19"/>
              </w:rPr>
              <w:t>-8.787965743</w:t>
            </w:r>
          </w:p>
        </w:tc>
        <w:tc>
          <w:tcPr>
            <w:tcW w:type="dxa" w:w="1247"/>
          </w:tcPr>
          <w:p>
            <w:r>
              <w:rPr>
                <w:sz w:val="19"/>
              </w:rPr>
              <w:t>1.477285949</w:t>
            </w:r>
          </w:p>
        </w:tc>
        <w:tc>
          <w:tcPr>
            <w:tcW w:type="dxa" w:w="1247"/>
          </w:tcPr>
          <w:p>
            <w:r>
              <w:rPr>
                <w:sz w:val="19"/>
              </w:rPr>
              <w:t>-0.292327055</w:t>
            </w:r>
          </w:p>
        </w:tc>
        <w:tc>
          <w:tcPr>
            <w:tcW w:type="dxa" w:w="1247"/>
          </w:tcPr>
          <w:p>
            <w:r>
              <w:rPr>
                <w:sz w:val="19"/>
              </w:rPr>
              <w:t>-4.529255275</w:t>
            </w:r>
          </w:p>
        </w:tc>
        <w:tc>
          <w:tcPr>
            <w:tcW w:type="dxa" w:w="1247"/>
          </w:tcPr>
          <w:p>
            <w:r>
              <w:rPr>
                <w:sz w:val="19"/>
              </w:rPr>
              <w:t>1.194661794</w:t>
            </w:r>
          </w:p>
        </w:tc>
      </w:tr>
      <w:tr>
        <w:tc>
          <w:tcPr>
            <w:tcW w:type="dxa" w:w="1928"/>
          </w:tcPr>
          <w:p>
            <w:r>
              <w:rPr>
                <w:sz w:val="19"/>
              </w:rPr>
              <w:t>Canterbury</w:t>
            </w:r>
          </w:p>
        </w:tc>
        <w:tc>
          <w:tcPr>
            <w:tcW w:type="dxa" w:w="1247"/>
          </w:tcPr>
          <w:p>
            <w:r>
              <w:rPr>
                <w:sz w:val="19"/>
              </w:rPr>
            </w:r>
          </w:p>
        </w:tc>
        <w:tc>
          <w:tcPr>
            <w:tcW w:type="dxa" w:w="1247"/>
          </w:tcPr>
          <w:p>
            <w:r>
              <w:rPr>
                <w:sz w:val="19"/>
              </w:rPr>
            </w:r>
          </w:p>
        </w:tc>
        <w:tc>
          <w:tcPr>
            <w:tcW w:type="dxa" w:w="1247"/>
          </w:tcPr>
          <w:p>
            <w:r>
              <w:rPr>
                <w:sz w:val="19"/>
              </w:rPr>
              <w:t>fixed at P = 1.0</w:t>
            </w:r>
          </w:p>
        </w:tc>
        <w:tc>
          <w:tcPr>
            <w:tcW w:type="dxa" w:w="1247"/>
          </w:tcPr>
          <w:p>
            <w:r>
              <w:rPr>
                <w:sz w:val="19"/>
              </w:rPr>
            </w:r>
          </w:p>
        </w:tc>
        <w:tc>
          <w:tcPr>
            <w:tcW w:type="dxa" w:w="1247"/>
          </w:tcPr>
          <w:p>
            <w:r>
              <w:rPr>
                <w:sz w:val="19"/>
              </w:rPr>
            </w:r>
          </w:p>
        </w:tc>
      </w:tr>
      <w:tr>
        <w:tc>
          <w:tcPr>
            <w:tcW w:type="dxa" w:w="1928"/>
          </w:tcPr>
          <w:p>
            <w:r>
              <w:rPr>
                <w:sz w:val="19"/>
              </w:rPr>
              <w:t>Hawke's Bay</w:t>
            </w:r>
          </w:p>
        </w:tc>
        <w:tc>
          <w:tcPr>
            <w:tcW w:type="dxa" w:w="1247"/>
          </w:tcPr>
          <w:p>
            <w:r>
              <w:rPr>
                <w:sz w:val="19"/>
              </w:rPr>
              <w:t>-10.28405957</w:t>
            </w:r>
          </w:p>
        </w:tc>
        <w:tc>
          <w:tcPr>
            <w:tcW w:type="dxa" w:w="1247"/>
          </w:tcPr>
          <w:p>
            <w:r>
              <w:rPr>
                <w:sz w:val="19"/>
              </w:rPr>
              <w:t>1.24749751</w:t>
            </w:r>
          </w:p>
        </w:tc>
        <w:tc>
          <w:tcPr>
            <w:tcW w:type="dxa" w:w="1247"/>
          </w:tcPr>
          <w:p>
            <w:r>
              <w:rPr>
                <w:sz w:val="19"/>
              </w:rPr>
              <w:t>-0.03177930</w:t>
            </w:r>
          </w:p>
        </w:tc>
        <w:tc>
          <w:tcPr>
            <w:tcW w:type="dxa" w:w="1247"/>
          </w:tcPr>
          <w:p>
            <w:r>
              <w:rPr>
                <w:sz w:val="19"/>
              </w:rPr>
              <w:t>-3.87188406</w:t>
            </w:r>
          </w:p>
        </w:tc>
        <w:tc>
          <w:tcPr>
            <w:tcW w:type="dxa" w:w="1247"/>
          </w:tcPr>
          <w:p>
            <w:r>
              <w:rPr>
                <w:sz w:val="19"/>
              </w:rPr>
              <w:t>2.13966506</w:t>
            </w:r>
          </w:p>
        </w:tc>
      </w:tr>
      <w:tr>
        <w:tc>
          <w:tcPr>
            <w:tcW w:type="dxa" w:w="1928"/>
          </w:tcPr>
          <w:p>
            <w:r>
              <w:rPr>
                <w:sz w:val="19"/>
              </w:rPr>
              <w:t>Nelson</w:t>
            </w:r>
          </w:p>
        </w:tc>
        <w:tc>
          <w:tcPr>
            <w:tcW w:type="dxa" w:w="1247"/>
          </w:tcPr>
          <w:p>
            <w:r>
              <w:rPr>
                <w:sz w:val="19"/>
              </w:rPr>
              <w:t>-2.661304797</w:t>
            </w:r>
          </w:p>
        </w:tc>
        <w:tc>
          <w:tcPr>
            <w:tcW w:type="dxa" w:w="1247"/>
          </w:tcPr>
          <w:p>
            <w:r>
              <w:rPr>
                <w:sz w:val="19"/>
              </w:rPr>
              <w:t>0.069701572</w:t>
            </w:r>
          </w:p>
        </w:tc>
        <w:tc>
          <w:tcPr>
            <w:tcW w:type="dxa" w:w="1247"/>
          </w:tcPr>
          <w:p>
            <w:r>
              <w:rPr>
                <w:sz w:val="19"/>
              </w:rPr>
              <w:t>-1.068531758</w:t>
            </w:r>
          </w:p>
        </w:tc>
        <w:tc>
          <w:tcPr>
            <w:tcW w:type="dxa" w:w="1247"/>
          </w:tcPr>
          <w:p>
            <w:r>
              <w:rPr>
                <w:sz w:val="19"/>
              </w:rPr>
              <w:t>-3.032364523</w:t>
            </w:r>
          </w:p>
        </w:tc>
        <w:tc>
          <w:tcPr>
            <w:tcW w:type="dxa" w:w="1247"/>
          </w:tcPr>
          <w:p>
            <w:r>
              <w:rPr>
                <w:sz w:val="19"/>
              </w:rPr>
              <w:t>1.772830767</w:t>
            </w:r>
          </w:p>
        </w:tc>
      </w:tr>
      <w:tr>
        <w:tc>
          <w:tcPr>
            <w:tcW w:type="dxa" w:w="1928"/>
          </w:tcPr>
          <w:p>
            <w:r>
              <w:rPr>
                <w:sz w:val="19"/>
              </w:rPr>
              <w:t>South</w:t>
            </w:r>
          </w:p>
        </w:tc>
        <w:tc>
          <w:tcPr>
            <w:tcW w:type="dxa" w:w="1247"/>
          </w:tcPr>
          <w:p>
            <w:r>
              <w:rPr>
                <w:sz w:val="19"/>
              </w:rPr>
              <w:t>-11.47471960</w:t>
            </w:r>
          </w:p>
        </w:tc>
        <w:tc>
          <w:tcPr>
            <w:tcW w:type="dxa" w:w="1247"/>
          </w:tcPr>
          <w:p>
            <w:r>
              <w:rPr>
                <w:sz w:val="19"/>
              </w:rPr>
              <w:t>3.63960522</w:t>
            </w:r>
          </w:p>
        </w:tc>
        <w:tc>
          <w:tcPr>
            <w:tcW w:type="dxa" w:w="1247"/>
          </w:tcPr>
          <w:p>
            <w:r>
              <w:rPr>
                <w:sz w:val="19"/>
              </w:rPr>
              <w:t>-0.56252998</w:t>
            </w:r>
          </w:p>
        </w:tc>
        <w:tc>
          <w:tcPr>
            <w:tcW w:type="dxa" w:w="1247"/>
          </w:tcPr>
          <w:p>
            <w:r>
              <w:rPr>
                <w:sz w:val="19"/>
              </w:rPr>
              <w:t>-6.36901793</w:t>
            </w:r>
          </w:p>
        </w:tc>
        <w:tc>
          <w:tcPr>
            <w:tcW w:type="dxa" w:w="1247"/>
          </w:tcPr>
          <w:p>
            <w:r>
              <w:rPr>
                <w:sz w:val="19"/>
              </w:rPr>
            </w:r>
          </w:p>
        </w:tc>
      </w:tr>
      <w:tr>
        <w:tc>
          <w:tcPr>
            <w:tcW w:type="dxa" w:w="1928"/>
          </w:tcPr>
          <w:p>
            <w:r>
              <w:rPr>
                <w:sz w:val="19"/>
              </w:rPr>
              <w:t>Westland</w:t>
            </w:r>
          </w:p>
        </w:tc>
        <w:tc>
          <w:tcPr>
            <w:tcW w:type="dxa" w:w="1247"/>
          </w:tcPr>
          <w:p>
            <w:r>
              <w:rPr>
                <w:sz w:val="19"/>
              </w:rPr>
              <w:t>-1.828739986</w:t>
            </w:r>
          </w:p>
        </w:tc>
        <w:tc>
          <w:tcPr>
            <w:tcW w:type="dxa" w:w="1247"/>
          </w:tcPr>
          <w:p>
            <w:r>
              <w:rPr>
                <w:sz w:val="19"/>
              </w:rPr>
              <w:t>0.041866658</w:t>
            </w:r>
          </w:p>
        </w:tc>
        <w:tc>
          <w:tcPr>
            <w:tcW w:type="dxa" w:w="1247"/>
          </w:tcPr>
          <w:p>
            <w:r>
              <w:rPr>
                <w:sz w:val="19"/>
              </w:rPr>
              <w:t>-1.318999009</w:t>
            </w:r>
          </w:p>
        </w:tc>
        <w:tc>
          <w:tcPr>
            <w:tcW w:type="dxa" w:w="1247"/>
          </w:tcPr>
          <w:p>
            <w:r>
              <w:rPr>
                <w:sz w:val="19"/>
              </w:rPr>
              <w:t>-2.936535781</w:t>
            </w:r>
          </w:p>
        </w:tc>
        <w:tc>
          <w:tcPr>
            <w:tcW w:type="dxa" w:w="1247"/>
          </w:tcPr>
          <w:p>
            <w:r>
              <w:rPr>
                <w:sz w:val="19"/>
              </w:rPr>
              <w:t>2.055335111</w:t>
            </w:r>
          </w:p>
        </w:tc>
      </w:tr>
    </w:tbl>
    <w:p/>
    <w:p>
      <w:pPr>
        <w:pStyle w:val="Heading2"/>
      </w:pPr>
      <w:r>
        <w:rPr>
          <w:color w:val="17324D"/>
        </w:rPr>
        <w:t>Diameter increment coefficients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28"/>
            <w:shd w:val="clear" w:color="auto" w:fill="2C5B8A"/>
          </w:tcPr>
          <w:p>
            <w:r>
              <w:rPr>
                <w:b/>
                <w:color w:val="FFFFFF"/>
                <w:sz w:val="20"/>
              </w:rPr>
              <w:t>Region</w:t>
            </w:r>
          </w:p>
        </w:tc>
        <w:tc>
          <w:tcPr>
            <w:tcW w:type="dxa" w:w="1247"/>
            <w:shd w:val="clear" w:color="auto" w:fill="2C5B8A"/>
          </w:tcPr>
          <w:p>
            <w:r>
              <w:rPr>
                <w:b/>
                <w:color w:val="FFFFFF"/>
                <w:sz w:val="20"/>
              </w:rPr>
              <w:t>a0</w:t>
            </w:r>
          </w:p>
        </w:tc>
        <w:tc>
          <w:tcPr>
            <w:tcW w:type="dxa" w:w="1247"/>
            <w:shd w:val="clear" w:color="auto" w:fill="2C5B8A"/>
          </w:tcPr>
          <w:p>
            <w:r>
              <w:rPr>
                <w:b/>
                <w:color w:val="FFFFFF"/>
                <w:sz w:val="20"/>
              </w:rPr>
              <w:t>a1</w:t>
            </w:r>
          </w:p>
        </w:tc>
        <w:tc>
          <w:tcPr>
            <w:tcW w:type="dxa" w:w="1247"/>
            <w:shd w:val="clear" w:color="auto" w:fill="2C5B8A"/>
          </w:tcPr>
          <w:p>
            <w:r>
              <w:rPr>
                <w:b/>
                <w:color w:val="FFFFFF"/>
                <w:sz w:val="20"/>
              </w:rPr>
              <w:t>a2</w:t>
            </w:r>
          </w:p>
        </w:tc>
        <w:tc>
          <w:tcPr>
            <w:tcW w:type="dxa" w:w="1247"/>
            <w:shd w:val="clear" w:color="auto" w:fill="2C5B8A"/>
          </w:tcPr>
          <w:p>
            <w:r>
              <w:rPr>
                <w:b/>
                <w:color w:val="FFFFFF"/>
                <w:sz w:val="20"/>
              </w:rPr>
              <w:t>a3</w:t>
            </w:r>
          </w:p>
        </w:tc>
        <w:tc>
          <w:tcPr>
            <w:tcW w:type="dxa" w:w="1247"/>
            <w:shd w:val="clear" w:color="auto" w:fill="2C5B8A"/>
          </w:tcPr>
          <w:p>
            <w:r>
              <w:rPr>
                <w:b/>
                <w:color w:val="FFFFFF"/>
                <w:sz w:val="20"/>
              </w:rPr>
              <w:t>a4</w:t>
            </w:r>
          </w:p>
        </w:tc>
      </w:tr>
      <w:tr>
        <w:tc>
          <w:tcPr>
            <w:tcW w:type="dxa" w:w="1928"/>
          </w:tcPr>
          <w:p>
            <w:r>
              <w:rPr>
                <w:sz w:val="19"/>
              </w:rPr>
              <w:t>Sands</w:t>
            </w:r>
          </w:p>
        </w:tc>
        <w:tc>
          <w:tcPr>
            <w:tcW w:type="dxa" w:w="1247"/>
          </w:tcPr>
          <w:p>
            <w:r>
              <w:rPr>
                <w:sz w:val="19"/>
              </w:rPr>
              <w:t>6.995867585</w:t>
            </w:r>
          </w:p>
        </w:tc>
        <w:tc>
          <w:tcPr>
            <w:tcW w:type="dxa" w:w="1247"/>
          </w:tcPr>
          <w:p>
            <w:r>
              <w:rPr>
                <w:sz w:val="19"/>
              </w:rPr>
              <w:t>0.001265804</w:t>
            </w:r>
          </w:p>
        </w:tc>
        <w:tc>
          <w:tcPr>
            <w:tcW w:type="dxa" w:w="1247"/>
          </w:tcPr>
          <w:p>
            <w:r>
              <w:rPr>
                <w:sz w:val="19"/>
              </w:rPr>
              <w:t>0.024236242</w:t>
            </w:r>
          </w:p>
        </w:tc>
        <w:tc>
          <w:tcPr>
            <w:tcW w:type="dxa" w:w="1247"/>
          </w:tcPr>
          <w:p>
            <w:r>
              <w:rPr>
                <w:sz w:val="19"/>
              </w:rPr>
              <w:t>0.022952765</w:t>
            </w:r>
          </w:p>
        </w:tc>
        <w:tc>
          <w:tcPr>
            <w:tcW w:type="dxa" w:w="1247"/>
          </w:tcPr>
          <w:p>
            <w:r>
              <w:rPr>
                <w:sz w:val="19"/>
              </w:rPr>
              <w:t>-1.096183884</w:t>
            </w:r>
          </w:p>
        </w:tc>
      </w:tr>
      <w:tr>
        <w:tc>
          <w:tcPr>
            <w:tcW w:type="dxa" w:w="1928"/>
          </w:tcPr>
          <w:p>
            <w:r>
              <w:rPr>
                <w:sz w:val="19"/>
              </w:rPr>
              <w:t>Clay/SFT</w:t>
            </w:r>
          </w:p>
        </w:tc>
        <w:tc>
          <w:tcPr>
            <w:tcW w:type="dxa" w:w="1247"/>
          </w:tcPr>
          <w:p>
            <w:r>
              <w:rPr>
                <w:sz w:val="19"/>
              </w:rPr>
              <w:t>1.10359482</w:t>
            </w:r>
          </w:p>
        </w:tc>
        <w:tc>
          <w:tcPr>
            <w:tcW w:type="dxa" w:w="1247"/>
          </w:tcPr>
          <w:p>
            <w:r>
              <w:rPr>
                <w:sz w:val="19"/>
              </w:rPr>
              <w:t>-34.79649743</w:t>
            </w:r>
          </w:p>
        </w:tc>
        <w:tc>
          <w:tcPr>
            <w:tcW w:type="dxa" w:w="1247"/>
          </w:tcPr>
          <w:p>
            <w:r>
              <w:rPr>
                <w:sz w:val="19"/>
              </w:rPr>
              <w:t>0.02933947</w:t>
            </w:r>
          </w:p>
        </w:tc>
        <w:tc>
          <w:tcPr>
            <w:tcW w:type="dxa" w:w="1247"/>
          </w:tcPr>
          <w:p>
            <w:r>
              <w:rPr>
                <w:sz w:val="19"/>
              </w:rPr>
              <w:t>0.08881261</w:t>
            </w:r>
          </w:p>
        </w:tc>
        <w:tc>
          <w:tcPr>
            <w:tcW w:type="dxa" w:w="1247"/>
          </w:tcPr>
          <w:p>
            <w:r>
              <w:rPr>
                <w:sz w:val="19"/>
              </w:rPr>
              <w:t>0.43573804</w:t>
            </w:r>
          </w:p>
        </w:tc>
      </w:tr>
      <w:tr>
        <w:tc>
          <w:tcPr>
            <w:tcW w:type="dxa" w:w="1928"/>
          </w:tcPr>
          <w:p>
            <w:r>
              <w:rPr>
                <w:sz w:val="19"/>
              </w:rPr>
              <w:t>Central North Island</w:t>
            </w:r>
          </w:p>
        </w:tc>
        <w:tc>
          <w:tcPr>
            <w:tcW w:type="dxa" w:w="1247"/>
          </w:tcPr>
          <w:p>
            <w:r>
              <w:rPr>
                <w:sz w:val="19"/>
              </w:rPr>
              <w:t>5.62029648</w:t>
            </w:r>
          </w:p>
        </w:tc>
        <w:tc>
          <w:tcPr>
            <w:tcW w:type="dxa" w:w="1247"/>
          </w:tcPr>
          <w:p>
            <w:r>
              <w:rPr>
                <w:sz w:val="19"/>
              </w:rPr>
              <w:t>0.23624032</w:t>
            </w:r>
          </w:p>
        </w:tc>
        <w:tc>
          <w:tcPr>
            <w:tcW w:type="dxa" w:w="1247"/>
          </w:tcPr>
          <w:p>
            <w:r>
              <w:rPr>
                <w:sz w:val="19"/>
              </w:rPr>
              <w:t>-20.33089162</w:t>
            </w:r>
          </w:p>
        </w:tc>
        <w:tc>
          <w:tcPr>
            <w:tcW w:type="dxa" w:w="1247"/>
          </w:tcPr>
          <w:p>
            <w:r>
              <w:rPr>
                <w:sz w:val="19"/>
              </w:rPr>
              <w:t>-0.65340901</w:t>
            </w:r>
          </w:p>
        </w:tc>
        <w:tc>
          <w:tcPr>
            <w:tcW w:type="dxa" w:w="1247"/>
          </w:tcPr>
          <w:p>
            <w:r>
              <w:rPr>
                <w:sz w:val="19"/>
              </w:rPr>
              <w:t>0.02907101</w:t>
            </w:r>
          </w:p>
        </w:tc>
      </w:tr>
      <w:tr>
        <w:tc>
          <w:tcPr>
            <w:tcW w:type="dxa" w:w="1928"/>
          </w:tcPr>
          <w:p>
            <w:r>
              <w:rPr>
                <w:sz w:val="19"/>
              </w:rPr>
              <w:t>Canterbury</w:t>
            </w:r>
          </w:p>
        </w:tc>
        <w:tc>
          <w:tcPr>
            <w:tcW w:type="dxa" w:w="1247"/>
          </w:tcPr>
          <w:p>
            <w:r>
              <w:rPr>
                <w:sz w:val="19"/>
              </w:rPr>
              <w:t>3.70985227</w:t>
            </w:r>
          </w:p>
        </w:tc>
        <w:tc>
          <w:tcPr>
            <w:tcW w:type="dxa" w:w="1247"/>
          </w:tcPr>
          <w:p>
            <w:r>
              <w:rPr>
                <w:sz w:val="19"/>
              </w:rPr>
              <w:t>0.00219193</w:t>
            </w:r>
          </w:p>
        </w:tc>
        <w:tc>
          <w:tcPr>
            <w:tcW w:type="dxa" w:w="1247"/>
          </w:tcPr>
          <w:p>
            <w:r>
              <w:rPr>
                <w:sz w:val="19"/>
              </w:rPr>
              <w:t>-28.09253115</w:t>
            </w:r>
          </w:p>
        </w:tc>
        <w:tc>
          <w:tcPr>
            <w:tcW w:type="dxa" w:w="1247"/>
          </w:tcPr>
          <w:p>
            <w:r>
              <w:rPr>
                <w:sz w:val="19"/>
              </w:rPr>
              <w:t>-0.27954330</w:t>
            </w:r>
          </w:p>
        </w:tc>
        <w:tc>
          <w:tcPr>
            <w:tcW w:type="dxa" w:w="1247"/>
          </w:tcPr>
          <w:p>
            <w:r>
              <w:rPr>
                <w:sz w:val="19"/>
              </w:rPr>
              <w:t>0.17432788</w:t>
            </w:r>
          </w:p>
        </w:tc>
      </w:tr>
      <w:tr>
        <w:tc>
          <w:tcPr>
            <w:tcW w:type="dxa" w:w="1928"/>
          </w:tcPr>
          <w:p>
            <w:r>
              <w:rPr>
                <w:sz w:val="19"/>
              </w:rPr>
              <w:t>Hawke's Bay</w:t>
            </w:r>
          </w:p>
        </w:tc>
        <w:tc>
          <w:tcPr>
            <w:tcW w:type="dxa" w:w="1247"/>
          </w:tcPr>
          <w:p>
            <w:r>
              <w:rPr>
                <w:sz w:val="19"/>
              </w:rPr>
              <w:t>1.873821009</w:t>
            </w:r>
          </w:p>
        </w:tc>
        <w:tc>
          <w:tcPr>
            <w:tcW w:type="dxa" w:w="1247"/>
          </w:tcPr>
          <w:p>
            <w:r>
              <w:rPr>
                <w:sz w:val="19"/>
              </w:rPr>
              <w:t>0.659312226</w:t>
            </w:r>
          </w:p>
        </w:tc>
        <w:tc>
          <w:tcPr>
            <w:tcW w:type="dxa" w:w="1247"/>
          </w:tcPr>
          <w:p>
            <w:r>
              <w:rPr>
                <w:sz w:val="19"/>
              </w:rPr>
              <w:t>-5.290432331</w:t>
            </w:r>
          </w:p>
        </w:tc>
        <w:tc>
          <w:tcPr>
            <w:tcW w:type="dxa" w:w="1247"/>
          </w:tcPr>
          <w:p>
            <w:r>
              <w:rPr>
                <w:sz w:val="19"/>
              </w:rPr>
              <w:t>-0.324759500</w:t>
            </w:r>
          </w:p>
        </w:tc>
        <w:tc>
          <w:tcPr>
            <w:tcW w:type="dxa" w:w="1247"/>
          </w:tcPr>
          <w:p>
            <w:r>
              <w:rPr>
                <w:sz w:val="19"/>
              </w:rPr>
              <w:t>-0.686514067</w:t>
            </w:r>
          </w:p>
        </w:tc>
      </w:tr>
      <w:tr>
        <w:tc>
          <w:tcPr>
            <w:tcW w:type="dxa" w:w="1928"/>
          </w:tcPr>
          <w:p>
            <w:r>
              <w:rPr>
                <w:sz w:val="19"/>
              </w:rPr>
              <w:t>Nelson</w:t>
            </w:r>
          </w:p>
        </w:tc>
        <w:tc>
          <w:tcPr>
            <w:tcW w:type="dxa" w:w="1247"/>
          </w:tcPr>
          <w:p>
            <w:r>
              <w:rPr>
                <w:sz w:val="19"/>
              </w:rPr>
              <w:t>3.031587923</w:t>
            </w:r>
          </w:p>
        </w:tc>
        <w:tc>
          <w:tcPr>
            <w:tcW w:type="dxa" w:w="1247"/>
          </w:tcPr>
          <w:p>
            <w:r>
              <w:rPr>
                <w:sz w:val="19"/>
              </w:rPr>
              <w:t>0.395219905</w:t>
            </w:r>
          </w:p>
        </w:tc>
        <w:tc>
          <w:tcPr>
            <w:tcW w:type="dxa" w:w="1247"/>
          </w:tcPr>
          <w:p>
            <w:r>
              <w:rPr>
                <w:sz w:val="19"/>
              </w:rPr>
              <w:t>-8.879682909</w:t>
            </w:r>
          </w:p>
        </w:tc>
        <w:tc>
          <w:tcPr>
            <w:tcW w:type="dxa" w:w="1247"/>
          </w:tcPr>
          <w:p>
            <w:r>
              <w:rPr>
                <w:sz w:val="19"/>
              </w:rPr>
              <w:t>-0.199956549</w:t>
            </w:r>
          </w:p>
        </w:tc>
        <w:tc>
          <w:tcPr>
            <w:tcW w:type="dxa" w:w="1247"/>
          </w:tcPr>
          <w:p>
            <w:r>
              <w:rPr>
                <w:sz w:val="19"/>
              </w:rPr>
            </w:r>
          </w:p>
        </w:tc>
      </w:tr>
      <w:tr>
        <w:tc>
          <w:tcPr>
            <w:tcW w:type="dxa" w:w="1928"/>
          </w:tcPr>
          <w:p>
            <w:r>
              <w:rPr>
                <w:sz w:val="19"/>
              </w:rPr>
              <w:t>South</w:t>
            </w:r>
          </w:p>
        </w:tc>
        <w:tc>
          <w:tcPr>
            <w:tcW w:type="dxa" w:w="1247"/>
          </w:tcPr>
          <w:p>
            <w:r>
              <w:rPr>
                <w:sz w:val="19"/>
              </w:rPr>
              <w:t>6.10742954</w:t>
            </w:r>
          </w:p>
        </w:tc>
        <w:tc>
          <w:tcPr>
            <w:tcW w:type="dxa" w:w="1247"/>
          </w:tcPr>
          <w:p>
            <w:r>
              <w:rPr>
                <w:sz w:val="19"/>
              </w:rPr>
              <w:t>0.27822652</w:t>
            </w:r>
          </w:p>
        </w:tc>
        <w:tc>
          <w:tcPr>
            <w:tcW w:type="dxa" w:w="1247"/>
          </w:tcPr>
          <w:p>
            <w:r>
              <w:rPr>
                <w:sz w:val="19"/>
              </w:rPr>
              <w:t>-21.04187356</w:t>
            </w:r>
          </w:p>
        </w:tc>
        <w:tc>
          <w:tcPr>
            <w:tcW w:type="dxa" w:w="1247"/>
          </w:tcPr>
          <w:p>
            <w:r>
              <w:rPr>
                <w:sz w:val="19"/>
              </w:rPr>
              <w:t>-0.77824359</w:t>
            </w:r>
          </w:p>
        </w:tc>
        <w:tc>
          <w:tcPr>
            <w:tcW w:type="dxa" w:w="1247"/>
          </w:tcPr>
          <w:p>
            <w:r>
              <w:rPr>
                <w:sz w:val="19"/>
              </w:rPr>
              <w:t>1.42534529</w:t>
            </w:r>
          </w:p>
        </w:tc>
      </w:tr>
      <w:tr>
        <w:tc>
          <w:tcPr>
            <w:tcW w:type="dxa" w:w="1928"/>
          </w:tcPr>
          <w:p>
            <w:r>
              <w:rPr>
                <w:sz w:val="19"/>
              </w:rPr>
              <w:t>Westland</w:t>
            </w:r>
          </w:p>
        </w:tc>
        <w:tc>
          <w:tcPr>
            <w:tcW w:type="dxa" w:w="1247"/>
          </w:tcPr>
          <w:p>
            <w:r>
              <w:rPr>
                <w:sz w:val="19"/>
              </w:rPr>
              <w:t>0.58929599</w:t>
            </w:r>
          </w:p>
        </w:tc>
        <w:tc>
          <w:tcPr>
            <w:tcW w:type="dxa" w:w="1247"/>
          </w:tcPr>
          <w:p>
            <w:r>
              <w:rPr>
                <w:sz w:val="19"/>
              </w:rPr>
              <w:t>0.41212971</w:t>
            </w:r>
          </w:p>
        </w:tc>
        <w:tc>
          <w:tcPr>
            <w:tcW w:type="dxa" w:w="1247"/>
          </w:tcPr>
          <w:p>
            <w:r>
              <w:rPr>
                <w:sz w:val="19"/>
              </w:rPr>
              <w:t>-28.33830927</w:t>
            </w:r>
          </w:p>
        </w:tc>
        <w:tc>
          <w:tcPr>
            <w:tcW w:type="dxa" w:w="1247"/>
          </w:tcPr>
          <w:p>
            <w:r>
              <w:rPr>
                <w:sz w:val="19"/>
              </w:rPr>
              <w:t>-0.00412158</w:t>
            </w:r>
          </w:p>
        </w:tc>
        <w:tc>
          <w:tcPr>
            <w:tcW w:type="dxa" w:w="1247"/>
          </w:tcPr>
          <w:p>
            <w:r>
              <w:rPr>
                <w:sz w:val="19"/>
              </w:rPr>
            </w:r>
          </w:p>
        </w:tc>
      </w:tr>
    </w:tbl>
    <w:p/>
    <w:p>
      <w:pPr>
        <w:pStyle w:val="Heading2"/>
      </w:pPr>
      <w:r>
        <w:rPr>
          <w:color w:val="17324D"/>
        </w:rPr>
        <w:t>Height increment coefficients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val="clear" w:color="auto" w:fill="2C5B8A"/>
          </w:tcPr>
          <w:p>
            <w:r>
              <w:rPr>
                <w:b/>
                <w:color w:val="FFFFFF"/>
                <w:sz w:val="20"/>
              </w:rPr>
              <w:t>Region</w:t>
            </w:r>
          </w:p>
        </w:tc>
        <w:tc>
          <w:tcPr>
            <w:tcW w:type="dxa" w:w="1134"/>
            <w:shd w:val="clear" w:color="auto" w:fill="2C5B8A"/>
          </w:tcPr>
          <w:p>
            <w:r>
              <w:rPr>
                <w:b/>
                <w:color w:val="FFFFFF"/>
                <w:sz w:val="20"/>
              </w:rPr>
              <w:t>b0</w:t>
            </w:r>
          </w:p>
        </w:tc>
        <w:tc>
          <w:tcPr>
            <w:tcW w:type="dxa" w:w="1134"/>
            <w:shd w:val="clear" w:color="auto" w:fill="2C5B8A"/>
          </w:tcPr>
          <w:p>
            <w:r>
              <w:rPr>
                <w:b/>
                <w:color w:val="FFFFFF"/>
                <w:sz w:val="20"/>
              </w:rPr>
              <w:t>b1</w:t>
            </w:r>
          </w:p>
        </w:tc>
        <w:tc>
          <w:tcPr>
            <w:tcW w:type="dxa" w:w="1134"/>
            <w:shd w:val="clear" w:color="auto" w:fill="2C5B8A"/>
          </w:tcPr>
          <w:p>
            <w:r>
              <w:rPr>
                <w:b/>
                <w:color w:val="FFFFFF"/>
                <w:sz w:val="20"/>
              </w:rPr>
              <w:t>b2</w:t>
            </w:r>
          </w:p>
        </w:tc>
        <w:tc>
          <w:tcPr>
            <w:tcW w:type="dxa" w:w="1134"/>
            <w:shd w:val="clear" w:color="auto" w:fill="2C5B8A"/>
          </w:tcPr>
          <w:p>
            <w:r>
              <w:rPr>
                <w:b/>
                <w:color w:val="FFFFFF"/>
                <w:sz w:val="20"/>
              </w:rPr>
              <w:t>b3</w:t>
            </w:r>
          </w:p>
        </w:tc>
        <w:tc>
          <w:tcPr>
            <w:tcW w:type="dxa" w:w="1134"/>
            <w:shd w:val="clear" w:color="auto" w:fill="2C5B8A"/>
          </w:tcPr>
          <w:p>
            <w:r>
              <w:rPr>
                <w:b/>
                <w:color w:val="FFFFFF"/>
                <w:sz w:val="20"/>
              </w:rPr>
              <w:t>b4</w:t>
            </w:r>
          </w:p>
        </w:tc>
        <w:tc>
          <w:tcPr>
            <w:tcW w:type="dxa" w:w="1134"/>
            <w:shd w:val="clear" w:color="auto" w:fill="2C5B8A"/>
          </w:tcPr>
          <w:p>
            <w:r>
              <w:rPr>
                <w:b/>
                <w:color w:val="FFFFFF"/>
                <w:sz w:val="20"/>
              </w:rPr>
              <w:t>b5</w:t>
            </w:r>
          </w:p>
        </w:tc>
      </w:tr>
      <w:tr>
        <w:tc>
          <w:tcPr>
            <w:tcW w:type="dxa" w:w="1701"/>
          </w:tcPr>
          <w:p>
            <w:r>
              <w:rPr>
                <w:sz w:val="19"/>
              </w:rPr>
              <w:t>Sands</w:t>
            </w:r>
          </w:p>
        </w:tc>
        <w:tc>
          <w:tcPr>
            <w:tcW w:type="dxa" w:w="1134"/>
          </w:tcPr>
          <w:p>
            <w:r>
              <w:rPr>
                <w:sz w:val="19"/>
              </w:rPr>
              <w:t>-1.464467613</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Clay/SFT</w:t>
            </w:r>
          </w:p>
        </w:tc>
        <w:tc>
          <w:tcPr>
            <w:tcW w:type="dxa" w:w="1134"/>
          </w:tcPr>
          <w:p>
            <w:r>
              <w:rPr>
                <w:sz w:val="19"/>
              </w:rPr>
              <w:t>-1.196043518</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Central North Island</w:t>
            </w:r>
          </w:p>
        </w:tc>
        <w:tc>
          <w:tcPr>
            <w:tcW w:type="dxa" w:w="1134"/>
          </w:tcPr>
          <w:p>
            <w:r>
              <w:rPr>
                <w:sz w:val="19"/>
              </w:rPr>
              <w:t>-0.977934668</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Canterbury</w:t>
            </w:r>
          </w:p>
        </w:tc>
        <w:tc>
          <w:tcPr>
            <w:tcW w:type="dxa" w:w="1134"/>
          </w:tcPr>
          <w:p>
            <w:r>
              <w:rPr>
                <w:sz w:val="19"/>
              </w:rPr>
              <w:t>-1.299877303</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Hawke's Bay</w:t>
            </w:r>
          </w:p>
        </w:tc>
        <w:tc>
          <w:tcPr>
            <w:tcW w:type="dxa" w:w="1134"/>
          </w:tcPr>
          <w:p>
            <w:r>
              <w:rPr>
                <w:sz w:val="19"/>
              </w:rPr>
              <w:t>-1.070528892</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Nelson</w:t>
            </w:r>
          </w:p>
        </w:tc>
        <w:tc>
          <w:tcPr>
            <w:tcW w:type="dxa" w:w="1134"/>
          </w:tcPr>
          <w:p>
            <w:r>
              <w:rPr>
                <w:sz w:val="19"/>
              </w:rPr>
              <w:t>-1.115954513</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South</w:t>
            </w:r>
          </w:p>
        </w:tc>
        <w:tc>
          <w:tcPr>
            <w:tcW w:type="dxa" w:w="1134"/>
          </w:tcPr>
          <w:p>
            <w:r>
              <w:rPr>
                <w:sz w:val="19"/>
              </w:rPr>
              <w:t>-1.145538682</w:t>
            </w:r>
          </w:p>
        </w:tc>
        <w:tc>
          <w:tcPr>
            <w:tcW w:type="dxa" w:w="1134"/>
          </w:tcPr>
          <w:p>
            <w:r>
              <w:rPr>
                <w:sz w:val="19"/>
              </w:rPr>
              <w:t>0.029945726</w:t>
            </w:r>
          </w:p>
        </w:tc>
        <w:tc>
          <w:tcPr>
            <w:tcW w:type="dxa" w:w="1134"/>
          </w:tcPr>
          <w:p>
            <w:r>
              <w:rPr>
                <w:sz w:val="19"/>
              </w:rPr>
              <w:t>-0.738212634</w:t>
            </w:r>
          </w:p>
        </w:tc>
        <w:tc>
          <w:tcPr>
            <w:tcW w:type="dxa" w:w="1134"/>
          </w:tcPr>
          <w:p>
            <w:r>
              <w:rPr>
                <w:sz w:val="19"/>
              </w:rPr>
              <w:t>0.029422499</w:t>
            </w:r>
          </w:p>
        </w:tc>
        <w:tc>
          <w:tcPr>
            <w:tcW w:type="dxa" w:w="1134"/>
          </w:tcPr>
          <w:p>
            <w:r>
              <w:rPr>
                <w:sz w:val="19"/>
              </w:rPr>
              <w:t>-0.367425918</w:t>
            </w:r>
          </w:p>
        </w:tc>
        <w:tc>
          <w:tcPr>
            <w:tcW w:type="dxa" w:w="1134"/>
          </w:tcPr>
          <w:p>
            <w:r>
              <w:rPr>
                <w:sz w:val="19"/>
              </w:rPr>
              <w:t>0</w:t>
            </w:r>
          </w:p>
        </w:tc>
      </w:tr>
      <w:tr>
        <w:tc>
          <w:tcPr>
            <w:tcW w:type="dxa" w:w="1701"/>
          </w:tcPr>
          <w:p>
            <w:r>
              <w:rPr>
                <w:sz w:val="19"/>
              </w:rPr>
              <w:t>Westland</w:t>
            </w:r>
          </w:p>
        </w:tc>
        <w:tc>
          <w:tcPr>
            <w:tcW w:type="dxa" w:w="1134"/>
          </w:tcPr>
          <w:p>
            <w:r>
              <w:rPr>
                <w:sz w:val="19"/>
              </w:rPr>
              <w:t>-1.07448940</w:t>
            </w:r>
          </w:p>
        </w:tc>
        <w:tc>
          <w:tcPr>
            <w:tcW w:type="dxa" w:w="1134"/>
          </w:tcPr>
          <w:p>
            <w:r>
              <w:rPr>
                <w:sz w:val="19"/>
              </w:rPr>
              <w:t>0</w:t>
            </w:r>
          </w:p>
        </w:tc>
        <w:tc>
          <w:tcPr>
            <w:tcW w:type="dxa" w:w="1134"/>
          </w:tcPr>
          <w:p>
            <w:r>
              <w:rPr>
                <w:sz w:val="19"/>
              </w:rPr>
              <w:t>-1.05357063</w:t>
            </w:r>
          </w:p>
        </w:tc>
        <w:tc>
          <w:tcPr>
            <w:tcW w:type="dxa" w:w="1134"/>
          </w:tcPr>
          <w:p>
            <w:r>
              <w:rPr>
                <w:sz w:val="19"/>
              </w:rPr>
              <w:t>0.03915247</w:t>
            </w:r>
          </w:p>
        </w:tc>
        <w:tc>
          <w:tcPr>
            <w:tcW w:type="dxa" w:w="1134"/>
          </w:tcPr>
          <w:p>
            <w:r>
              <w:rPr>
                <w:sz w:val="19"/>
              </w:rPr>
              <w:t>-11.07650424</w:t>
            </w:r>
          </w:p>
        </w:tc>
        <w:tc>
          <w:tcPr>
            <w:tcW w:type="dxa" w:w="1134"/>
          </w:tcPr>
          <w:p>
            <w:r>
              <w:rPr>
                <w:sz w:val="19"/>
              </w:rPr>
              <w:t>0.02288922</w:t>
            </w:r>
          </w:p>
        </w:tc>
      </w:tr>
    </w:tbl>
    <w:p/>
    <w:p>
      <w:pPr>
        <w:pStyle w:val="Heading2"/>
      </w:pPr>
      <w:r>
        <w:rPr>
          <w:color w:val="17324D"/>
        </w:rPr>
        <w:t>Guide curve coefficients</w:t>
      </w:r>
    </w:p>
    <w:p>
      <w:r>
        <w:rPr>
          <w:i w:val="0"/>
          <w:sz w:val="22"/>
        </w:rPr>
        <w:t>Potential height (used to compute PotHt20):</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C5B8A"/>
          </w:tcPr>
          <w:p>
            <w:r>
              <w:rPr>
                <w:b/>
                <w:color w:val="FFFFFF"/>
                <w:sz w:val="20"/>
              </w:rPr>
              <w:t>Region</w:t>
            </w:r>
          </w:p>
        </w:tc>
        <w:tc>
          <w:tcPr>
            <w:tcW w:type="dxa" w:w="2268"/>
            <w:shd w:val="clear" w:color="auto" w:fill="2C5B8A"/>
          </w:tcPr>
          <w:p>
            <w:r>
              <w:rPr>
                <w:b/>
                <w:color w:val="FFFFFF"/>
                <w:sz w:val="20"/>
              </w:rPr>
              <w:t>a</w:t>
            </w:r>
          </w:p>
        </w:tc>
        <w:tc>
          <w:tcPr>
            <w:tcW w:type="dxa" w:w="2268"/>
            <w:shd w:val="clear" w:color="auto" w:fill="2C5B8A"/>
          </w:tcPr>
          <w:p>
            <w:r>
              <w:rPr>
                <w:b/>
                <w:color w:val="FFFFFF"/>
                <w:sz w:val="20"/>
              </w:rPr>
              <w:t>b</w:t>
            </w:r>
          </w:p>
        </w:tc>
      </w:tr>
      <w:tr>
        <w:tc>
          <w:tcPr>
            <w:tcW w:type="dxa" w:w="2835"/>
          </w:tcPr>
          <w:p>
            <w:r>
              <w:rPr>
                <w:sz w:val="19"/>
              </w:rPr>
              <w:t>Sands</w:t>
            </w:r>
          </w:p>
        </w:tc>
        <w:tc>
          <w:tcPr>
            <w:tcW w:type="dxa" w:w="2268"/>
          </w:tcPr>
          <w:p>
            <w:r>
              <w:rPr>
                <w:sz w:val="19"/>
              </w:rPr>
              <w:t>4.05147152</w:t>
            </w:r>
          </w:p>
        </w:tc>
        <w:tc>
          <w:tcPr>
            <w:tcW w:type="dxa" w:w="2268"/>
          </w:tcPr>
          <w:p>
            <w:r>
              <w:rPr>
                <w:sz w:val="19"/>
              </w:rPr>
              <w:t>-11.35737229</w:t>
            </w:r>
          </w:p>
        </w:tc>
      </w:tr>
      <w:tr>
        <w:tc>
          <w:tcPr>
            <w:tcW w:type="dxa" w:w="2835"/>
          </w:tcPr>
          <w:p>
            <w:r>
              <w:rPr>
                <w:sz w:val="19"/>
              </w:rPr>
              <w:t>Clay/SFT</w:t>
            </w:r>
          </w:p>
        </w:tc>
        <w:tc>
          <w:tcPr>
            <w:tcW w:type="dxa" w:w="2268"/>
          </w:tcPr>
          <w:p>
            <w:r>
              <w:rPr>
                <w:sz w:val="19"/>
              </w:rPr>
              <w:t>4.14133802</w:t>
            </w:r>
          </w:p>
        </w:tc>
        <w:tc>
          <w:tcPr>
            <w:tcW w:type="dxa" w:w="2268"/>
          </w:tcPr>
          <w:p>
            <w:r>
              <w:rPr>
                <w:sz w:val="19"/>
              </w:rPr>
              <w:t>-26.17231510</w:t>
            </w:r>
          </w:p>
        </w:tc>
      </w:tr>
      <w:tr>
        <w:tc>
          <w:tcPr>
            <w:tcW w:type="dxa" w:w="2835"/>
          </w:tcPr>
          <w:p>
            <w:r>
              <w:rPr>
                <w:sz w:val="19"/>
              </w:rPr>
              <w:t>Central North Island</w:t>
            </w:r>
          </w:p>
        </w:tc>
        <w:tc>
          <w:tcPr>
            <w:tcW w:type="dxa" w:w="2268"/>
          </w:tcPr>
          <w:p>
            <w:r>
              <w:rPr>
                <w:sz w:val="19"/>
              </w:rPr>
              <w:t>4.55730091</w:t>
            </w:r>
          </w:p>
        </w:tc>
        <w:tc>
          <w:tcPr>
            <w:tcW w:type="dxa" w:w="2268"/>
          </w:tcPr>
          <w:p>
            <w:r>
              <w:rPr>
                <w:sz w:val="19"/>
              </w:rPr>
              <w:t>-12.90751890</w:t>
            </w:r>
          </w:p>
        </w:tc>
      </w:tr>
      <w:tr>
        <w:tc>
          <w:tcPr>
            <w:tcW w:type="dxa" w:w="2835"/>
          </w:tcPr>
          <w:p>
            <w:r>
              <w:rPr>
                <w:sz w:val="19"/>
              </w:rPr>
              <w:t>Canterbury</w:t>
            </w:r>
          </w:p>
        </w:tc>
        <w:tc>
          <w:tcPr>
            <w:tcW w:type="dxa" w:w="2268"/>
          </w:tcPr>
          <w:p>
            <w:r>
              <w:rPr>
                <w:sz w:val="19"/>
              </w:rPr>
              <w:t>8.645489457</w:t>
            </w:r>
          </w:p>
        </w:tc>
        <w:tc>
          <w:tcPr>
            <w:tcW w:type="dxa" w:w="2268"/>
          </w:tcPr>
          <w:p>
            <w:r>
              <w:rPr>
                <w:sz w:val="19"/>
              </w:rPr>
              <w:t>-8.758747536</w:t>
            </w:r>
          </w:p>
        </w:tc>
      </w:tr>
      <w:tr>
        <w:tc>
          <w:tcPr>
            <w:tcW w:type="dxa" w:w="2835"/>
          </w:tcPr>
          <w:p>
            <w:r>
              <w:rPr>
                <w:sz w:val="19"/>
              </w:rPr>
              <w:t>Hawke's Bay</w:t>
            </w:r>
          </w:p>
        </w:tc>
        <w:tc>
          <w:tcPr>
            <w:tcW w:type="dxa" w:w="2268"/>
          </w:tcPr>
          <w:p>
            <w:r>
              <w:rPr>
                <w:sz w:val="19"/>
              </w:rPr>
              <w:t>4.67375242</w:t>
            </w:r>
          </w:p>
        </w:tc>
        <w:tc>
          <w:tcPr>
            <w:tcW w:type="dxa" w:w="2268"/>
          </w:tcPr>
          <w:p>
            <w:r>
              <w:rPr>
                <w:sz w:val="19"/>
              </w:rPr>
              <w:t>-11.00566216</w:t>
            </w:r>
          </w:p>
        </w:tc>
      </w:tr>
      <w:tr>
        <w:tc>
          <w:tcPr>
            <w:tcW w:type="dxa" w:w="2835"/>
          </w:tcPr>
          <w:p>
            <w:r>
              <w:rPr>
                <w:sz w:val="19"/>
              </w:rPr>
              <w:t>Nelson</w:t>
            </w:r>
          </w:p>
        </w:tc>
        <w:tc>
          <w:tcPr>
            <w:tcW w:type="dxa" w:w="2268"/>
          </w:tcPr>
          <w:p>
            <w:r>
              <w:rPr>
                <w:sz w:val="19"/>
              </w:rPr>
              <w:t>5.011867093</w:t>
            </w:r>
          </w:p>
        </w:tc>
        <w:tc>
          <w:tcPr>
            <w:tcW w:type="dxa" w:w="2268"/>
          </w:tcPr>
          <w:p>
            <w:r>
              <w:rPr>
                <w:sz w:val="19"/>
              </w:rPr>
              <w:t>-9.641850166</w:t>
            </w:r>
          </w:p>
        </w:tc>
      </w:tr>
      <w:tr>
        <w:tc>
          <w:tcPr>
            <w:tcW w:type="dxa" w:w="2835"/>
          </w:tcPr>
          <w:p>
            <w:r>
              <w:rPr>
                <w:sz w:val="19"/>
              </w:rPr>
              <w:t>South</w:t>
            </w:r>
          </w:p>
        </w:tc>
        <w:tc>
          <w:tcPr>
            <w:tcW w:type="dxa" w:w="2268"/>
          </w:tcPr>
          <w:p>
            <w:r>
              <w:rPr>
                <w:sz w:val="19"/>
              </w:rPr>
              <w:t>5.26233285</w:t>
            </w:r>
          </w:p>
        </w:tc>
        <w:tc>
          <w:tcPr>
            <w:tcW w:type="dxa" w:w="2268"/>
          </w:tcPr>
          <w:p>
            <w:r>
              <w:rPr>
                <w:sz w:val="19"/>
              </w:rPr>
              <w:t>-10.23676846</w:t>
            </w:r>
          </w:p>
        </w:tc>
      </w:tr>
      <w:tr>
        <w:tc>
          <w:tcPr>
            <w:tcW w:type="dxa" w:w="2835"/>
          </w:tcPr>
          <w:p>
            <w:r>
              <w:rPr>
                <w:sz w:val="19"/>
              </w:rPr>
              <w:t>Westland</w:t>
            </w:r>
          </w:p>
        </w:tc>
        <w:tc>
          <w:tcPr>
            <w:tcW w:type="dxa" w:w="2268"/>
          </w:tcPr>
          <w:p>
            <w:r>
              <w:rPr>
                <w:sz w:val="19"/>
              </w:rPr>
              <w:t>4.05950415</w:t>
            </w:r>
          </w:p>
        </w:tc>
        <w:tc>
          <w:tcPr>
            <w:tcW w:type="dxa" w:w="2268"/>
          </w:tcPr>
          <w:p>
            <w:r>
              <w:rPr>
                <w:sz w:val="19"/>
              </w:rPr>
              <w:t>-24.80459209</w:t>
            </w:r>
          </w:p>
        </w:tc>
      </w:tr>
    </w:tbl>
    <w:p/>
    <w:p>
      <w:r>
        <w:rPr>
          <w:i w:val="0"/>
          <w:sz w:val="22"/>
        </w:rPr>
        <w:t>Potential diameter change (used to compute ΔPDBH):</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C5B8A"/>
          </w:tcPr>
          <w:p>
            <w:r>
              <w:rPr>
                <w:b/>
                <w:color w:val="FFFFFF"/>
                <w:sz w:val="20"/>
              </w:rPr>
              <w:t>Region</w:t>
            </w:r>
          </w:p>
        </w:tc>
        <w:tc>
          <w:tcPr>
            <w:tcW w:type="dxa" w:w="2268"/>
            <w:shd w:val="clear" w:color="auto" w:fill="2C5B8A"/>
          </w:tcPr>
          <w:p>
            <w:r>
              <w:rPr>
                <w:b/>
                <w:color w:val="FFFFFF"/>
                <w:sz w:val="20"/>
              </w:rPr>
              <w:t>a</w:t>
            </w:r>
          </w:p>
        </w:tc>
        <w:tc>
          <w:tcPr>
            <w:tcW w:type="dxa" w:w="2268"/>
            <w:shd w:val="clear" w:color="auto" w:fill="2C5B8A"/>
          </w:tcPr>
          <w:p>
            <w:r>
              <w:rPr>
                <w:b/>
                <w:color w:val="FFFFFF"/>
                <w:sz w:val="20"/>
              </w:rPr>
              <w:t>b</w:t>
            </w:r>
          </w:p>
        </w:tc>
      </w:tr>
      <w:tr>
        <w:tc>
          <w:tcPr>
            <w:tcW w:type="dxa" w:w="2835"/>
          </w:tcPr>
          <w:p>
            <w:r>
              <w:rPr>
                <w:sz w:val="19"/>
              </w:rPr>
              <w:t>Sands</w:t>
            </w:r>
          </w:p>
        </w:tc>
        <w:tc>
          <w:tcPr>
            <w:tcW w:type="dxa" w:w="2268"/>
          </w:tcPr>
          <w:p>
            <w:r>
              <w:rPr>
                <w:sz w:val="19"/>
              </w:rPr>
              <w:t>7.585688848</w:t>
            </w:r>
          </w:p>
        </w:tc>
        <w:tc>
          <w:tcPr>
            <w:tcW w:type="dxa" w:w="2268"/>
          </w:tcPr>
          <w:p>
            <w:r>
              <w:rPr>
                <w:sz w:val="19"/>
              </w:rPr>
              <w:t>-7.090152348</w:t>
            </w:r>
          </w:p>
        </w:tc>
      </w:tr>
      <w:tr>
        <w:tc>
          <w:tcPr>
            <w:tcW w:type="dxa" w:w="2835"/>
          </w:tcPr>
          <w:p>
            <w:r>
              <w:rPr>
                <w:sz w:val="19"/>
              </w:rPr>
              <w:t>Clay/SFT</w:t>
            </w:r>
          </w:p>
        </w:tc>
        <w:tc>
          <w:tcPr>
            <w:tcW w:type="dxa" w:w="2268"/>
          </w:tcPr>
          <w:p>
            <w:r>
              <w:rPr>
                <w:sz w:val="19"/>
              </w:rPr>
              <w:t>6.76974764</w:t>
            </w:r>
          </w:p>
        </w:tc>
        <w:tc>
          <w:tcPr>
            <w:tcW w:type="dxa" w:w="2268"/>
          </w:tcPr>
          <w:p>
            <w:r>
              <w:rPr>
                <w:sz w:val="19"/>
              </w:rPr>
              <w:t>-17.99991912</w:t>
            </w:r>
          </w:p>
        </w:tc>
      </w:tr>
      <w:tr>
        <w:tc>
          <w:tcPr>
            <w:tcW w:type="dxa" w:w="2835"/>
          </w:tcPr>
          <w:p>
            <w:r>
              <w:rPr>
                <w:sz w:val="19"/>
              </w:rPr>
              <w:t>Central North Island</w:t>
            </w:r>
          </w:p>
        </w:tc>
        <w:tc>
          <w:tcPr>
            <w:tcW w:type="dxa" w:w="2268"/>
          </w:tcPr>
          <w:p>
            <w:r>
              <w:rPr>
                <w:sz w:val="19"/>
              </w:rPr>
              <w:t>7.443019620</w:t>
            </w:r>
          </w:p>
        </w:tc>
        <w:tc>
          <w:tcPr>
            <w:tcW w:type="dxa" w:w="2268"/>
          </w:tcPr>
          <w:p>
            <w:r>
              <w:rPr>
                <w:sz w:val="19"/>
              </w:rPr>
              <w:t>-5.591267444</w:t>
            </w:r>
          </w:p>
        </w:tc>
      </w:tr>
      <w:tr>
        <w:tc>
          <w:tcPr>
            <w:tcW w:type="dxa" w:w="2835"/>
          </w:tcPr>
          <w:p>
            <w:r>
              <w:rPr>
                <w:sz w:val="19"/>
              </w:rPr>
              <w:t>Canterbury</w:t>
            </w:r>
          </w:p>
        </w:tc>
        <w:tc>
          <w:tcPr>
            <w:tcW w:type="dxa" w:w="2268"/>
          </w:tcPr>
          <w:p>
            <w:r>
              <w:rPr>
                <w:sz w:val="19"/>
              </w:rPr>
              <w:t>8.767677736</w:t>
            </w:r>
          </w:p>
        </w:tc>
        <w:tc>
          <w:tcPr>
            <w:tcW w:type="dxa" w:w="2268"/>
          </w:tcPr>
          <w:p>
            <w:r>
              <w:rPr>
                <w:sz w:val="19"/>
              </w:rPr>
              <w:t>-5.913716578</w:t>
            </w:r>
          </w:p>
        </w:tc>
      </w:tr>
      <w:tr>
        <w:tc>
          <w:tcPr>
            <w:tcW w:type="dxa" w:w="2835"/>
          </w:tcPr>
          <w:p>
            <w:r>
              <w:rPr>
                <w:sz w:val="19"/>
              </w:rPr>
              <w:t>Hawke's Bay</w:t>
            </w:r>
          </w:p>
        </w:tc>
        <w:tc>
          <w:tcPr>
            <w:tcW w:type="dxa" w:w="2268"/>
          </w:tcPr>
          <w:p>
            <w:r>
              <w:rPr>
                <w:sz w:val="19"/>
              </w:rPr>
              <w:t>7.454444083</w:t>
            </w:r>
          </w:p>
        </w:tc>
        <w:tc>
          <w:tcPr>
            <w:tcW w:type="dxa" w:w="2268"/>
          </w:tcPr>
          <w:p>
            <w:r>
              <w:rPr>
                <w:sz w:val="19"/>
              </w:rPr>
              <w:t>-9.625008349</w:t>
            </w:r>
          </w:p>
        </w:tc>
      </w:tr>
      <w:tr>
        <w:tc>
          <w:tcPr>
            <w:tcW w:type="dxa" w:w="2835"/>
          </w:tcPr>
          <w:p>
            <w:r>
              <w:rPr>
                <w:sz w:val="19"/>
              </w:rPr>
              <w:t>Nelson</w:t>
            </w:r>
          </w:p>
        </w:tc>
        <w:tc>
          <w:tcPr>
            <w:tcW w:type="dxa" w:w="2268"/>
          </w:tcPr>
          <w:p>
            <w:r>
              <w:rPr>
                <w:sz w:val="19"/>
              </w:rPr>
              <w:t>7.645297489</w:t>
            </w:r>
          </w:p>
        </w:tc>
        <w:tc>
          <w:tcPr>
            <w:tcW w:type="dxa" w:w="2268"/>
          </w:tcPr>
          <w:p>
            <w:r>
              <w:rPr>
                <w:sz w:val="19"/>
              </w:rPr>
              <w:t>-7.652838205</w:t>
            </w:r>
          </w:p>
        </w:tc>
      </w:tr>
      <w:tr>
        <w:tc>
          <w:tcPr>
            <w:tcW w:type="dxa" w:w="2835"/>
          </w:tcPr>
          <w:p>
            <w:r>
              <w:rPr>
                <w:sz w:val="19"/>
              </w:rPr>
              <w:t>South</w:t>
            </w:r>
          </w:p>
        </w:tc>
        <w:tc>
          <w:tcPr>
            <w:tcW w:type="dxa" w:w="2268"/>
          </w:tcPr>
          <w:p>
            <w:r>
              <w:rPr>
                <w:sz w:val="19"/>
              </w:rPr>
              <w:t>7.81591067</w:t>
            </w:r>
          </w:p>
        </w:tc>
        <w:tc>
          <w:tcPr>
            <w:tcW w:type="dxa" w:w="2268"/>
          </w:tcPr>
          <w:p>
            <w:r>
              <w:rPr>
                <w:sz w:val="19"/>
              </w:rPr>
              <w:t>-10.50216636</w:t>
            </w:r>
          </w:p>
        </w:tc>
      </w:tr>
      <w:tr>
        <w:tc>
          <w:tcPr>
            <w:tcW w:type="dxa" w:w="2835"/>
          </w:tcPr>
          <w:p>
            <w:r>
              <w:rPr>
                <w:sz w:val="19"/>
              </w:rPr>
              <w:t>Westland</w:t>
            </w:r>
          </w:p>
        </w:tc>
        <w:tc>
          <w:tcPr>
            <w:tcW w:type="dxa" w:w="2268"/>
          </w:tcPr>
          <w:p>
            <w:r>
              <w:rPr>
                <w:sz w:val="19"/>
              </w:rPr>
              <w:t>6.90926642</w:t>
            </w:r>
          </w:p>
        </w:tc>
        <w:tc>
          <w:tcPr>
            <w:tcW w:type="dxa" w:w="2268"/>
          </w:tcPr>
          <w:p>
            <w:r>
              <w:rPr>
                <w:sz w:val="19"/>
              </w:rPr>
              <w:t>-16.60303168</w:t>
            </w:r>
          </w:p>
        </w:tc>
      </w:tr>
    </w:tbl>
    <w:p/>
    <w:p>
      <w:r>
        <w:rPr>
          <w:i w:val="0"/>
          <w:sz w:val="22"/>
        </w:rPr>
        <w:t>Potential change used in the survival function (used to compute ΔPMTD):</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2C5B8A"/>
          </w:tcPr>
          <w:p>
            <w:r>
              <w:rPr>
                <w:b/>
                <w:color w:val="FFFFFF"/>
                <w:sz w:val="20"/>
              </w:rPr>
              <w:t>Region</w:t>
            </w:r>
          </w:p>
        </w:tc>
        <w:tc>
          <w:tcPr>
            <w:tcW w:type="dxa" w:w="1701"/>
            <w:shd w:val="clear" w:color="auto" w:fill="2C5B8A"/>
          </w:tcPr>
          <w:p>
            <w:r>
              <w:rPr>
                <w:b/>
                <w:color w:val="FFFFFF"/>
                <w:sz w:val="20"/>
              </w:rPr>
              <w:t>a</w:t>
            </w:r>
          </w:p>
        </w:tc>
        <w:tc>
          <w:tcPr>
            <w:tcW w:type="dxa" w:w="1701"/>
            <w:shd w:val="clear" w:color="auto" w:fill="2C5B8A"/>
          </w:tcPr>
          <w:p>
            <w:r>
              <w:rPr>
                <w:b/>
                <w:color w:val="FFFFFF"/>
                <w:sz w:val="20"/>
              </w:rPr>
              <w:t>b</w:t>
            </w:r>
          </w:p>
        </w:tc>
      </w:tr>
      <w:tr>
        <w:tc>
          <w:tcPr>
            <w:tcW w:type="dxa" w:w="6236"/>
          </w:tcPr>
          <w:p>
            <w:r>
              <w:rPr>
                <w:sz w:val="19"/>
              </w:rPr>
              <w:t>Sands</w:t>
            </w:r>
          </w:p>
        </w:tc>
        <w:tc>
          <w:tcPr>
            <w:tcW w:type="dxa" w:w="1701"/>
          </w:tcPr>
          <w:p>
            <w:r>
              <w:rPr>
                <w:sz w:val="19"/>
              </w:rPr>
              <w:t>3.917162149</w:t>
            </w:r>
          </w:p>
        </w:tc>
        <w:tc>
          <w:tcPr>
            <w:tcW w:type="dxa" w:w="1701"/>
          </w:tcPr>
          <w:p>
            <w:r>
              <w:rPr>
                <w:sz w:val="19"/>
              </w:rPr>
              <w:t>-5.435622138</w:t>
            </w:r>
          </w:p>
        </w:tc>
      </w:tr>
      <w:tr>
        <w:tc>
          <w:tcPr>
            <w:tcW w:type="dxa" w:w="6236"/>
          </w:tcPr>
          <w:p>
            <w:r>
              <w:rPr>
                <w:sz w:val="19"/>
              </w:rPr>
              <w:t>Clay/SFT</w:t>
            </w:r>
          </w:p>
        </w:tc>
        <w:tc>
          <w:tcPr>
            <w:tcW w:type="dxa" w:w="1701"/>
          </w:tcPr>
          <w:p>
            <w:r>
              <w:rPr>
                <w:sz w:val="19"/>
              </w:rPr>
              <w:t>4.09046176</w:t>
            </w:r>
          </w:p>
        </w:tc>
        <w:tc>
          <w:tcPr>
            <w:tcW w:type="dxa" w:w="1701"/>
          </w:tcPr>
          <w:p>
            <w:r>
              <w:rPr>
                <w:sz w:val="19"/>
              </w:rPr>
              <w:t>-10.46210647</w:t>
            </w:r>
          </w:p>
        </w:tc>
      </w:tr>
      <w:tr>
        <w:tc>
          <w:tcPr>
            <w:tcW w:type="dxa" w:w="6236"/>
          </w:tcPr>
          <w:p>
            <w:r>
              <w:rPr>
                <w:sz w:val="19"/>
              </w:rPr>
              <w:t>Central North Island</w:t>
            </w:r>
          </w:p>
        </w:tc>
        <w:tc>
          <w:tcPr>
            <w:tcW w:type="dxa" w:w="1701"/>
          </w:tcPr>
          <w:p>
            <w:r>
              <w:rPr>
                <w:sz w:val="19"/>
              </w:rPr>
              <w:t>not fitted — not used (survival uses √D instead)</w:t>
            </w:r>
          </w:p>
        </w:tc>
        <w:tc>
          <w:tcPr>
            <w:tcW w:type="dxa" w:w="1701"/>
          </w:tcPr>
          <w:p>
            <w:r>
              <w:rPr>
                <w:sz w:val="19"/>
              </w:rPr>
            </w:r>
          </w:p>
        </w:tc>
      </w:tr>
      <w:tr>
        <w:tc>
          <w:tcPr>
            <w:tcW w:type="dxa" w:w="6236"/>
          </w:tcPr>
          <w:p>
            <w:r>
              <w:rPr>
                <w:sz w:val="19"/>
              </w:rPr>
              <w:t>Canterbury</w:t>
            </w:r>
          </w:p>
        </w:tc>
        <w:tc>
          <w:tcPr>
            <w:tcW w:type="dxa" w:w="1701"/>
          </w:tcPr>
          <w:p>
            <w:r>
              <w:rPr>
                <w:sz w:val="19"/>
              </w:rPr>
              <w:t>not fitted — not used (survival fixed at 1.0)</w:t>
            </w:r>
          </w:p>
        </w:tc>
        <w:tc>
          <w:tcPr>
            <w:tcW w:type="dxa" w:w="1701"/>
          </w:tcPr>
          <w:p>
            <w:r>
              <w:rPr>
                <w:sz w:val="19"/>
              </w:rPr>
            </w:r>
          </w:p>
        </w:tc>
      </w:tr>
      <w:tr>
        <w:tc>
          <w:tcPr>
            <w:tcW w:type="dxa" w:w="6236"/>
          </w:tcPr>
          <w:p>
            <w:r>
              <w:rPr>
                <w:sz w:val="19"/>
              </w:rPr>
              <w:t>Hawke's Bay</w:t>
            </w:r>
          </w:p>
        </w:tc>
        <w:tc>
          <w:tcPr>
            <w:tcW w:type="dxa" w:w="1701"/>
          </w:tcPr>
          <w:p>
            <w:r>
              <w:rPr>
                <w:sz w:val="19"/>
              </w:rPr>
              <w:t>4.327007014</w:t>
            </w:r>
          </w:p>
        </w:tc>
        <w:tc>
          <w:tcPr>
            <w:tcW w:type="dxa" w:w="1701"/>
          </w:tcPr>
          <w:p>
            <w:r>
              <w:rPr>
                <w:sz w:val="19"/>
              </w:rPr>
              <w:t>-6.790573715</w:t>
            </w:r>
          </w:p>
        </w:tc>
      </w:tr>
      <w:tr>
        <w:tc>
          <w:tcPr>
            <w:tcW w:type="dxa" w:w="6236"/>
          </w:tcPr>
          <w:p>
            <w:r>
              <w:rPr>
                <w:sz w:val="19"/>
              </w:rPr>
              <w:t>Nelson</w:t>
            </w:r>
          </w:p>
        </w:tc>
        <w:tc>
          <w:tcPr>
            <w:tcW w:type="dxa" w:w="1701"/>
          </w:tcPr>
          <w:p>
            <w:r>
              <w:rPr>
                <w:sz w:val="19"/>
              </w:rPr>
              <w:t>4.423091661</w:t>
            </w:r>
          </w:p>
        </w:tc>
        <w:tc>
          <w:tcPr>
            <w:tcW w:type="dxa" w:w="1701"/>
          </w:tcPr>
          <w:p>
            <w:r>
              <w:rPr>
                <w:sz w:val="19"/>
              </w:rPr>
              <w:t>-8.345960217</w:t>
            </w:r>
          </w:p>
        </w:tc>
      </w:tr>
      <w:tr>
        <w:tc>
          <w:tcPr>
            <w:tcW w:type="dxa" w:w="6236"/>
          </w:tcPr>
          <w:p>
            <w:r>
              <w:rPr>
                <w:sz w:val="19"/>
              </w:rPr>
              <w:t>South</w:t>
            </w:r>
          </w:p>
        </w:tc>
        <w:tc>
          <w:tcPr>
            <w:tcW w:type="dxa" w:w="1701"/>
          </w:tcPr>
          <w:p>
            <w:r>
              <w:rPr>
                <w:sz w:val="19"/>
              </w:rPr>
              <w:t>not fitted — not used (survival uses G, QMD, D/QMD instead)</w:t>
            </w:r>
          </w:p>
        </w:tc>
        <w:tc>
          <w:tcPr>
            <w:tcW w:type="dxa" w:w="1701"/>
          </w:tcPr>
          <w:p>
            <w:r>
              <w:rPr>
                <w:sz w:val="19"/>
              </w:rPr>
            </w:r>
          </w:p>
        </w:tc>
      </w:tr>
      <w:tr>
        <w:tc>
          <w:tcPr>
            <w:tcW w:type="dxa" w:w="6236"/>
          </w:tcPr>
          <w:p>
            <w:r>
              <w:rPr>
                <w:sz w:val="19"/>
              </w:rPr>
              <w:t>Westland</w:t>
            </w:r>
          </w:p>
        </w:tc>
        <w:tc>
          <w:tcPr>
            <w:tcW w:type="dxa" w:w="1701"/>
          </w:tcPr>
          <w:p>
            <w:r>
              <w:rPr>
                <w:sz w:val="19"/>
              </w:rPr>
              <w:t>not fitted — uses Nelson's constants (4.423091661, -8.345960217)</w:t>
            </w:r>
          </w:p>
        </w:tc>
        <w:tc>
          <w:tcPr>
            <w:tcW w:type="dxa" w:w="1701"/>
          </w:tcPr>
          <w:p>
            <w:r>
              <w:rPr>
                <w:sz w:val="19"/>
              </w:rPr>
            </w:r>
          </w:p>
        </w:tc>
      </w:tr>
    </w:tbl>
    <w:p>
      <w:r>
        <w:br w:type="page"/>
      </w:r>
    </w:p>
    <w:p>
      <w:pPr>
        <w:pStyle w:val="Heading1"/>
      </w:pPr>
      <w:r>
        <w:rPr>
          <w:color w:val="17324D"/>
        </w:rPr>
        <w:t>Model inputs</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2C5B8A"/>
          </w:tcPr>
          <w:p>
            <w:r>
              <w:rPr>
                <w:b/>
                <w:color w:val="FFFFFF"/>
                <w:sz w:val="20"/>
              </w:rPr>
              <w:t>Input</w:t>
            </w:r>
          </w:p>
        </w:tc>
        <w:tc>
          <w:tcPr>
            <w:tcW w:type="dxa" w:w="6803"/>
            <w:shd w:val="clear" w:color="auto" w:fill="2C5B8A"/>
          </w:tcPr>
          <w:p>
            <w:r>
              <w:rPr>
                <w:b/>
                <w:color w:val="FFFFFF"/>
                <w:sz w:val="20"/>
              </w:rPr>
              <w:t>Description</w:t>
            </w:r>
          </w:p>
        </w:tc>
      </w:tr>
      <w:tr>
        <w:tc>
          <w:tcPr>
            <w:tcW w:type="dxa" w:w="2551"/>
          </w:tcPr>
          <w:p>
            <w:r>
              <w:rPr>
                <w:sz w:val="19"/>
              </w:rPr>
              <w:t>Region</w:t>
            </w:r>
          </w:p>
        </w:tc>
        <w:tc>
          <w:tcPr>
            <w:tcW w:type="dxa" w:w="6803"/>
          </w:tcPr>
          <w:p>
            <w:r>
              <w:rPr>
                <w:sz w:val="19"/>
              </w:rPr>
              <w:t>One of eight New Zealand regions: Sands, Clay/SFT, Central North Island, Canterbury, Hawke's Bay, Nelson, South, Westland.</w:t>
            </w:r>
          </w:p>
        </w:tc>
      </w:tr>
      <w:tr>
        <w:tc>
          <w:tcPr>
            <w:tcW w:type="dxa" w:w="2551"/>
          </w:tcPr>
          <w:p>
            <w:r>
              <w:rPr>
                <w:sz w:val="19"/>
              </w:rPr>
              <w:t>Site altitude</w:t>
            </w:r>
          </w:p>
        </w:tc>
        <w:tc>
          <w:tcPr>
            <w:tcW w:type="dxa" w:w="6803"/>
          </w:tcPr>
          <w:p>
            <w:r>
              <w:rPr>
                <w:sz w:val="19"/>
              </w:rPr>
              <w:t>Metres above sea level; valid range 0-900 m.</w:t>
            </w:r>
          </w:p>
        </w:tc>
      </w:tr>
      <w:tr>
        <w:tc>
          <w:tcPr>
            <w:tcW w:type="dxa" w:w="2551"/>
          </w:tcPr>
          <w:p>
            <w:r>
              <w:rPr>
                <w:sz w:val="19"/>
              </w:rPr>
              <w:t>Nitrogen score</w:t>
            </w:r>
          </w:p>
        </w:tc>
        <w:tc>
          <w:tcPr>
            <w:tcW w:type="dxa" w:w="6803"/>
          </w:tcPr>
          <w:p>
            <w:r>
              <w:rPr>
                <w:sz w:val="19"/>
              </w:rPr>
              <w:t>Foliar nitrogen index, 1 (deficient) to 7 (satisfactory), Hunter et al. (1991).</w:t>
            </w:r>
          </w:p>
        </w:tc>
      </w:tr>
      <w:tr>
        <w:tc>
          <w:tcPr>
            <w:tcW w:type="dxa" w:w="2551"/>
          </w:tcPr>
          <w:p>
            <w:r>
              <w:rPr>
                <w:sz w:val="19"/>
              </w:rPr>
              <w:t>Phosphorus score</w:t>
            </w:r>
          </w:p>
        </w:tc>
        <w:tc>
          <w:tcPr>
            <w:tcW w:type="dxa" w:w="6803"/>
          </w:tcPr>
          <w:p>
            <w:r>
              <w:rPr>
                <w:sz w:val="19"/>
              </w:rPr>
              <w:t>Foliar phosphorus index, 1 (deficient) to 7 (satisfactory), Hunter et al. (1991).</w:t>
            </w:r>
          </w:p>
        </w:tc>
      </w:tr>
      <w:tr>
        <w:tc>
          <w:tcPr>
            <w:tcW w:type="dxa" w:w="2551"/>
          </w:tcPr>
          <w:p>
            <w:r>
              <w:rPr>
                <w:sz w:val="19"/>
              </w:rPr>
              <w:t>Monthly rainfall</w:t>
            </w:r>
          </w:p>
        </w:tc>
        <w:tc>
          <w:tcPr>
            <w:tcW w:type="dxa" w:w="6803"/>
          </w:tcPr>
          <w:p>
            <w:r>
              <w:rPr>
                <w:sz w:val="19"/>
              </w:rPr>
              <w:t>Twelve monthly rainfall totals (mm), January to December.</w:t>
            </w:r>
          </w:p>
        </w:tc>
      </w:tr>
      <w:tr>
        <w:tc>
          <w:tcPr>
            <w:tcW w:type="dxa" w:w="2551"/>
          </w:tcPr>
          <w:p>
            <w:r>
              <w:rPr>
                <w:sz w:val="19"/>
              </w:rPr>
              <w:t>Mortality adjustment</w:t>
            </w:r>
          </w:p>
        </w:tc>
        <w:tc>
          <w:tcPr>
            <w:tcW w:type="dxa" w:w="6803"/>
          </w:tcPr>
          <w:p>
            <w:r>
              <w:rPr>
                <w:sz w:val="19"/>
              </w:rPr>
              <w:t>Percentage adjustment applied to the predicted survival probability, -100 to +100.</w:t>
            </w:r>
          </w:p>
        </w:tc>
      </w:tr>
      <w:tr>
        <w:tc>
          <w:tcPr>
            <w:tcW w:type="dxa" w:w="2551"/>
          </w:tcPr>
          <w:p>
            <w:r>
              <w:rPr>
                <w:sz w:val="19"/>
              </w:rPr>
              <w:t>Tree list</w:t>
            </w:r>
          </w:p>
        </w:tc>
        <w:tc>
          <w:tcPr>
            <w:tcW w:type="dxa" w:w="6803"/>
          </w:tcPr>
          <w:p>
            <w:r>
              <w:rPr>
                <w:sz w:val="19"/>
              </w:rPr>
              <w:t>Stem diameter at breast height, height, and stocking weighting for every tree in the stand.</w:t>
            </w:r>
          </w:p>
        </w:tc>
      </w:tr>
    </w:tbl>
    <w:p/>
    <w:p>
      <w:pPr>
        <w:pStyle w:val="Heading1"/>
      </w:pPr>
      <w:r>
        <w:rPr>
          <w:color w:val="17324D"/>
        </w:rPr>
        <w:t>Model outputs (produced each simulated year)</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2C5B8A"/>
          </w:tcPr>
          <w:p>
            <w:r>
              <w:rPr>
                <w:b/>
                <w:color w:val="FFFFFF"/>
                <w:sz w:val="20"/>
              </w:rPr>
              <w:t>Output</w:t>
            </w:r>
          </w:p>
        </w:tc>
        <w:tc>
          <w:tcPr>
            <w:tcW w:type="dxa" w:w="6803"/>
            <w:shd w:val="clear" w:color="auto" w:fill="2C5B8A"/>
          </w:tcPr>
          <w:p>
            <w:r>
              <w:rPr>
                <w:b/>
                <w:color w:val="FFFFFF"/>
                <w:sz w:val="20"/>
              </w:rPr>
              <w:t>Description</w:t>
            </w:r>
          </w:p>
        </w:tc>
      </w:tr>
      <w:tr>
        <w:tc>
          <w:tcPr>
            <w:tcW w:type="dxa" w:w="2551"/>
          </w:tcPr>
          <w:p>
            <w:r>
              <w:rPr>
                <w:sz w:val="19"/>
              </w:rPr>
              <w:t>Stem diameter</w:t>
            </w:r>
          </w:p>
        </w:tc>
        <w:tc>
          <w:tcPr>
            <w:tcW w:type="dxa" w:w="6803"/>
          </w:tcPr>
          <w:p>
            <w:r>
              <w:rPr>
                <w:sz w:val="19"/>
              </w:rPr>
              <w:t>Updated diameter at breast height for every tree.</w:t>
            </w:r>
          </w:p>
        </w:tc>
      </w:tr>
      <w:tr>
        <w:tc>
          <w:tcPr>
            <w:tcW w:type="dxa" w:w="2551"/>
          </w:tcPr>
          <w:p>
            <w:r>
              <w:rPr>
                <w:sz w:val="19"/>
              </w:rPr>
              <w:t>Stem height</w:t>
            </w:r>
          </w:p>
        </w:tc>
        <w:tc>
          <w:tcPr>
            <w:tcW w:type="dxa" w:w="6803"/>
          </w:tcPr>
          <w:p>
            <w:r>
              <w:rPr>
                <w:sz w:val="19"/>
              </w:rPr>
              <w:t>Updated height for every tree, floored at 1.4 m.</w:t>
            </w:r>
          </w:p>
        </w:tc>
      </w:tr>
      <w:tr>
        <w:tc>
          <w:tcPr>
            <w:tcW w:type="dxa" w:w="2551"/>
          </w:tcPr>
          <w:p>
            <w:r>
              <w:rPr>
                <w:sz w:val="19"/>
              </w:rPr>
              <w:t>Stocking weighting</w:t>
            </w:r>
          </w:p>
        </w:tc>
        <w:tc>
          <w:tcPr>
            <w:tcW w:type="dxa" w:w="6803"/>
          </w:tcPr>
          <w:p>
            <w:r>
              <w:rPr>
                <w:sz w:val="19"/>
              </w:rPr>
              <w:t>Updated per-tree survival weighting, reflecting predicted mortality.</w:t>
            </w:r>
          </w:p>
        </w:tc>
      </w:tr>
      <w:tr>
        <w:tc>
          <w:tcPr>
            <w:tcW w:type="dxa" w:w="2551"/>
          </w:tcPr>
          <w:p>
            <w:r>
              <w:rPr>
                <w:sz w:val="19"/>
              </w:rPr>
              <w:t>Stand basal area</w:t>
            </w:r>
          </w:p>
        </w:tc>
        <w:tc>
          <w:tcPr>
            <w:tcW w:type="dxa" w:w="6803"/>
          </w:tcPr>
          <w:p>
            <w:r>
              <w:rPr>
                <w:sz w:val="19"/>
              </w:rPr>
              <w:t>Recalculated from the updated tree list.</w:t>
            </w:r>
          </w:p>
        </w:tc>
      </w:tr>
      <w:tr>
        <w:tc>
          <w:tcPr>
            <w:tcW w:type="dxa" w:w="2551"/>
          </w:tcPr>
          <w:p>
            <w:r>
              <w:rPr>
                <w:sz w:val="19"/>
              </w:rPr>
              <w:t>Stand stocking</w:t>
            </w:r>
          </w:p>
        </w:tc>
        <w:tc>
          <w:tcPr>
            <w:tcW w:type="dxa" w:w="6803"/>
          </w:tcPr>
          <w:p>
            <w:r>
              <w:rPr>
                <w:sz w:val="19"/>
              </w:rPr>
              <w:t>Recalculated from the updated tree list.</w:t>
            </w:r>
          </w:p>
        </w:tc>
      </w:tr>
      <w:tr>
        <w:tc>
          <w:tcPr>
            <w:tcW w:type="dxa" w:w="2551"/>
          </w:tcPr>
          <w:p>
            <w:r>
              <w:rPr>
                <w:sz w:val="19"/>
              </w:rPr>
              <w:t>Mean top height</w:t>
            </w:r>
          </w:p>
        </w:tc>
        <w:tc>
          <w:tcPr>
            <w:tcW w:type="dxa" w:w="6803"/>
          </w:tcPr>
          <w:p>
            <w:r>
              <w:rPr>
                <w:sz w:val="19"/>
              </w:rPr>
              <w:t>Recalculated from the updated tree list.</w:t>
            </w:r>
          </w:p>
        </w:tc>
      </w:tr>
      <w:tr>
        <w:tc>
          <w:tcPr>
            <w:tcW w:type="dxa" w:w="2551"/>
          </w:tcPr>
          <w:p>
            <w:r>
              <w:rPr>
                <w:sz w:val="19"/>
              </w:rPr>
              <w:t>Quadratic mean diameter</w:t>
            </w:r>
          </w:p>
        </w:tc>
        <w:tc>
          <w:tcPr>
            <w:tcW w:type="dxa" w:w="6803"/>
          </w:tcPr>
          <w:p>
            <w:r>
              <w:rPr>
                <w:sz w:val="19"/>
              </w:rPr>
              <w:t>Recalculated from the updated tree list.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