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0BD2" w14:textId="48B847F2" w:rsidR="004F24A6" w:rsidRPr="00EB1387" w:rsidRDefault="00EB1387" w:rsidP="00EB1387">
      <w:pPr>
        <w:jc w:val="center"/>
        <w:rPr>
          <w:b/>
          <w:bCs/>
          <w:sz w:val="28"/>
          <w:szCs w:val="28"/>
        </w:rPr>
      </w:pPr>
      <w:r w:rsidRPr="00EB1387">
        <w:rPr>
          <w:b/>
          <w:bCs/>
          <w:sz w:val="28"/>
          <w:szCs w:val="28"/>
        </w:rPr>
        <w:t>Q&amp;A Session for AWS Fintech Architecture Review</w:t>
      </w:r>
    </w:p>
    <w:p w14:paraId="0C1EF8B9" w14:textId="5448B5A0" w:rsidR="00EB1387" w:rsidRDefault="00EB1387" w:rsidP="00EB1387">
      <w:pPr>
        <w:jc w:val="both"/>
      </w:pPr>
      <w:r w:rsidRPr="00EB1387">
        <w:t>This document contains 10 questions grouped by the relevant AWS Well-Architected Framework pillar, designed to challenge the design team's implementation choices and operational readiness.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8"/>
        <w:gridCol w:w="2944"/>
        <w:gridCol w:w="4168"/>
      </w:tblGrid>
      <w:tr w:rsidR="00EB1387" w:rsidRPr="00EB1387" w14:paraId="51B6BF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97172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Pillar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21774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Question for the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A8C58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Model Answer / Justification</w:t>
            </w:r>
          </w:p>
        </w:tc>
      </w:tr>
      <w:tr w:rsidR="00EB1387" w:rsidRPr="00EB1387" w14:paraId="20F0B2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2AA79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1.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2C9B6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JWT Validation &amp; Trust Boundary:</w:t>
            </w:r>
            <w:r w:rsidRPr="00EB1387">
              <w:t xml:space="preserve"> The design uses Amazon </w:t>
            </w:r>
            <w:r w:rsidRPr="00EB1387">
              <w:rPr>
                <w:b/>
                <w:bCs/>
              </w:rPr>
              <w:t>Cognito</w:t>
            </w:r>
            <w:r w:rsidRPr="00EB1387">
              <w:t xml:space="preserve"> and JWTs. Explain the exact process the </w:t>
            </w:r>
            <w:r w:rsidRPr="00EB1387">
              <w:rPr>
                <w:b/>
                <w:bCs/>
              </w:rPr>
              <w:t>Spring Boot microservices</w:t>
            </w:r>
            <w:r w:rsidRPr="00EB1387">
              <w:t xml:space="preserve"> use to validate the token. If the Payment Service suddenly couldn't reach the Cognito JWKS endpoint, what would be the immediate user experience?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1185E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Validation Process:</w:t>
            </w:r>
            <w:r w:rsidRPr="00EB1387">
              <w:t xml:space="preserve"> The service validates the JWT by first checking its signature using the public keys retrieved from the Cognito JWKS endpoint. It then validates claims like </w:t>
            </w:r>
            <w:proofErr w:type="spellStart"/>
            <w:r w:rsidRPr="00EB1387">
              <w:t>iss</w:t>
            </w:r>
            <w:proofErr w:type="spellEnd"/>
            <w:r w:rsidRPr="00EB1387">
              <w:t xml:space="preserve"> (issuer), </w:t>
            </w:r>
            <w:proofErr w:type="spellStart"/>
            <w:r w:rsidRPr="00EB1387">
              <w:t>aud</w:t>
            </w:r>
            <w:proofErr w:type="spellEnd"/>
            <w:r w:rsidRPr="00EB1387">
              <w:t xml:space="preserve"> (audience), and exp (expiration time). For performance, the JWKS keys are cached, usually for 5-10 minutes. </w:t>
            </w:r>
            <w:r w:rsidRPr="00EB1387">
              <w:rPr>
                <w:b/>
                <w:bCs/>
              </w:rPr>
              <w:t>Failure Mode:</w:t>
            </w:r>
            <w:r w:rsidRPr="00EB1387">
              <w:t xml:space="preserve"> If the JWKS endpoint is unreachable, the service will rely on its cached keys until they expire. Once the cache expires, all subsequent API calls will fail with a 401 Unauthorized error, as the service cannot verify the token signature against the public key. This highlights the dependency on the caching strategy for uptime.</w:t>
            </w:r>
          </w:p>
        </w:tc>
      </w:tr>
      <w:tr w:rsidR="00EB1387" w:rsidRPr="00EB1387" w14:paraId="27D92F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8F49B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2.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CBA53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Least Privilege &amp; Security Groups:</w:t>
            </w:r>
            <w:r w:rsidRPr="00EB1387">
              <w:t xml:space="preserve"> The design correctly restricts outbound traffic from the EC2-SG to the RDS-SG. If the Payment microservice needed to call a </w:t>
            </w:r>
            <w:r w:rsidRPr="00EB1387">
              <w:rPr>
                <w:i/>
                <w:iCs/>
              </w:rPr>
              <w:t>fourth-party payment processor</w:t>
            </w:r>
            <w:r w:rsidRPr="00EB1387">
              <w:t xml:space="preserve"> API over HTTPS, how would you modify the </w:t>
            </w:r>
            <w:r w:rsidRPr="00EB1387">
              <w:rPr>
                <w:b/>
                <w:bCs/>
              </w:rPr>
              <w:t>EC2-SG</w:t>
            </w:r>
            <w:r w:rsidRPr="00EB1387">
              <w:t xml:space="preserve">'s outbound rule, and </w:t>
            </w:r>
            <w:r w:rsidRPr="00EB1387">
              <w:lastRenderedPageBreak/>
              <w:t>why is this the preferred approach?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4B7BB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lastRenderedPageBreak/>
              <w:t>Modification:</w:t>
            </w:r>
            <w:r w:rsidRPr="00EB1387">
              <w:t xml:space="preserve"> We would add a specific </w:t>
            </w:r>
            <w:r w:rsidRPr="00EB1387">
              <w:rPr>
                <w:b/>
                <w:bCs/>
              </w:rPr>
              <w:t>outbound rule</w:t>
            </w:r>
            <w:r w:rsidRPr="00EB1387">
              <w:t xml:space="preserve"> to the EC2-SG allowing TCP Port 443 traffic destined </w:t>
            </w:r>
            <w:r w:rsidRPr="00EB1387">
              <w:rPr>
                <w:i/>
                <w:iCs/>
              </w:rPr>
              <w:t>only</w:t>
            </w:r>
            <w:r w:rsidRPr="00EB1387">
              <w:t xml:space="preserve"> to the specific IP address ranges (or CIDR blocks) of the third-party processor, or to a specific hostname if a proxy is used. </w:t>
            </w:r>
            <w:r w:rsidRPr="00EB1387">
              <w:rPr>
                <w:b/>
                <w:bCs/>
              </w:rPr>
              <w:t>Justification:</w:t>
            </w:r>
            <w:r w:rsidRPr="00EB1387">
              <w:t xml:space="preserve"> This adheres to the </w:t>
            </w:r>
            <w:r w:rsidRPr="00EB1387">
              <w:rPr>
                <w:b/>
                <w:bCs/>
              </w:rPr>
              <w:t>Principle of Least Privilege</w:t>
            </w:r>
            <w:r w:rsidRPr="00EB1387">
              <w:t xml:space="preserve">. Simply allowing 0.0.0.0/0 (all outbound traffic) would enable an attacker (if the EC2 is compromised) to </w:t>
            </w:r>
            <w:r w:rsidRPr="00EB1387">
              <w:lastRenderedPageBreak/>
              <w:t>exfiltrate sensitive data to any arbitrary endpoint, which is a critical security vulnerability in a fintech environment.</w:t>
            </w:r>
          </w:p>
        </w:tc>
      </w:tr>
      <w:tr w:rsidR="00EB1387" w:rsidRPr="00EB1387" w14:paraId="7787A8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19A39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lastRenderedPageBreak/>
              <w:t>3. 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6556D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RDS Failover RTO/RPO:</w:t>
            </w:r>
            <w:r w:rsidRPr="00EB1387">
              <w:t xml:space="preserve"> The NFR is an RTO of </w:t>
            </w:r>
            <w:r w:rsidRPr="00EB1387">
              <w:rPr>
                <w:b/>
                <w:bCs/>
              </w:rPr>
              <w:t>$\</w:t>
            </w:r>
            <w:proofErr w:type="spellStart"/>
            <w:r w:rsidRPr="00EB1387">
              <w:rPr>
                <w:b/>
                <w:bCs/>
              </w:rPr>
              <w:t>leq</w:t>
            </w:r>
            <w:proofErr w:type="spellEnd"/>
            <w:r w:rsidRPr="00EB1387">
              <w:rPr>
                <w:b/>
                <w:bCs/>
              </w:rPr>
              <w:t>$ 1 hour</w:t>
            </w:r>
            <w:r w:rsidRPr="00EB1387">
              <w:t xml:space="preserve"> and the RDS is </w:t>
            </w:r>
            <w:proofErr w:type="gramStart"/>
            <w:r w:rsidRPr="00EB1387">
              <w:t>Multi-AZ.</w:t>
            </w:r>
            <w:proofErr w:type="gramEnd"/>
            <w:r w:rsidRPr="00EB1387">
              <w:t xml:space="preserve"> What is the typical </w:t>
            </w:r>
            <w:r w:rsidRPr="00EB1387">
              <w:rPr>
                <w:b/>
                <w:bCs/>
              </w:rPr>
              <w:t>RTO</w:t>
            </w:r>
            <w:r w:rsidRPr="00EB1387">
              <w:t xml:space="preserve"> for an RDS Multi-AZ failover, and what happens to </w:t>
            </w:r>
            <w:r w:rsidRPr="00EB1387">
              <w:rPr>
                <w:i/>
                <w:iCs/>
              </w:rPr>
              <w:t>active, in-flight transactions</w:t>
            </w:r>
            <w:r w:rsidRPr="00EB1387">
              <w:t xml:space="preserve"> during the automatic failover event?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7EC79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Typical RTO:</w:t>
            </w:r>
            <w:r w:rsidRPr="00EB1387">
              <w:t xml:space="preserve"> RDS Multi-AZ failover is typically completed in </w:t>
            </w:r>
            <w:r w:rsidRPr="00EB1387">
              <w:rPr>
                <w:b/>
                <w:bCs/>
              </w:rPr>
              <w:t>60-120 seconds</w:t>
            </w:r>
            <w:r w:rsidRPr="00EB1387">
              <w:t xml:space="preserve"> (much faster than the 1-hour NFR). </w:t>
            </w:r>
            <w:r w:rsidRPr="00EB1387">
              <w:rPr>
                <w:b/>
                <w:bCs/>
              </w:rPr>
              <w:t>Transaction Handling:</w:t>
            </w:r>
            <w:r w:rsidRPr="00EB1387">
              <w:t xml:space="preserve"> The failover mechanism relies on the DNS endpoint remaining the same. Any transaction </w:t>
            </w:r>
            <w:r w:rsidRPr="00EB1387">
              <w:rPr>
                <w:i/>
                <w:iCs/>
              </w:rPr>
              <w:t>in flight</w:t>
            </w:r>
            <w:r w:rsidRPr="00EB1387">
              <w:t xml:space="preserve"> </w:t>
            </w:r>
            <w:proofErr w:type="gramStart"/>
            <w:r w:rsidRPr="00EB1387">
              <w:t>at the moment</w:t>
            </w:r>
            <w:proofErr w:type="gramEnd"/>
            <w:r w:rsidRPr="00EB1387">
              <w:t xml:space="preserve"> of failure will be rolled back due to the connection loss. The application logic (Spring Boot) must be coded with </w:t>
            </w:r>
            <w:r w:rsidRPr="00EB1387">
              <w:rPr>
                <w:b/>
                <w:bCs/>
              </w:rPr>
              <w:t>idempotency and a retry mechanism</w:t>
            </w:r>
            <w:r w:rsidRPr="00EB1387">
              <w:t xml:space="preserve"> to safely resubmit the transaction once the connection to the new primary is re-established.</w:t>
            </w:r>
          </w:p>
        </w:tc>
      </w:tr>
      <w:tr w:rsidR="00EB1387" w:rsidRPr="00EB1387" w14:paraId="700E63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5994B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4. 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6AC89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Application Resilience (Warm-Up):</w:t>
            </w:r>
            <w:r w:rsidRPr="00EB1387">
              <w:t xml:space="preserve"> The team chose </w:t>
            </w:r>
            <w:r w:rsidRPr="00EB1387">
              <w:rPr>
                <w:b/>
                <w:bCs/>
              </w:rPr>
              <w:t>EC2 Auto Scaling Groups</w:t>
            </w:r>
            <w:r w:rsidRPr="00EB1387">
              <w:t xml:space="preserve"> over Lambda for "warm instances." If the ASG scales out quickly during a spike, how do you ensure the newly launched Spring Boot instance is fully </w:t>
            </w:r>
            <w:r w:rsidRPr="00EB1387">
              <w:rPr>
                <w:b/>
                <w:bCs/>
              </w:rPr>
              <w:t>warmed up and ready</w:t>
            </w:r>
            <w:r w:rsidRPr="00EB1387">
              <w:t xml:space="preserve"> to handle traffic </w:t>
            </w:r>
            <w:r w:rsidRPr="00EB1387">
              <w:rPr>
                <w:i/>
                <w:iCs/>
              </w:rPr>
              <w:t>before</w:t>
            </w:r>
            <w:r w:rsidRPr="00EB1387">
              <w:t xml:space="preserve"> the ALB health check marks it as healthy?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5D8E4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Solution:</w:t>
            </w:r>
            <w:r w:rsidRPr="00EB1387">
              <w:t xml:space="preserve"> We would use a </w:t>
            </w:r>
            <w:r w:rsidRPr="00EB1387">
              <w:rPr>
                <w:b/>
                <w:bCs/>
              </w:rPr>
              <w:t>deep, multi-step health check</w:t>
            </w:r>
            <w:r w:rsidRPr="00EB1387">
              <w:t xml:space="preserve"> on the ALB. The health check endpoint (/actuator/health/readiness in Spring Boot) would not return a 200 OK until the service has: 1) Completed the JVM startup and dependency injection. 2) Initialized its connection pool (to RDS). 3) Executed any critical startup tasks (e.g., in-memory caches populated). This ensures the application is </w:t>
            </w:r>
            <w:r w:rsidRPr="00EB1387">
              <w:rPr>
                <w:i/>
                <w:iCs/>
              </w:rPr>
              <w:t>functionally</w:t>
            </w:r>
            <w:r w:rsidRPr="00EB1387">
              <w:t xml:space="preserve"> ready, not just </w:t>
            </w:r>
            <w:r w:rsidRPr="00EB1387">
              <w:rPr>
                <w:i/>
                <w:iCs/>
              </w:rPr>
              <w:t>running</w:t>
            </w:r>
            <w:r w:rsidRPr="00EB1387">
              <w:t>, before receiving production traffic.</w:t>
            </w:r>
          </w:p>
        </w:tc>
      </w:tr>
      <w:tr w:rsidR="00EB1387" w:rsidRPr="00EB1387" w14:paraId="0CA5EA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BA93E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lastRenderedPageBreak/>
              <w:t>5. Performance 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8B306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P95 Latency Bottlenecks:</w:t>
            </w:r>
            <w:r w:rsidRPr="00EB1387">
              <w:t xml:space="preserve"> If metrics show a consistent P95 of 350 </w:t>
            </w:r>
            <w:proofErr w:type="spellStart"/>
            <w:r w:rsidRPr="00EB1387">
              <w:t>ms</w:t>
            </w:r>
            <w:proofErr w:type="spellEnd"/>
            <w:r w:rsidRPr="00EB1387">
              <w:t xml:space="preserve"> (NFR $\</w:t>
            </w:r>
            <w:proofErr w:type="spellStart"/>
            <w:r w:rsidRPr="00EB1387">
              <w:t>leq</w:t>
            </w:r>
            <w:proofErr w:type="spellEnd"/>
            <w:r w:rsidRPr="00EB1387">
              <w:t xml:space="preserve">$ 250 </w:t>
            </w:r>
            <w:proofErr w:type="spellStart"/>
            <w:r w:rsidRPr="00EB1387">
              <w:t>ms</w:t>
            </w:r>
            <w:proofErr w:type="spellEnd"/>
            <w:r w:rsidRPr="00EB1387">
              <w:t xml:space="preserve">), where would you immediately look for the bottleneck, and what is your first, non-scaling </w:t>
            </w:r>
            <w:r w:rsidRPr="00EB1387">
              <w:rPr>
                <w:b/>
                <w:bCs/>
              </w:rPr>
              <w:t>architectural change</w:t>
            </w:r>
            <w:r w:rsidRPr="00EB1387"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8BEA0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Bottleneck Search:</w:t>
            </w:r>
            <w:r w:rsidRPr="00EB1387">
              <w:t xml:space="preserve"> We would use </w:t>
            </w:r>
            <w:r w:rsidRPr="00EB1387">
              <w:rPr>
                <w:b/>
                <w:bCs/>
              </w:rPr>
              <w:t>AWS X-Ray</w:t>
            </w:r>
            <w:r w:rsidRPr="00EB1387">
              <w:t xml:space="preserve"> to trace the slowest 5% of requests. We’d likely find the issue is an </w:t>
            </w:r>
            <w:r w:rsidRPr="00EB1387">
              <w:rPr>
                <w:b/>
                <w:bCs/>
              </w:rPr>
              <w:t>N+1 query pattern</w:t>
            </w:r>
            <w:r w:rsidRPr="00EB1387">
              <w:t xml:space="preserve"> on the RDS layer or an excessive wait time on the </w:t>
            </w:r>
            <w:r w:rsidRPr="00EB1387">
              <w:rPr>
                <w:b/>
                <w:bCs/>
              </w:rPr>
              <w:t>Payment Service's connection pool</w:t>
            </w:r>
            <w:r w:rsidRPr="00EB1387">
              <w:t xml:space="preserve">. </w:t>
            </w:r>
            <w:r w:rsidRPr="00EB1387">
              <w:rPr>
                <w:b/>
                <w:bCs/>
              </w:rPr>
              <w:t>Architectural Change:</w:t>
            </w:r>
            <w:r w:rsidRPr="00EB1387">
              <w:t xml:space="preserve"> The first change would be to implement a small, fast </w:t>
            </w:r>
            <w:proofErr w:type="spellStart"/>
            <w:r w:rsidRPr="00EB1387">
              <w:rPr>
                <w:b/>
                <w:bCs/>
              </w:rPr>
              <w:t>ElastiCache</w:t>
            </w:r>
            <w:proofErr w:type="spellEnd"/>
            <w:r w:rsidRPr="00EB1387">
              <w:rPr>
                <w:b/>
                <w:bCs/>
              </w:rPr>
              <w:t xml:space="preserve"> Redis</w:t>
            </w:r>
            <w:r w:rsidRPr="00EB1387">
              <w:t xml:space="preserve"> cluster in front of the RDS database to cache high-read/low-write data, such as User Profile lookups or static configuration data, alleviating the burden on the database.</w:t>
            </w:r>
          </w:p>
        </w:tc>
      </w:tr>
      <w:tr w:rsidR="00EB1387" w:rsidRPr="00EB1387" w14:paraId="716C9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42D0B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6. Performance 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0EFFC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S3/CloudFront Cache Invalidation:</w:t>
            </w:r>
            <w:r w:rsidRPr="00EB1387">
              <w:t xml:space="preserve"> If a critical bug fix requires an immediate deployment of the </w:t>
            </w:r>
            <w:r w:rsidRPr="00EB1387">
              <w:rPr>
                <w:b/>
                <w:bCs/>
              </w:rPr>
              <w:t>React SPA frontend</w:t>
            </w:r>
            <w:r w:rsidRPr="00EB1387">
              <w:t xml:space="preserve">, how do you ensure all users get the </w:t>
            </w:r>
            <w:r w:rsidRPr="00EB1387">
              <w:rPr>
                <w:b/>
                <w:bCs/>
              </w:rPr>
              <w:t>new code immediately</w:t>
            </w:r>
            <w:r w:rsidRPr="00EB1387">
              <w:t xml:space="preserve"> instead of waiting for the TTL to expire? What are the cost implications?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39374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Solution:</w:t>
            </w:r>
            <w:r w:rsidRPr="00EB1387">
              <w:t xml:space="preserve"> We deploy the new code to S3 with a </w:t>
            </w:r>
            <w:r w:rsidRPr="00EB1387">
              <w:rPr>
                <w:b/>
                <w:bCs/>
              </w:rPr>
              <w:t>new unique object name</w:t>
            </w:r>
            <w:r w:rsidRPr="00EB1387">
              <w:t xml:space="preserve"> (e.g., using a hash or version number in the file name, </w:t>
            </w:r>
            <w:proofErr w:type="gramStart"/>
            <w:r w:rsidRPr="00EB1387">
              <w:t>main.[</w:t>
            </w:r>
            <w:proofErr w:type="gramEnd"/>
            <w:r w:rsidRPr="00EB1387">
              <w:t>hash].</w:t>
            </w:r>
            <w:proofErr w:type="spellStart"/>
            <w:r w:rsidRPr="00EB1387">
              <w:t>js</w:t>
            </w:r>
            <w:proofErr w:type="spellEnd"/>
            <w:r w:rsidRPr="00EB1387">
              <w:t xml:space="preserve">). We then modify the root index.html file (which should have a very short or zero TTL) to reference this new object name. If that fails, we use a full </w:t>
            </w:r>
            <w:r w:rsidRPr="00EB1387">
              <w:rPr>
                <w:b/>
                <w:bCs/>
              </w:rPr>
              <w:t>CloudFront Cache Invalidation</w:t>
            </w:r>
            <w:r w:rsidRPr="00EB1387">
              <w:t xml:space="preserve"> via the AWS CLI or Console. </w:t>
            </w:r>
            <w:r w:rsidRPr="00EB1387">
              <w:rPr>
                <w:b/>
                <w:bCs/>
              </w:rPr>
              <w:t>Cost Implications:</w:t>
            </w:r>
            <w:r w:rsidRPr="00EB1387">
              <w:t xml:space="preserve"> Invalidation is effective but carries a cost. AWS usually offers a certain number of free invalidation paths per month, after which there is a small per-path fee. We minimize cost by only invalidating the root paths (/index.html and /) rather than the entire distribution.</w:t>
            </w:r>
          </w:p>
        </w:tc>
      </w:tr>
      <w:tr w:rsidR="00EB1387" w:rsidRPr="00EB1387" w14:paraId="7FB08F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A564E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lastRenderedPageBreak/>
              <w:t>7. Cost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DCE78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NAT Gateway Cost Mitigation:</w:t>
            </w:r>
            <w:r w:rsidRPr="00EB1387">
              <w:t xml:space="preserve"> Beyond VPC Endpoints for AWS services, what specific strategy would you use to measure, audit, and </w:t>
            </w:r>
            <w:r w:rsidRPr="00EB1387">
              <w:rPr>
                <w:i/>
                <w:iCs/>
              </w:rPr>
              <w:t>further</w:t>
            </w:r>
            <w:r w:rsidRPr="00EB1387">
              <w:t xml:space="preserve"> minimize the total data processed by the NAT Gateway?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6AD3C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Strategy:</w:t>
            </w:r>
            <w:r w:rsidRPr="00EB1387">
              <w:t xml:space="preserve"> The primary way to audit and minimize is by using </w:t>
            </w:r>
            <w:r w:rsidRPr="00EB1387">
              <w:rPr>
                <w:b/>
                <w:bCs/>
              </w:rPr>
              <w:t>VPC Flow Logs</w:t>
            </w:r>
            <w:r w:rsidRPr="00EB1387">
              <w:t xml:space="preserve"> to </w:t>
            </w:r>
            <w:proofErr w:type="spellStart"/>
            <w:r w:rsidRPr="00EB1387">
              <w:t>analyze</w:t>
            </w:r>
            <w:proofErr w:type="spellEnd"/>
            <w:r w:rsidRPr="00EB1387">
              <w:t xml:space="preserve"> traffic destined for the NAT Gateway (i.e., external IP addresses). If the analysis reveals high traffic to a </w:t>
            </w:r>
            <w:r w:rsidRPr="00EB1387">
              <w:rPr>
                <w:i/>
                <w:iCs/>
              </w:rPr>
              <w:t>known, frequently used external API</w:t>
            </w:r>
            <w:r w:rsidRPr="00EB1387">
              <w:t xml:space="preserve"> (like a notification vendor), we </w:t>
            </w:r>
            <w:proofErr w:type="gramStart"/>
            <w:r w:rsidRPr="00EB1387">
              <w:t>would</w:t>
            </w:r>
            <w:proofErr w:type="gramEnd"/>
            <w:r w:rsidRPr="00EB1387">
              <w:t xml:space="preserve"> implement an </w:t>
            </w:r>
            <w:r w:rsidRPr="00EB1387">
              <w:rPr>
                <w:b/>
                <w:bCs/>
              </w:rPr>
              <w:t>outbound HTTP/S proxy</w:t>
            </w:r>
            <w:r w:rsidRPr="00EB1387">
              <w:t xml:space="preserve"> on a small EC2 instance </w:t>
            </w:r>
            <w:r w:rsidRPr="00EB1387">
              <w:rPr>
                <w:i/>
                <w:iCs/>
              </w:rPr>
              <w:t>within the VPC</w:t>
            </w:r>
            <w:r w:rsidRPr="00EB1387">
              <w:t>. This proxy could cache certain external API responses, eliminating repeat traffic through the NAT Gateway, leading to significant cost savings.</w:t>
            </w:r>
          </w:p>
        </w:tc>
      </w:tr>
      <w:tr w:rsidR="00EB1387" w:rsidRPr="00EB1387" w14:paraId="423CDE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D0767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8. Cost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1D1B6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Compute Pricing Model Justification:</w:t>
            </w:r>
            <w:r w:rsidRPr="00EB1387">
              <w:t xml:space="preserve"> With a variable load (2 EC2 instances at night, 20 during the day), how would you calculate the </w:t>
            </w:r>
            <w:r w:rsidRPr="00EB1387">
              <w:rPr>
                <w:b/>
                <w:bCs/>
              </w:rPr>
              <w:t>optimal reservation level</w:t>
            </w:r>
            <w:r w:rsidRPr="00EB1387">
              <w:t xml:space="preserve"> for Savings Plans?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6FE0B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Calculation:</w:t>
            </w:r>
            <w:r w:rsidRPr="00EB1387">
              <w:t xml:space="preserve"> The optimal level is calculated by establishing the </w:t>
            </w:r>
            <w:r w:rsidRPr="00EB1387">
              <w:rPr>
                <w:b/>
                <w:bCs/>
              </w:rPr>
              <w:t>minimum sustained baseline</w:t>
            </w:r>
            <w:r w:rsidRPr="00EB1387">
              <w:t xml:space="preserve"> usage over the last 3-6 months, which in this case is </w:t>
            </w:r>
            <w:r w:rsidRPr="00EB1387">
              <w:rPr>
                <w:b/>
                <w:bCs/>
              </w:rPr>
              <w:t>2 instances 24/7</w:t>
            </w:r>
            <w:r w:rsidRPr="00EB1387">
              <w:t xml:space="preserve">. We would purchase a </w:t>
            </w:r>
            <w:r w:rsidRPr="00EB1387">
              <w:rPr>
                <w:b/>
                <w:bCs/>
              </w:rPr>
              <w:t>1-</w:t>
            </w:r>
            <w:proofErr w:type="gramStart"/>
            <w:r w:rsidRPr="00EB1387">
              <w:rPr>
                <w:b/>
                <w:bCs/>
              </w:rPr>
              <w:t>year</w:t>
            </w:r>
            <w:proofErr w:type="gramEnd"/>
            <w:r w:rsidRPr="00EB1387">
              <w:rPr>
                <w:b/>
                <w:bCs/>
              </w:rPr>
              <w:t xml:space="preserve"> or 3-year Compute Savings Plan</w:t>
            </w:r>
            <w:r w:rsidRPr="00EB1387">
              <w:t xml:space="preserve"> commitment based on the </w:t>
            </w:r>
            <w:r w:rsidRPr="00EB1387">
              <w:rPr>
                <w:i/>
                <w:iCs/>
              </w:rPr>
              <w:t>hourly spend</w:t>
            </w:r>
            <w:r w:rsidRPr="00EB1387">
              <w:t xml:space="preserve"> of those two instances. Any usage above that baseline (the 18 extra instances during peak hours) would automatically be covered by the cheaper Savings Plan rate until the reserved commitment is </w:t>
            </w:r>
            <w:proofErr w:type="gramStart"/>
            <w:r w:rsidRPr="00EB1387">
              <w:t>met, and</w:t>
            </w:r>
            <w:proofErr w:type="gramEnd"/>
            <w:r w:rsidRPr="00EB1387">
              <w:t xml:space="preserve"> then fall back to On-Demand pricing. This locks in maximum savings for the predictable baseline.</w:t>
            </w:r>
          </w:p>
        </w:tc>
      </w:tr>
      <w:tr w:rsidR="00EB1387" w:rsidRPr="00EB1387" w14:paraId="5EAB2D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D4A12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9. Operational Excellence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F6BE8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Audit Trail and Compliance:</w:t>
            </w:r>
            <w:r w:rsidRPr="00EB1387">
              <w:t xml:space="preserve"> The lab requires </w:t>
            </w:r>
            <w:r w:rsidRPr="00EB1387">
              <w:rPr>
                <w:b/>
                <w:bCs/>
              </w:rPr>
              <w:t>90-day audit log retention</w:t>
            </w:r>
            <w:r w:rsidRPr="00EB1387">
              <w:t xml:space="preserve">. What </w:t>
            </w:r>
            <w:r w:rsidRPr="00EB1387">
              <w:rPr>
                <w:b/>
                <w:bCs/>
              </w:rPr>
              <w:lastRenderedPageBreak/>
              <w:t>three specific AWS services</w:t>
            </w:r>
            <w:r w:rsidRPr="00EB1387">
              <w:t xml:space="preserve"> are you leveraging to ensure that an auditor can reconstruct a user's </w:t>
            </w:r>
            <w:r w:rsidRPr="00EB1387">
              <w:rPr>
                <w:i/>
                <w:iCs/>
              </w:rPr>
              <w:t>entire session</w:t>
            </w:r>
            <w:r w:rsidRPr="00EB1387">
              <w:t xml:space="preserve"> and all API calls, and where are you capturing the user's </w:t>
            </w:r>
            <w:r w:rsidRPr="00EB1387">
              <w:rPr>
                <w:b/>
                <w:bCs/>
              </w:rPr>
              <w:t>Cognito ID</w:t>
            </w:r>
            <w:r w:rsidRPr="00EB1387">
              <w:t xml:space="preserve"> in the request trail?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B752D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lastRenderedPageBreak/>
              <w:t>Three Services:</w:t>
            </w:r>
            <w:r w:rsidRPr="00EB1387">
              <w:t xml:space="preserve"> 1) </w:t>
            </w:r>
            <w:r w:rsidRPr="00EB1387">
              <w:rPr>
                <w:b/>
                <w:bCs/>
              </w:rPr>
              <w:t>AWS CloudTrail</w:t>
            </w:r>
            <w:r w:rsidRPr="00EB1387">
              <w:t xml:space="preserve"> (for recording all management/control plane actions). 2) </w:t>
            </w:r>
            <w:r w:rsidRPr="00EB1387">
              <w:rPr>
                <w:b/>
                <w:bCs/>
              </w:rPr>
              <w:t>ALB Access Logs</w:t>
            </w:r>
            <w:r w:rsidRPr="00EB1387">
              <w:t xml:space="preserve"> (for </w:t>
            </w:r>
            <w:r w:rsidRPr="00EB1387">
              <w:lastRenderedPageBreak/>
              <w:t xml:space="preserve">recording all HTTP requests). 3) </w:t>
            </w:r>
            <w:r w:rsidRPr="00EB1387">
              <w:rPr>
                <w:b/>
                <w:bCs/>
              </w:rPr>
              <w:t>CloudWatch Logs</w:t>
            </w:r>
            <w:r w:rsidRPr="00EB1387">
              <w:t xml:space="preserve"> (for application-specific business logic logs). </w:t>
            </w:r>
            <w:r w:rsidRPr="00EB1387">
              <w:rPr>
                <w:b/>
                <w:bCs/>
              </w:rPr>
              <w:t>Cognito ID Capture:</w:t>
            </w:r>
            <w:r w:rsidRPr="00EB1387">
              <w:t xml:space="preserve"> The microservices must be designed to extract the unique </w:t>
            </w:r>
            <w:r w:rsidRPr="00EB1387">
              <w:rPr>
                <w:b/>
                <w:bCs/>
              </w:rPr>
              <w:t xml:space="preserve">sub (subject) or </w:t>
            </w:r>
            <w:proofErr w:type="spellStart"/>
            <w:proofErr w:type="gramStart"/>
            <w:r w:rsidRPr="00EB1387">
              <w:rPr>
                <w:b/>
                <w:bCs/>
              </w:rPr>
              <w:t>cognito:username</w:t>
            </w:r>
            <w:proofErr w:type="spellEnd"/>
            <w:proofErr w:type="gramEnd"/>
            <w:r w:rsidRPr="00EB1387">
              <w:t xml:space="preserve"> claim from the validated JWT and </w:t>
            </w:r>
            <w:r w:rsidRPr="00EB1387">
              <w:rPr>
                <w:b/>
                <w:bCs/>
              </w:rPr>
              <w:t>inject it into every application log line</w:t>
            </w:r>
            <w:r w:rsidRPr="00EB1387">
              <w:t xml:space="preserve"> (CloudWatch) and as a custom header (e.g., X-User-ID) in the response headers that get logged by the </w:t>
            </w:r>
            <w:r w:rsidRPr="00EB1387">
              <w:rPr>
                <w:b/>
                <w:bCs/>
              </w:rPr>
              <w:t>ALB Access Logs</w:t>
            </w:r>
            <w:r w:rsidRPr="00EB1387">
              <w:t>. This creates the necessary correlation key.</w:t>
            </w:r>
          </w:p>
        </w:tc>
      </w:tr>
      <w:tr w:rsidR="00EB1387" w:rsidRPr="00EB1387" w14:paraId="10ABD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2D4CD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lastRenderedPageBreak/>
              <w:t>10. Operational Excellence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AAFB6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Infrastructure as Code (</w:t>
            </w:r>
            <w:proofErr w:type="spellStart"/>
            <w:r w:rsidRPr="00EB1387">
              <w:rPr>
                <w:b/>
                <w:bCs/>
              </w:rPr>
              <w:t>IaC</w:t>
            </w:r>
            <w:proofErr w:type="spellEnd"/>
            <w:r w:rsidRPr="00EB1387">
              <w:rPr>
                <w:b/>
                <w:bCs/>
              </w:rPr>
              <w:t>) Gap:</w:t>
            </w:r>
            <w:r w:rsidRPr="00EB1387">
              <w:t xml:space="preserve"> If you had to implement this entire environment using </w:t>
            </w:r>
            <w:proofErr w:type="spellStart"/>
            <w:r w:rsidRPr="00EB1387">
              <w:rPr>
                <w:b/>
                <w:bCs/>
              </w:rPr>
              <w:t>IaC</w:t>
            </w:r>
            <w:proofErr w:type="spellEnd"/>
            <w:r w:rsidRPr="00EB1387">
              <w:t xml:space="preserve">, what is the single biggest benefit of using </w:t>
            </w:r>
            <w:r w:rsidRPr="00EB1387">
              <w:rPr>
                <w:b/>
                <w:bCs/>
              </w:rPr>
              <w:t xml:space="preserve">AWS CDK (or </w:t>
            </w:r>
            <w:proofErr w:type="gramStart"/>
            <w:r w:rsidRPr="00EB1387">
              <w:rPr>
                <w:b/>
                <w:bCs/>
              </w:rPr>
              <w:t>Terraform</w:t>
            </w:r>
            <w:proofErr w:type="gramEnd"/>
            <w:r w:rsidRPr="00EB1387">
              <w:rPr>
                <w:b/>
                <w:bCs/>
              </w:rPr>
              <w:t>)</w:t>
            </w:r>
            <w:r w:rsidRPr="00EB1387">
              <w:t xml:space="preserve"> for this multi-AZ, security-heavy design, compared to using the AWS Console?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3C0E4" w14:textId="77777777" w:rsidR="00EB1387" w:rsidRPr="00EB1387" w:rsidRDefault="00EB1387" w:rsidP="00EB1387">
            <w:pPr>
              <w:jc w:val="both"/>
            </w:pPr>
            <w:r w:rsidRPr="00EB1387">
              <w:rPr>
                <w:b/>
                <w:bCs/>
              </w:rPr>
              <w:t>Single Biggest Benefit: Drift Detection and Security Enforcement.</w:t>
            </w:r>
            <w:r w:rsidRPr="00EB1387">
              <w:t xml:space="preserve"> Manual configuration via the console (drift) inevitably leads to security errors (e.g., accidentally loosening an SG rule). </w:t>
            </w:r>
            <w:proofErr w:type="spellStart"/>
            <w:r w:rsidRPr="00EB1387">
              <w:t>IaC</w:t>
            </w:r>
            <w:proofErr w:type="spellEnd"/>
            <w:r w:rsidRPr="00EB1387">
              <w:t xml:space="preserve"> ensures the architecture is </w:t>
            </w:r>
            <w:r w:rsidRPr="00EB1387">
              <w:rPr>
                <w:b/>
                <w:bCs/>
              </w:rPr>
              <w:t>declarative</w:t>
            </w:r>
            <w:r w:rsidRPr="00EB1387">
              <w:t xml:space="preserve"> and </w:t>
            </w:r>
            <w:r w:rsidRPr="00EB1387">
              <w:rPr>
                <w:b/>
                <w:bCs/>
              </w:rPr>
              <w:t>immutable</w:t>
            </w:r>
            <w:r w:rsidRPr="00EB1387">
              <w:t xml:space="preserve">. If a developer manually changes the RDS-SG to allow public access, </w:t>
            </w:r>
            <w:proofErr w:type="spellStart"/>
            <w:r w:rsidRPr="00EB1387">
              <w:t>IaC</w:t>
            </w:r>
            <w:proofErr w:type="spellEnd"/>
            <w:r w:rsidRPr="00EB1387">
              <w:t xml:space="preserve"> will flag this drift, and the next deployment cycle can automatically revert the change, ensuring the strict network isolation policy is always enforced.</w:t>
            </w:r>
          </w:p>
        </w:tc>
      </w:tr>
    </w:tbl>
    <w:p w14:paraId="7F9A6914" w14:textId="77777777" w:rsidR="00EB1387" w:rsidRDefault="00EB1387" w:rsidP="00EB1387">
      <w:pPr>
        <w:jc w:val="both"/>
      </w:pPr>
    </w:p>
    <w:sectPr w:rsidR="00EB1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A6"/>
    <w:rsid w:val="003E1BC5"/>
    <w:rsid w:val="004F24A6"/>
    <w:rsid w:val="00EB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7C021"/>
  <w15:chartTrackingRefBased/>
  <w15:docId w15:val="{49EA9CAA-4544-4CD3-8607-175780FAD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1082</Words>
  <Characters>7185</Characters>
  <Application>Microsoft Office Word</Application>
  <DocSecurity>0</DocSecurity>
  <Lines>140</Lines>
  <Paragraphs>79</Paragraphs>
  <ScaleCrop>false</ScaleCrop>
  <Company/>
  <LinksUpToDate>false</LinksUpToDate>
  <CharactersWithSpaces>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3</cp:revision>
  <dcterms:created xsi:type="dcterms:W3CDTF">2025-11-08T13:24:00Z</dcterms:created>
  <dcterms:modified xsi:type="dcterms:W3CDTF">2025-11-08T13:26:00Z</dcterms:modified>
</cp:coreProperties>
</file>