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AWS eShop Event-Driven Architecture: Interview-Style Q&amp;A</w:t>
      </w:r>
    </w:p>
    <w:p>
      <w:r>
        <w:t>Lab Context: AWS eShop architecture using Amazon MSK (Kafka), hybrid databases (RDS + DynamoDB), Redis cache, Cognito authentication, ALB exposure, and CloudFront for SPA.</w:t>
      </w:r>
    </w:p>
    <w:p>
      <w:r>
        <w:br/>
      </w:r>
    </w:p>
    <w:p>
      <w:pPr>
        <w:pStyle w:val="Heading2"/>
      </w:pPr>
      <w:r>
        <w:t>1. Why Event-Driven Architecture?</w:t>
      </w:r>
    </w:p>
    <w:p>
      <w:r>
        <w:t>Question: Why does this architecture use Amazon MSK (Kafka) instead of synchronous REST calls between microservices?</w:t>
      </w:r>
    </w:p>
    <w:p>
      <w:r>
        <w:t>Answer: MSK enables asynchronous communication, decoupling producers and consumers. It improves resilience (services can process events later if downstream is slow), supports replay for auditing, and scales independently. REST tightly couples availability and latency to both sides.</w:t>
      </w:r>
    </w:p>
    <w:p>
      <w:r>
        <w:br/>
      </w:r>
    </w:p>
    <w:p>
      <w:pPr>
        <w:pStyle w:val="Heading2"/>
      </w:pPr>
      <w:r>
        <w:t>2. Partition Key Choice</w:t>
      </w:r>
    </w:p>
    <w:p>
      <w:r>
        <w:t>Question: For the `orders.events` topic, which key ensures ordering and why?</w:t>
      </w:r>
    </w:p>
    <w:p>
      <w:r>
        <w:t>Answer: Use `orderId` as the partition key. Kafka guarantees ordering within a partition, so all events for the same order go to one partition, preserving sequence while allowing parallelism across different orders.</w:t>
      </w:r>
    </w:p>
    <w:p>
      <w:r>
        <w:br/>
      </w:r>
    </w:p>
    <w:p>
      <w:pPr>
        <w:pStyle w:val="Heading2"/>
      </w:pPr>
      <w:r>
        <w:t>3. Hybrid Database Strategy</w:t>
      </w:r>
    </w:p>
    <w:p>
      <w:r>
        <w:t>Question: Why does the architecture use RDS for Ordering and DynamoDB for Marketing?</w:t>
      </w:r>
    </w:p>
    <w:p>
      <w:r>
        <w:t>Answer: Ordering requires strong consistency and relational features (transactions, joins), which RDS provides. Marketing benefits from DynamoDB’s scalability and flexible schema for campaign data and personalization.</w:t>
      </w:r>
    </w:p>
    <w:p>
      <w:r>
        <w:br/>
      </w:r>
    </w:p>
    <w:p>
      <w:pPr>
        <w:pStyle w:val="Heading2"/>
      </w:pPr>
      <w:r>
        <w:t>4. Redis Role</w:t>
      </w:r>
    </w:p>
    <w:p>
      <w:r>
        <w:t>Question: What is the purpose of Redis (ElastiCache) in this design?</w:t>
      </w:r>
    </w:p>
    <w:p>
      <w:r>
        <w:t>Answer: Redis stores basket/session data with low latency and TTL for quick lookups. It reduces load on RDS and DynamoDB for frequently accessed, ephemeral data.</w:t>
      </w:r>
    </w:p>
    <w:p>
      <w:r>
        <w:br/>
      </w:r>
    </w:p>
    <w:p>
      <w:pPr>
        <w:pStyle w:val="Heading2"/>
      </w:pPr>
      <w:r>
        <w:t>5. Consumer Lag</w:t>
      </w:r>
    </w:p>
    <w:p>
      <w:r>
        <w:t>Question: If the Basket service’s consumer lag exceeds 10,000 for 10 minutes, what’s your immediate action and likely root causes?</w:t>
      </w:r>
    </w:p>
    <w:p>
      <w:r>
        <w:t>Answer: Scale out the consumer group or investigate slow processing. Causes include insufficient consumer throughput, hot partitions, downstream bottlenecks (e.g., Redis writes), or misconfigured poll intervals.</w:t>
      </w:r>
    </w:p>
    <w:p>
      <w:r>
        <w:br/>
      </w:r>
    </w:p>
    <w:p>
      <w:pPr>
        <w:pStyle w:val="Heading2"/>
      </w:pPr>
      <w:r>
        <w:t>6. DLQ Handling</w:t>
      </w:r>
    </w:p>
    <w:p>
      <w:r>
        <w:t>Question: A message lands in `orders.events.dlq`. What’s the remediation process?</w:t>
      </w:r>
    </w:p>
    <w:p>
      <w:r>
        <w:t>Answer: Diagnose the failure (schema mismatch, validation error), fix the issue, then replay DLQ messages using a controlled process with idempotency checks to avoid duplicates.</w:t>
      </w:r>
    </w:p>
    <w:p>
      <w:r>
        <w:br/>
      </w:r>
    </w:p>
    <w:p>
      <w:pPr>
        <w:pStyle w:val="Heading2"/>
      </w:pPr>
      <w:r>
        <w:t>7. MSK Authentication</w:t>
      </w:r>
    </w:p>
    <w:p>
      <w:r>
        <w:t>Question: Which method do you use for Kafka client authentication and why?</w:t>
      </w:r>
    </w:p>
    <w:p>
      <w:r>
        <w:t>Answer: Prefer IAM authentication for MSK to avoid static secrets and leverage short-lived credentials. If IAM is not feasible, use SASL/SCRAM with credentials stored in Secrets Manager and rotated automatically.</w:t>
      </w:r>
    </w:p>
    <w:p>
      <w:r>
        <w:br/>
      </w:r>
    </w:p>
    <w:p>
      <w:pPr>
        <w:pStyle w:val="Heading2"/>
      </w:pPr>
      <w:r>
        <w:t>8. Encryption Plan</w:t>
      </w:r>
    </w:p>
    <w:p>
      <w:r>
        <w:t>Question: How do you enforce encryption for MSK, RDS, DynamoDB, Redis, and S3?</w:t>
      </w:r>
    </w:p>
    <w:p>
      <w:r>
        <w:t>Answer: Enable KMS-based encryption at rest for MSK, RDS, DynamoDB, and S3. Use TLS for in-transit encryption. For Redis, enable in-transit TLS and AUTH tokens. Block public S3 access and use CloudFront OAI/OAC.</w:t>
      </w:r>
    </w:p>
    <w:p>
      <w:r>
        <w:br/>
      </w:r>
    </w:p>
    <w:p>
      <w:pPr>
        <w:pStyle w:val="Heading2"/>
      </w:pPr>
      <w:r>
        <w:t>9. Zero-Downtime Deployment</w:t>
      </w:r>
    </w:p>
    <w:p>
      <w:r>
        <w:t>Question: How do you ensure zero-downtime deployment for a microservice that is both an ALB target and an MSK consumer?</w:t>
      </w:r>
    </w:p>
    <w:p>
      <w:r>
        <w:t>Answer: Use rolling or blue/green deployments for ALB targets with health checks. For consumers, implement graceful shutdown: pause consumption, commit offsets, flush work, then terminate. Ensure idempotent handlers.</w:t>
      </w:r>
    </w:p>
    <w:p>
      <w:r>
        <w:br/>
      </w:r>
    </w:p>
    <w:p>
      <w:pPr>
        <w:pStyle w:val="Heading2"/>
      </w:pPr>
      <w:r>
        <w:t>10. Cost Optimization</w:t>
      </w:r>
    </w:p>
    <w:p>
      <w:r>
        <w:t>Question: What is the largest hidden networking cost in this Multi-AZ design, and how do you mitigate it?</w:t>
      </w:r>
    </w:p>
    <w:p>
      <w:r>
        <w:t>Answer: Inter-AZ data transfer (e.g., MSK replication, RDS sync) can be costly. Mitigate by minimizing cross-AZ chatter (e.g., co-locating consumers with brokers), monitoring with VPC Flow Logs, and using compression for Kafka messages.</w:t>
      </w:r>
    </w:p>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