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3255" w14:textId="75F2F658" w:rsidR="0069121F" w:rsidRDefault="00000000">
      <w:pPr>
        <w:jc w:val="center"/>
      </w:pPr>
      <w:r>
        <w:rPr>
          <w:b/>
          <w:sz w:val="36"/>
        </w:rPr>
        <w:t xml:space="preserve">Q&amp;A Session for AWS eShop Event-Driven Architecture Review </w:t>
      </w:r>
    </w:p>
    <w:p w14:paraId="3B57CAC2" w14:textId="77777777" w:rsidR="0069121F" w:rsidRDefault="00000000">
      <w:r>
        <w:t>This Q&amp;A focuses on operational, security, cost, and reliability considerations for an AWS-based eShop architecture using Amazon MSK (Kafka), hybrid databases, and Redis cache.</w:t>
      </w:r>
    </w:p>
    <w:p w14:paraId="320A5343" w14:textId="77777777" w:rsidR="0069121F" w:rsidRDefault="00000000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121F" w14:paraId="60585C2E" w14:textId="77777777">
        <w:tc>
          <w:tcPr>
            <w:tcW w:w="2880" w:type="dxa"/>
          </w:tcPr>
          <w:p w14:paraId="51290290" w14:textId="77777777" w:rsidR="0069121F" w:rsidRPr="00EE0AEE" w:rsidRDefault="00000000">
            <w:pPr>
              <w:rPr>
                <w:b/>
                <w:bCs/>
              </w:rPr>
            </w:pPr>
            <w:r w:rsidRPr="00EE0AEE">
              <w:rPr>
                <w:b/>
                <w:bCs/>
              </w:rPr>
              <w:t>Pillar</w:t>
            </w:r>
          </w:p>
        </w:tc>
        <w:tc>
          <w:tcPr>
            <w:tcW w:w="2880" w:type="dxa"/>
          </w:tcPr>
          <w:p w14:paraId="2D542442" w14:textId="77777777" w:rsidR="0069121F" w:rsidRPr="00EE0AEE" w:rsidRDefault="00000000">
            <w:pPr>
              <w:rPr>
                <w:b/>
                <w:bCs/>
              </w:rPr>
            </w:pPr>
            <w:r w:rsidRPr="00EE0AEE">
              <w:rPr>
                <w:b/>
                <w:bCs/>
              </w:rPr>
              <w:t>Question for the Team</w:t>
            </w:r>
          </w:p>
        </w:tc>
        <w:tc>
          <w:tcPr>
            <w:tcW w:w="2880" w:type="dxa"/>
          </w:tcPr>
          <w:p w14:paraId="0FFFB891" w14:textId="77777777" w:rsidR="0069121F" w:rsidRPr="00EE0AEE" w:rsidRDefault="00000000">
            <w:pPr>
              <w:rPr>
                <w:b/>
                <w:bCs/>
              </w:rPr>
            </w:pPr>
            <w:r w:rsidRPr="00EE0AEE">
              <w:rPr>
                <w:b/>
                <w:bCs/>
              </w:rPr>
              <w:t>Model Answer / Justification</w:t>
            </w:r>
          </w:p>
        </w:tc>
      </w:tr>
      <w:tr w:rsidR="0069121F" w14:paraId="69B69C05" w14:textId="77777777">
        <w:tc>
          <w:tcPr>
            <w:tcW w:w="2880" w:type="dxa"/>
          </w:tcPr>
          <w:p w14:paraId="38D531D2" w14:textId="77777777" w:rsidR="0069121F" w:rsidRDefault="00000000">
            <w:r>
              <w:t>Reliability</w:t>
            </w:r>
          </w:p>
        </w:tc>
        <w:tc>
          <w:tcPr>
            <w:tcW w:w="2880" w:type="dxa"/>
          </w:tcPr>
          <w:p w14:paraId="65E50859" w14:textId="77777777" w:rsidR="0069121F" w:rsidRDefault="00000000">
            <w:r>
              <w:t>Hybrid DB Consistency: With RDS for Ordering and DynamoDB for Marketing, how do you ensure consistency when an order triggers a marketing campaign update?</w:t>
            </w:r>
          </w:p>
        </w:tc>
        <w:tc>
          <w:tcPr>
            <w:tcW w:w="2880" w:type="dxa"/>
          </w:tcPr>
          <w:p w14:paraId="1E7E2DFA" w14:textId="7CE08A6E" w:rsidR="0069121F" w:rsidRDefault="0069121F"/>
        </w:tc>
      </w:tr>
      <w:tr w:rsidR="0069121F" w14:paraId="17FEB384" w14:textId="77777777">
        <w:tc>
          <w:tcPr>
            <w:tcW w:w="2880" w:type="dxa"/>
          </w:tcPr>
          <w:p w14:paraId="1D8C619B" w14:textId="77777777" w:rsidR="0069121F" w:rsidRDefault="00000000">
            <w:r>
              <w:t>Reliability</w:t>
            </w:r>
          </w:p>
        </w:tc>
        <w:tc>
          <w:tcPr>
            <w:tcW w:w="2880" w:type="dxa"/>
          </w:tcPr>
          <w:p w14:paraId="2D893F77" w14:textId="77777777" w:rsidR="0069121F" w:rsidRDefault="00000000">
            <w:r>
              <w:t>Consumer Lag: If the Basket service’s consumer lag exceeds 10,000 for 10 minutes, what’s your immediate action and likely root causes?</w:t>
            </w:r>
          </w:p>
        </w:tc>
        <w:tc>
          <w:tcPr>
            <w:tcW w:w="2880" w:type="dxa"/>
          </w:tcPr>
          <w:p w14:paraId="05548F00" w14:textId="4D2B8669" w:rsidR="0069121F" w:rsidRDefault="0069121F"/>
        </w:tc>
      </w:tr>
      <w:tr w:rsidR="0069121F" w14:paraId="29C7B082" w14:textId="77777777">
        <w:tc>
          <w:tcPr>
            <w:tcW w:w="2880" w:type="dxa"/>
          </w:tcPr>
          <w:p w14:paraId="2139917E" w14:textId="77777777" w:rsidR="0069121F" w:rsidRDefault="00000000">
            <w:r>
              <w:t>Security</w:t>
            </w:r>
          </w:p>
        </w:tc>
        <w:tc>
          <w:tcPr>
            <w:tcW w:w="2880" w:type="dxa"/>
          </w:tcPr>
          <w:p w14:paraId="388F4DA4" w14:textId="77777777" w:rsidR="0069121F" w:rsidRDefault="00000000">
            <w:r>
              <w:t>Hybrid Encryption: How do you enforce encryption for Redis and DynamoDB alongside RDS?</w:t>
            </w:r>
          </w:p>
        </w:tc>
        <w:tc>
          <w:tcPr>
            <w:tcW w:w="2880" w:type="dxa"/>
          </w:tcPr>
          <w:p w14:paraId="6CA24F43" w14:textId="19D04C14" w:rsidR="0069121F" w:rsidRDefault="0069121F"/>
        </w:tc>
      </w:tr>
      <w:tr w:rsidR="0069121F" w14:paraId="1A82E82E" w14:textId="77777777">
        <w:tc>
          <w:tcPr>
            <w:tcW w:w="2880" w:type="dxa"/>
          </w:tcPr>
          <w:p w14:paraId="6CCB25BE" w14:textId="77777777" w:rsidR="0069121F" w:rsidRDefault="00000000">
            <w:r>
              <w:t>Security</w:t>
            </w:r>
          </w:p>
        </w:tc>
        <w:tc>
          <w:tcPr>
            <w:tcW w:w="2880" w:type="dxa"/>
          </w:tcPr>
          <w:p w14:paraId="4873E4E8" w14:textId="77777777" w:rsidR="0069121F" w:rsidRDefault="00000000">
            <w:r>
              <w:t>MSK Authentication: Which method do you use for Kafka client auth and why?</w:t>
            </w:r>
          </w:p>
        </w:tc>
        <w:tc>
          <w:tcPr>
            <w:tcW w:w="2880" w:type="dxa"/>
          </w:tcPr>
          <w:p w14:paraId="21216DED" w14:textId="67035E40" w:rsidR="0069121F" w:rsidRDefault="0069121F"/>
        </w:tc>
      </w:tr>
      <w:tr w:rsidR="0069121F" w14:paraId="32D4BCF2" w14:textId="77777777">
        <w:tc>
          <w:tcPr>
            <w:tcW w:w="2880" w:type="dxa"/>
          </w:tcPr>
          <w:p w14:paraId="2B11E057" w14:textId="77777777" w:rsidR="0069121F" w:rsidRDefault="00000000">
            <w:r>
              <w:t>Operational Excellence</w:t>
            </w:r>
          </w:p>
        </w:tc>
        <w:tc>
          <w:tcPr>
            <w:tcW w:w="2880" w:type="dxa"/>
          </w:tcPr>
          <w:p w14:paraId="67D822D9" w14:textId="77777777" w:rsidR="0069121F" w:rsidRDefault="00000000">
            <w:r>
              <w:t>DLQ Handling: A message lands in orders.events.dlq. What’s the remediation process?</w:t>
            </w:r>
          </w:p>
        </w:tc>
        <w:tc>
          <w:tcPr>
            <w:tcW w:w="2880" w:type="dxa"/>
          </w:tcPr>
          <w:p w14:paraId="69BDD657" w14:textId="0743A5EE" w:rsidR="0069121F" w:rsidRDefault="0069121F"/>
        </w:tc>
      </w:tr>
      <w:tr w:rsidR="0069121F" w14:paraId="44B5BB44" w14:textId="77777777">
        <w:tc>
          <w:tcPr>
            <w:tcW w:w="2880" w:type="dxa"/>
          </w:tcPr>
          <w:p w14:paraId="266154A0" w14:textId="77777777" w:rsidR="0069121F" w:rsidRDefault="00000000">
            <w:r>
              <w:t>Performance Efficiency</w:t>
            </w:r>
          </w:p>
        </w:tc>
        <w:tc>
          <w:tcPr>
            <w:tcW w:w="2880" w:type="dxa"/>
          </w:tcPr>
          <w:p w14:paraId="7EF84740" w14:textId="77777777" w:rsidR="0069121F" w:rsidRDefault="00000000">
            <w:r>
              <w:t>Partition Key Choice: For orders.events, which key ensures ordering and why?</w:t>
            </w:r>
          </w:p>
        </w:tc>
        <w:tc>
          <w:tcPr>
            <w:tcW w:w="2880" w:type="dxa"/>
          </w:tcPr>
          <w:p w14:paraId="15D26D3F" w14:textId="4941456C" w:rsidR="0069121F" w:rsidRDefault="0069121F"/>
        </w:tc>
      </w:tr>
      <w:tr w:rsidR="0069121F" w14:paraId="306CC44B" w14:textId="77777777">
        <w:tc>
          <w:tcPr>
            <w:tcW w:w="2880" w:type="dxa"/>
          </w:tcPr>
          <w:p w14:paraId="0ADDEE15" w14:textId="77777777" w:rsidR="0069121F" w:rsidRDefault="00000000">
            <w:r>
              <w:t>Cost Optimization</w:t>
            </w:r>
          </w:p>
        </w:tc>
        <w:tc>
          <w:tcPr>
            <w:tcW w:w="2880" w:type="dxa"/>
          </w:tcPr>
          <w:p w14:paraId="7F034EF4" w14:textId="77777777" w:rsidR="0069121F" w:rsidRDefault="00000000">
            <w:r>
              <w:t>MSK Cost Drivers: What drives MSK costs and one optimization?</w:t>
            </w:r>
          </w:p>
        </w:tc>
        <w:tc>
          <w:tcPr>
            <w:tcW w:w="2880" w:type="dxa"/>
          </w:tcPr>
          <w:p w14:paraId="3CF8D0BD" w14:textId="68110F48" w:rsidR="0069121F" w:rsidRDefault="0069121F"/>
        </w:tc>
      </w:tr>
      <w:tr w:rsidR="0069121F" w14:paraId="6A493192" w14:textId="77777777">
        <w:tc>
          <w:tcPr>
            <w:tcW w:w="2880" w:type="dxa"/>
          </w:tcPr>
          <w:p w14:paraId="57B33EB9" w14:textId="77777777" w:rsidR="0069121F" w:rsidRDefault="00000000">
            <w:r>
              <w:t>Resilience</w:t>
            </w:r>
          </w:p>
        </w:tc>
        <w:tc>
          <w:tcPr>
            <w:tcW w:w="2880" w:type="dxa"/>
          </w:tcPr>
          <w:p w14:paraId="127A1202" w14:textId="77777777" w:rsidR="0069121F" w:rsidRDefault="00000000">
            <w:r>
              <w:t xml:space="preserve">Zero-Downtime Application Deployment: How do you guarantee a zero-downtime deployment for a microservice (e.g., Payment Service) that is both an ALB target and a long-running </w:t>
            </w:r>
            <w:r>
              <w:lastRenderedPageBreak/>
              <w:t>MSK consumer?</w:t>
            </w:r>
          </w:p>
        </w:tc>
        <w:tc>
          <w:tcPr>
            <w:tcW w:w="2880" w:type="dxa"/>
          </w:tcPr>
          <w:p w14:paraId="70117F2F" w14:textId="71842F32" w:rsidR="0069121F" w:rsidRDefault="0069121F"/>
        </w:tc>
      </w:tr>
      <w:tr w:rsidR="0069121F" w14:paraId="1302FC1B" w14:textId="77777777">
        <w:tc>
          <w:tcPr>
            <w:tcW w:w="2880" w:type="dxa"/>
          </w:tcPr>
          <w:p w14:paraId="14FFA5DA" w14:textId="77777777" w:rsidR="0069121F" w:rsidRDefault="00000000">
            <w:r>
              <w:t>Security &amp; Maintenance</w:t>
            </w:r>
          </w:p>
        </w:tc>
        <w:tc>
          <w:tcPr>
            <w:tcW w:w="2880" w:type="dxa"/>
          </w:tcPr>
          <w:p w14:paraId="2E8A60AE" w14:textId="77777777" w:rsidR="0069121F" w:rsidRDefault="00000000">
            <w:r>
              <w:t>Automated Secrets Rotation: How do you automate the rotation of the RDS Master Password or the MSK SASL/SCRAM credentials and ensure your running EC2 instances retrieve the new secrets without requiring a full application restart?</w:t>
            </w:r>
          </w:p>
        </w:tc>
        <w:tc>
          <w:tcPr>
            <w:tcW w:w="2880" w:type="dxa"/>
          </w:tcPr>
          <w:p w14:paraId="0DABCDCD" w14:textId="77137C89" w:rsidR="0069121F" w:rsidRDefault="0069121F"/>
        </w:tc>
      </w:tr>
      <w:tr w:rsidR="0069121F" w14:paraId="2FD8B2D9" w14:textId="77777777">
        <w:tc>
          <w:tcPr>
            <w:tcW w:w="2880" w:type="dxa"/>
          </w:tcPr>
          <w:p w14:paraId="748E47FC" w14:textId="77777777" w:rsidR="0069121F" w:rsidRDefault="00000000">
            <w:r>
              <w:t>Maintenance</w:t>
            </w:r>
          </w:p>
        </w:tc>
        <w:tc>
          <w:tcPr>
            <w:tcW w:w="2880" w:type="dxa"/>
          </w:tcPr>
          <w:p w14:paraId="116C86E3" w14:textId="77777777" w:rsidR="0069121F" w:rsidRDefault="00000000">
            <w:r>
              <w:t>Breaking Schema Change: If you need to introduce a breaking schema change to the payments.events topic (e.g., renaming a field), what is the sequence of steps to deploy this without disrupting the old consumers or losing data?</w:t>
            </w:r>
          </w:p>
        </w:tc>
        <w:tc>
          <w:tcPr>
            <w:tcW w:w="2880" w:type="dxa"/>
          </w:tcPr>
          <w:p w14:paraId="0B7F5B28" w14:textId="419D78D9" w:rsidR="0069121F" w:rsidRDefault="0069121F"/>
        </w:tc>
      </w:tr>
      <w:tr w:rsidR="0069121F" w14:paraId="5272AE97" w14:textId="77777777">
        <w:tc>
          <w:tcPr>
            <w:tcW w:w="2880" w:type="dxa"/>
          </w:tcPr>
          <w:p w14:paraId="2751F3D8" w14:textId="77777777" w:rsidR="0069121F" w:rsidRDefault="00000000">
            <w:r>
              <w:t>Cost Optimization &amp; Monitoring</w:t>
            </w:r>
          </w:p>
        </w:tc>
        <w:tc>
          <w:tcPr>
            <w:tcW w:w="2880" w:type="dxa"/>
          </w:tcPr>
          <w:p w14:paraId="0E04641D" w14:textId="77777777" w:rsidR="0069121F" w:rsidRDefault="00000000">
            <w:r>
              <w:t>NAT Gateway Cost Mitigation: What is the largest non-compute cost driver in this architecture, and what two services/techniques can be used to monitor and actively reduce this cost?</w:t>
            </w:r>
          </w:p>
        </w:tc>
        <w:tc>
          <w:tcPr>
            <w:tcW w:w="2880" w:type="dxa"/>
          </w:tcPr>
          <w:p w14:paraId="59815A51" w14:textId="5131F805" w:rsidR="0069121F" w:rsidRDefault="0069121F"/>
        </w:tc>
      </w:tr>
      <w:tr w:rsidR="0069121F" w14:paraId="43522EF8" w14:textId="77777777">
        <w:tc>
          <w:tcPr>
            <w:tcW w:w="2880" w:type="dxa"/>
          </w:tcPr>
          <w:p w14:paraId="14A0B68B" w14:textId="77777777" w:rsidR="0069121F" w:rsidRDefault="00000000">
            <w:r>
              <w:t>Observability</w:t>
            </w:r>
          </w:p>
        </w:tc>
        <w:tc>
          <w:tcPr>
            <w:tcW w:w="2880" w:type="dxa"/>
          </w:tcPr>
          <w:p w14:paraId="7487A43F" w14:textId="77777777" w:rsidR="0069121F" w:rsidRDefault="00000000">
            <w:r>
              <w:t>Consumer Health: How do you detect a failed consumer instance in this event-driven design?</w:t>
            </w:r>
          </w:p>
        </w:tc>
        <w:tc>
          <w:tcPr>
            <w:tcW w:w="2880" w:type="dxa"/>
          </w:tcPr>
          <w:p w14:paraId="12B4F61B" w14:textId="0504B3D5" w:rsidR="0069121F" w:rsidRDefault="0069121F"/>
        </w:tc>
      </w:tr>
      <w:tr w:rsidR="0069121F" w14:paraId="620D2160" w14:textId="77777777">
        <w:tc>
          <w:tcPr>
            <w:tcW w:w="2880" w:type="dxa"/>
          </w:tcPr>
          <w:p w14:paraId="42E0ACAC" w14:textId="77777777" w:rsidR="0069121F" w:rsidRDefault="00000000">
            <w:r>
              <w:t>Architecture Trade-offs</w:t>
            </w:r>
          </w:p>
        </w:tc>
        <w:tc>
          <w:tcPr>
            <w:tcW w:w="2880" w:type="dxa"/>
          </w:tcPr>
          <w:p w14:paraId="404D0E63" w14:textId="77777777" w:rsidR="0069121F" w:rsidRDefault="00000000">
            <w:r>
              <w:t>ALB vs API Gateway: Why choose ALB for BFF/API exposure?</w:t>
            </w:r>
          </w:p>
        </w:tc>
        <w:tc>
          <w:tcPr>
            <w:tcW w:w="2880" w:type="dxa"/>
          </w:tcPr>
          <w:p w14:paraId="672DC5E0" w14:textId="2073A7F4" w:rsidR="0069121F" w:rsidRDefault="0069121F"/>
        </w:tc>
      </w:tr>
      <w:tr w:rsidR="0069121F" w14:paraId="08699FA0" w14:textId="77777777">
        <w:tc>
          <w:tcPr>
            <w:tcW w:w="2880" w:type="dxa"/>
          </w:tcPr>
          <w:p w14:paraId="2CC65B82" w14:textId="77777777" w:rsidR="0069121F" w:rsidRDefault="00000000">
            <w:r>
              <w:t>Operational Excellence</w:t>
            </w:r>
          </w:p>
        </w:tc>
        <w:tc>
          <w:tcPr>
            <w:tcW w:w="2880" w:type="dxa"/>
          </w:tcPr>
          <w:p w14:paraId="50B158D3" w14:textId="77777777" w:rsidR="0069121F" w:rsidRDefault="00000000">
            <w:r>
              <w:t>Deployment Strategy for MSK Consumers: How do you ensure graceful shutdown of Kafka consumers during deployment?</w:t>
            </w:r>
          </w:p>
        </w:tc>
        <w:tc>
          <w:tcPr>
            <w:tcW w:w="2880" w:type="dxa"/>
          </w:tcPr>
          <w:p w14:paraId="3EA9853F" w14:textId="0FFF109D" w:rsidR="0069121F" w:rsidRDefault="0069121F"/>
        </w:tc>
      </w:tr>
    </w:tbl>
    <w:p w14:paraId="571D7984" w14:textId="77777777" w:rsidR="00BF7F76" w:rsidRDefault="00BF7F76"/>
    <w:sectPr w:rsidR="00BF7F7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0E47E" w14:textId="77777777" w:rsidR="006A7497" w:rsidRDefault="006A7497" w:rsidP="00EE0AEE">
      <w:pPr>
        <w:spacing w:after="0" w:line="240" w:lineRule="auto"/>
      </w:pPr>
      <w:r>
        <w:separator/>
      </w:r>
    </w:p>
  </w:endnote>
  <w:endnote w:type="continuationSeparator" w:id="0">
    <w:p w14:paraId="039E87B8" w14:textId="77777777" w:rsidR="006A7497" w:rsidRDefault="006A7497" w:rsidP="00EE0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5296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F31825" w14:textId="1AA2A41B" w:rsidR="00EE0AEE" w:rsidRDefault="00EE0A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438FA4" w14:textId="77777777" w:rsidR="00EE0AEE" w:rsidRDefault="00EE0A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1981D" w14:textId="77777777" w:rsidR="006A7497" w:rsidRDefault="006A7497" w:rsidP="00EE0AEE">
      <w:pPr>
        <w:spacing w:after="0" w:line="240" w:lineRule="auto"/>
      </w:pPr>
      <w:r>
        <w:separator/>
      </w:r>
    </w:p>
  </w:footnote>
  <w:footnote w:type="continuationSeparator" w:id="0">
    <w:p w14:paraId="21FD51F7" w14:textId="77777777" w:rsidR="006A7497" w:rsidRDefault="006A7497" w:rsidP="00EE0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92774">
    <w:abstractNumId w:val="8"/>
  </w:num>
  <w:num w:numId="2" w16cid:durableId="1352872143">
    <w:abstractNumId w:val="6"/>
  </w:num>
  <w:num w:numId="3" w16cid:durableId="988553183">
    <w:abstractNumId w:val="5"/>
  </w:num>
  <w:num w:numId="4" w16cid:durableId="1128084258">
    <w:abstractNumId w:val="4"/>
  </w:num>
  <w:num w:numId="5" w16cid:durableId="1006592147">
    <w:abstractNumId w:val="7"/>
  </w:num>
  <w:num w:numId="6" w16cid:durableId="1074814438">
    <w:abstractNumId w:val="3"/>
  </w:num>
  <w:num w:numId="7" w16cid:durableId="1404182714">
    <w:abstractNumId w:val="2"/>
  </w:num>
  <w:num w:numId="8" w16cid:durableId="1732540502">
    <w:abstractNumId w:val="1"/>
  </w:num>
  <w:num w:numId="9" w16cid:durableId="78030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4A9"/>
    <w:rsid w:val="003E49BB"/>
    <w:rsid w:val="0058315E"/>
    <w:rsid w:val="0069121F"/>
    <w:rsid w:val="006A7497"/>
    <w:rsid w:val="00AA1D8D"/>
    <w:rsid w:val="00B34506"/>
    <w:rsid w:val="00B47730"/>
    <w:rsid w:val="00B47974"/>
    <w:rsid w:val="00BF7F76"/>
    <w:rsid w:val="00C03E6D"/>
    <w:rsid w:val="00CB0664"/>
    <w:rsid w:val="00EE0A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F4F55"/>
  <w14:defaultImageDpi w14:val="300"/>
  <w15:docId w15:val="{191E543D-2CF3-47AF-AAE6-2ACA42B0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7</cp:revision>
  <dcterms:created xsi:type="dcterms:W3CDTF">2013-12-23T23:15:00Z</dcterms:created>
  <dcterms:modified xsi:type="dcterms:W3CDTF">2025-11-11T11:27:00Z</dcterms:modified>
  <cp:category/>
</cp:coreProperties>
</file>