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Project_2640948k</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bookmarkEnd w:id="22"/>
    <w:bookmarkEnd w:id="23"/>
    <w:bookmarkStart w:id="27" w:name="methodology"/>
    <w:p>
      <w:pPr>
        <w:pStyle w:val="Heading1"/>
      </w:pPr>
      <w:r>
        <w:t xml:space="preserve">Methodology</w:t>
      </w:r>
    </w:p>
    <w:bookmarkStart w:id="24" w:name="data-description"/>
    <w:p>
      <w:pPr>
        <w:pStyle w:val="Heading2"/>
      </w:pPr>
      <w:r>
        <w:t xml:space="preserve">Data Description</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(Buhrmester,Kwang,&amp;Gosling, 2011; Paolacci&amp;Chandler, 2014). The original data contains 999 records, described by 31 variables. According to the study, there is a variable</w:t>
      </w:r>
      <w:r>
        <w:t xml:space="preserve"> </w:t>
      </w:r>
      <w:r>
        <w:t xml:space="preserve">“</w:t>
      </w:r>
      <w:r>
        <w:t xml:space="preserve">ATTENTION_filter</w:t>
      </w:r>
      <w:r>
        <w:t xml:space="preserve">”</w:t>
      </w:r>
      <w:r>
        <w:t xml:space="preserve">, the question for checking concentration of participants. Participants failing to answer</w:t>
      </w:r>
      <w:r>
        <w:t xml:space="preserve"> </w:t>
      </w:r>
      <w:r>
        <w:t xml:space="preserve">“</w:t>
      </w:r>
      <w:r>
        <w:t xml:space="preserve">Disagree</w:t>
      </w:r>
      <w:r>
        <w:t xml:space="preserve">”</w:t>
      </w:r>
      <w:r>
        <w:t xml:space="preserve"> </w:t>
      </w:r>
      <w:r>
        <w:t xml:space="preserve">will be classified as</w:t>
      </w:r>
      <w:r>
        <w:t xml:space="preserve"> </w:t>
      </w:r>
      <w:r>
        <w:t xml:space="preserve">“</w:t>
      </w:r>
      <w:r>
        <w:t xml:space="preserve">non-focus</w:t>
      </w:r>
      <w:r>
        <w:t xml:space="preserve">”</w:t>
      </w:r>
      <w:r>
        <w:t xml:space="preserve">. Thus, those records were filtered. The number of records, in this way, is 981. Both id, submitdate, ipaddr and ATTENTION_filter are not in consideration due to irreverent of objectives. Age is discrete number and gender is nominal data.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The remaining ordinal variables of data was discussed below.</w:t>
      </w:r>
    </w:p>
    <w:p>
      <w:pPr>
        <w:pStyle w:val="BodyText"/>
      </w:pPr>
      <w:r>
        <w:t xml:space="preserve">There are six variables (attitude_attitude1 to attitude_attitude6) measuring participants’ attitude towards physical activities. Examples of question is</w:t>
      </w:r>
      <w:r>
        <w:t xml:space="preserve"> </w:t>
      </w:r>
      <w:r>
        <w:t xml:space="preserve">“</w:t>
      </w:r>
      <w:r>
        <w:t xml:space="preserve">To promote better health conditions, people may take part in the sporting activities</w:t>
      </w:r>
      <w:r>
        <w:t xml:space="preserve">”</w:t>
      </w:r>
      <w:r>
        <w:t xml:space="preserve"> </w:t>
      </w:r>
      <w:r>
        <w:t xml:space="preserve">(measuring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Six variables with</w:t>
      </w:r>
      <w:r>
        <w:t xml:space="preserve"> </w:t>
      </w:r>
      <w:r>
        <w:t xml:space="preserve">“</w:t>
      </w:r>
      <w:r>
        <w:t xml:space="preserve">stepsattitude</w:t>
      </w:r>
      <w:r>
        <w:t xml:space="preserve">”</w:t>
      </w:r>
      <w:r>
        <w:t xml:space="preserve"> </w:t>
      </w:r>
      <w:r>
        <w:t xml:space="preserve">measuring participants’ attitudes in different way, with the scales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The remaining three variables, names containing</w:t>
      </w:r>
      <w:r>
        <w:t xml:space="preserve"> </w:t>
      </w:r>
      <w:r>
        <w:t xml:space="preserve">“</w:t>
      </w:r>
      <w:r>
        <w:t xml:space="preserve">PokemonPastBehaviour</w:t>
      </w:r>
      <w:r>
        <w:t xml:space="preserve">”</w:t>
      </w:r>
      <w:r>
        <w:t xml:space="preserve">, were used for assessing participants’ physical behavior relating to Pokemon Go.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Before modelling, the data was processed as mentioned on the next sessions.</w:t>
      </w:r>
    </w:p>
    <w:bookmarkEnd w:id="24"/>
    <w:bookmarkStart w:id="25" w:name="data-processing"/>
    <w:p>
      <w:pPr>
        <w:pStyle w:val="Heading2"/>
      </w:pPr>
      <w:r>
        <w:t xml:space="preserve">Data Processing</w:t>
      </w:r>
    </w:p>
    <w:p>
      <w:pPr>
        <w:pStyle w:val="FirstParagraph"/>
      </w:pPr>
      <w:r>
        <w:t xml:space="preserve">Prior to processing data, we check the number of missing values (which is 0), as well as filtering out records in accordance with the variable</w:t>
      </w:r>
      <w:r>
        <w:t xml:space="preserve"> </w:t>
      </w:r>
      <w:r>
        <w:t xml:space="preserve">“</w:t>
      </w:r>
      <w:r>
        <w:t xml:space="preserve">ATTENTION_filter1</w:t>
      </w:r>
      <w:r>
        <w:t xml:space="preserve">”</w:t>
      </w:r>
      <w:r>
        <w:t xml:space="preserve">.</w:t>
      </w:r>
      <w:r>
        <w:t xml:space="preserve"> </w:t>
      </w: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After</w:t>
      </w:r>
    </w:p>
    <w:bookmarkEnd w:id="25"/>
    <w:bookmarkStart w:id="26" w:name="model-selection"/>
    <w:p>
      <w:pPr>
        <w:pStyle w:val="Heading2"/>
      </w:pPr>
      <w:r>
        <w:t xml:space="preserve">Model Selection</w:t>
      </w:r>
    </w:p>
    <w:p>
      <w:pPr>
        <w:pStyle w:val="FirstParagraph"/>
      </w:pPr>
      <w:r>
        <w:t xml:space="preserve">Modeing method</w:t>
      </w:r>
      <w:r>
        <w:t xml:space="preserve"> </w:t>
      </w:r>
      <w:r>
        <w:t xml:space="preserve">Selection criteria</w:t>
      </w:r>
    </w:p>
    <w:bookmarkEnd w:id="26"/>
    <w:bookmarkEnd w:id="27"/>
    <w:bookmarkStart w:id="28" w:name="analysis-result"/>
    <w:p>
      <w:pPr>
        <w:pStyle w:val="Heading1"/>
      </w:pPr>
      <w:r>
        <w:t xml:space="preserve">Analysis Result</w:t>
      </w:r>
    </w:p>
    <w:bookmarkEnd w:id="28"/>
    <w:bookmarkStart w:id="29" w:name="discussion-and-conclusion"/>
    <w:p>
      <w:pPr>
        <w:pStyle w:val="Heading1"/>
      </w:pPr>
      <w:r>
        <w:t xml:space="preserve">Discussion and Conclusion</w:t>
      </w:r>
    </w:p>
    <w:bookmarkEnd w:id="29"/>
    <w:bookmarkStart w:id="37" w:name="reference"/>
    <w:p>
      <w:pPr>
        <w:pStyle w:val="Heading1"/>
      </w:pPr>
      <w:r>
        <w:t xml:space="preserve">Reference</w:t>
      </w:r>
    </w:p>
    <w:p>
      <w:pPr>
        <w:pStyle w:val="FirstParagraph"/>
      </w:pPr>
      <w:hyperlink r:id="rId30">
        <w:r>
          <w:rPr>
            <w:rStyle w:val="Hyperlink"/>
          </w:rPr>
          <w:t xml:space="preserve">https://www.ign.com/articles/2015/09/10/pokemon-go-coming-to-smartphones</w:t>
        </w:r>
      </w:hyperlink>
    </w:p>
    <w:p>
      <w:pPr>
        <w:pStyle w:val="BodyText"/>
      </w:pPr>
      <w:hyperlink r:id="rId31">
        <w:r>
          <w:rPr>
            <w:rStyle w:val="Hyperlink"/>
          </w:rPr>
          <w:t xml:space="preserve">https://www.theverge.com/2015/9/10/9300101/pokemon-go-nintendo-mobile-games</w:t>
        </w:r>
      </w:hyperlink>
    </w:p>
    <w:p>
      <w:pPr>
        <w:pStyle w:val="BodyText"/>
      </w:pPr>
      <w:hyperlink r:id="rId32">
        <w:r>
          <w:rPr>
            <w:rStyle w:val="Hyperlink"/>
          </w:rPr>
          <w:t xml:space="preserve">https://www.tandfonline.com/doi/full/10.1080/17430430500355790?scroll=top&amp;needAccess=true</w:t>
        </w:r>
      </w:hyperlink>
    </w:p>
    <w:p>
      <w:pPr>
        <w:pStyle w:val="BodyText"/>
      </w:pPr>
      <w:hyperlink r:id="rId33">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4">
        <w:r>
          <w:rPr>
            <w:rStyle w:val="Hyperlink"/>
          </w:rPr>
          <w:t xml:space="preserve">https://expandedramblings.com/index.php/pokemon-go-statistics/</w:t>
        </w:r>
      </w:hyperlink>
      <w:r>
        <w:t xml:space="preserve">.</w:t>
      </w:r>
    </w:p>
    <w:p>
      <w:pPr>
        <w:pStyle w:val="BodyText"/>
      </w:pPr>
      <w:hyperlink r:id="rId35">
        <w:r>
          <w:rPr>
            <w:rStyle w:val="Hyperlink"/>
          </w:rPr>
          <w:t xml:space="preserve">https://www.ncbi.nlm.nih.gov/pmc/articles/PMC5174727/</w:t>
        </w:r>
      </w:hyperlink>
    </w:p>
    <w:p>
      <w:pPr>
        <w:pStyle w:val="BodyText"/>
      </w:pPr>
      <w:hyperlink r:id="rId36">
        <w:r>
          <w:rPr>
            <w:rStyle w:val="Hyperlink"/>
          </w:rPr>
          <w:t xml:space="preserve">https://blogs.scientificamerican.com/guilty-planet/httpblogsscientificamericancomguilty-planet20110707the-pros-cons-of-amazon-mechanical-turk-for-scientific-surveys/</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blogs.scientificamerican.com/guilty-planet/httpblogsscientificamericancomguilty-planet20110707the-pros-cons-of-amazon-mechanical-turk-for-scientific-surveys/" TargetMode="External" /><Relationship Type="http://schemas.openxmlformats.org/officeDocument/2006/relationships/hyperlink" Id="rId34" Target="https://expandedramblings.com/index.php/pokemon-go-statistics/"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35" Target="https://www.ncbi.nlm.nih.gov/pmc/articles/PMC5174727/"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6" Target="https://blogs.scientificamerican.com/guilty-planet/httpblogsscientificamericancomguilty-planet20110707the-pros-cons-of-amazon-mechanical-turk-for-scientific-surveys/" TargetMode="External" /><Relationship Type="http://schemas.openxmlformats.org/officeDocument/2006/relationships/hyperlink" Id="rId34" Target="https://expandedramblings.com/index.php/pokemon-go-statistics/"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35" Target="https://www.ncbi.nlm.nih.gov/pmc/articles/PMC5174727/"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dcterms:created xsi:type="dcterms:W3CDTF">2021-10-14T11:29:35Z</dcterms:created>
  <dcterms:modified xsi:type="dcterms:W3CDTF">2021-10-14T11:29:35Z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