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Ashkenazi</w:t>
      </w:r>
      <w:r>
        <w:rPr>
          <w:spacing w:val="-9"/>
        </w:rPr>
        <w:t> </w:t>
      </w:r>
      <w:r>
        <w:rPr/>
        <w:t>Population</w:t>
      </w:r>
      <w:r>
        <w:rPr>
          <w:spacing w:val="-10"/>
        </w:rPr>
        <w:t> </w:t>
      </w:r>
      <w:r>
        <w:rPr/>
        <w:t>Structure</w:t>
      </w:r>
      <w:r>
        <w:rPr>
          <w:spacing w:val="-9"/>
        </w:rPr>
        <w:t> </w:t>
      </w:r>
      <w:r>
        <w:rPr/>
        <w:t>Reassessed:</w:t>
      </w:r>
      <w:r>
        <w:rPr>
          <w:spacing w:val="-10"/>
        </w:rPr>
        <w:t> </w:t>
      </w:r>
      <w:r>
        <w:rPr/>
        <w:t>Reference-Panel Sensitivity and the Europe-Levant Cline</w:t>
      </w:r>
    </w:p>
    <w:p>
      <w:pPr>
        <w:spacing w:before="200"/>
        <w:ind w:left="111" w:right="112" w:firstLine="0"/>
        <w:jc w:val="center"/>
        <w:rPr>
          <w:sz w:val="24"/>
        </w:rPr>
      </w:pPr>
      <w:r>
        <w:rPr>
          <w:sz w:val="24"/>
        </w:rPr>
        <w:t>Steven</w:t>
      </w:r>
      <w:r>
        <w:rPr>
          <w:spacing w:val="-3"/>
          <w:sz w:val="24"/>
        </w:rPr>
        <w:t> </w:t>
      </w:r>
      <w:r>
        <w:rPr>
          <w:spacing w:val="-2"/>
          <w:sz w:val="24"/>
        </w:rPr>
        <w:t>Parker</w:t>
      </w:r>
    </w:p>
    <w:p>
      <w:pPr>
        <w:pStyle w:val="BodyText"/>
        <w:spacing w:before="121"/>
        <w:ind w:left="1" w:firstLine="0"/>
        <w:jc w:val="center"/>
      </w:pPr>
      <w:r>
        <w:rPr/>
        <w:t>Contact:</w:t>
      </w:r>
      <w:r>
        <w:rPr>
          <w:spacing w:val="-7"/>
        </w:rPr>
        <w:t> </w:t>
      </w:r>
      <w:hyperlink r:id="rId7">
        <w:r>
          <w:rPr>
            <w:spacing w:val="-2"/>
          </w:rPr>
          <w:t>stevenparker@ashkenaziresearch.org</w:t>
        </w:r>
      </w:hyperlink>
    </w:p>
    <w:p>
      <w:pPr>
        <w:pStyle w:val="BodyText"/>
        <w:spacing w:before="0"/>
        <w:ind w:left="0" w:firstLine="0"/>
        <w:jc w:val="left"/>
      </w:pPr>
    </w:p>
    <w:p>
      <w:pPr>
        <w:pStyle w:val="BodyText"/>
        <w:spacing w:before="155"/>
        <w:ind w:left="0" w:firstLine="0"/>
        <w:jc w:val="left"/>
      </w:pPr>
    </w:p>
    <w:p>
      <w:pPr>
        <w:pStyle w:val="Heading1"/>
      </w:pPr>
      <w:r>
        <w:rPr>
          <w:spacing w:val="-2"/>
        </w:rPr>
        <w:t>Abstract</w:t>
      </w:r>
    </w:p>
    <w:p>
      <w:pPr>
        <w:spacing w:line="276" w:lineRule="auto" w:before="143"/>
        <w:ind w:left="130" w:right="129" w:firstLine="0"/>
        <w:jc w:val="left"/>
        <w:rPr>
          <w:sz w:val="20"/>
        </w:rPr>
      </w:pPr>
      <w:r>
        <w:rPr>
          <w:sz w:val="20"/>
        </w:rPr>
        <w:t>Population-genetic</w:t>
      </w:r>
      <w:r>
        <w:rPr>
          <w:spacing w:val="-1"/>
          <w:sz w:val="20"/>
        </w:rPr>
        <w:t> </w:t>
      </w:r>
      <w:r>
        <w:rPr>
          <w:sz w:val="20"/>
        </w:rPr>
        <w:t>placement</w:t>
      </w:r>
      <w:r>
        <w:rPr>
          <w:spacing w:val="-4"/>
          <w:sz w:val="20"/>
        </w:rPr>
        <w:t> </w:t>
      </w:r>
      <w:r>
        <w:rPr>
          <w:sz w:val="20"/>
        </w:rPr>
        <w:t>is</w:t>
      </w:r>
      <w:r>
        <w:rPr>
          <w:spacing w:val="-4"/>
          <w:sz w:val="20"/>
        </w:rPr>
        <w:t> </w:t>
      </w:r>
      <w:r>
        <w:rPr>
          <w:sz w:val="20"/>
        </w:rPr>
        <w:t>conditional</w:t>
      </w:r>
      <w:r>
        <w:rPr>
          <w:spacing w:val="-3"/>
          <w:sz w:val="20"/>
        </w:rPr>
        <w:t> </w:t>
      </w:r>
      <w:r>
        <w:rPr>
          <w:sz w:val="20"/>
        </w:rPr>
        <w:t>on</w:t>
      </w:r>
      <w:r>
        <w:rPr>
          <w:spacing w:val="-4"/>
          <w:sz w:val="20"/>
        </w:rPr>
        <w:t> </w:t>
      </w:r>
      <w:r>
        <w:rPr>
          <w:sz w:val="20"/>
        </w:rPr>
        <w:t>the</w:t>
      </w:r>
      <w:r>
        <w:rPr>
          <w:spacing w:val="-1"/>
          <w:sz w:val="20"/>
        </w:rPr>
        <w:t> </w:t>
      </w:r>
      <w:r>
        <w:rPr>
          <w:sz w:val="20"/>
        </w:rPr>
        <w:t>reference</w:t>
      </w:r>
      <w:r>
        <w:rPr>
          <w:spacing w:val="-3"/>
          <w:sz w:val="20"/>
        </w:rPr>
        <w:t> </w:t>
      </w:r>
      <w:r>
        <w:rPr>
          <w:sz w:val="20"/>
        </w:rPr>
        <w:t>populations</w:t>
      </w:r>
      <w:r>
        <w:rPr>
          <w:spacing w:val="-4"/>
          <w:sz w:val="20"/>
        </w:rPr>
        <w:t> </w:t>
      </w:r>
      <w:r>
        <w:rPr>
          <w:sz w:val="20"/>
        </w:rPr>
        <w:t>supplied</w:t>
      </w:r>
      <w:r>
        <w:rPr>
          <w:spacing w:val="-4"/>
          <w:sz w:val="20"/>
        </w:rPr>
        <w:t> </w:t>
      </w:r>
      <w:r>
        <w:rPr>
          <w:sz w:val="20"/>
        </w:rPr>
        <w:t>to</w:t>
      </w:r>
      <w:r>
        <w:rPr>
          <w:spacing w:val="-2"/>
          <w:sz w:val="20"/>
        </w:rPr>
        <w:t> </w:t>
      </w:r>
      <w:r>
        <w:rPr>
          <w:sz w:val="20"/>
        </w:rPr>
        <w:t>an</w:t>
      </w:r>
      <w:r>
        <w:rPr>
          <w:spacing w:val="-4"/>
          <w:sz w:val="20"/>
        </w:rPr>
        <w:t> </w:t>
      </w:r>
      <w:r>
        <w:rPr>
          <w:sz w:val="20"/>
        </w:rPr>
        <w:t>analysis.</w:t>
      </w:r>
      <w:r>
        <w:rPr>
          <w:spacing w:val="-4"/>
          <w:sz w:val="20"/>
        </w:rPr>
        <w:t> </w:t>
      </w:r>
      <w:r>
        <w:rPr>
          <w:sz w:val="20"/>
        </w:rPr>
        <w:t>This</w:t>
      </w:r>
      <w:r>
        <w:rPr>
          <w:spacing w:val="-4"/>
          <w:sz w:val="20"/>
        </w:rPr>
        <w:t> </w:t>
      </w:r>
      <w:r>
        <w:rPr>
          <w:sz w:val="20"/>
        </w:rPr>
        <w:t>study</w:t>
      </w:r>
      <w:r>
        <w:rPr>
          <w:spacing w:val="-4"/>
          <w:sz w:val="20"/>
        </w:rPr>
        <w:t> </w:t>
      </w:r>
      <w:r>
        <w:rPr>
          <w:sz w:val="20"/>
        </w:rPr>
        <w:t>tests whether the familiar description of Ashkenazi Jews as intermediate between Europe and the Levant is stable when Italian Jewish, Southern Italian, Sicilian, Maltese, and Aegean comparators are included directly. A</w:t>
      </w:r>
      <w:r>
        <w:rPr>
          <w:spacing w:val="40"/>
          <w:sz w:val="20"/>
        </w:rPr>
        <w:t> </w:t>
      </w:r>
      <w:r>
        <w:rPr>
          <w:sz w:val="20"/>
        </w:rPr>
        <w:t>literature audit first identifies a recurring reference-panel pattern across foundational Y-chromosomal studies and the landmark autosomal studies synthesized by Ostrer and Skorecki (2013): Northern Italians, Tuscans, Sardinians, and Northern or Central Europeans were repeatedly available, whereas non-Jewish Southern Italians and Sicilians were generally absent. The original quantitative analysis is a linked suite of fifteen Global25 coordinate-space experiments comprising full competition panels, matched source omissions, reciprocal Italian Jewish targets, ten regional Ashkenazi targets, prehistoric controls, ancient Levant positive controls, and a full twenty-five-dimensional vector diagnostic. In the expanded modern panel, the source labeled Italki is the largest individual fitted source, and the strict Italian Jewish and central Mediterranean block totals 54.6 at distance 0.00819655. Removing only Italki worsens distance by 12.49 percent and reallocates most of the missing coefficient to related Italian and central Mediterranean sources. Removing Italki together with Southern Italian, Sicilian, Maltese, and Aegean comparators worsens distance by 47.18 percent, raises the Lombardy proxy from</w:t>
      </w:r>
    </w:p>
    <w:p>
      <w:pPr>
        <w:spacing w:line="276" w:lineRule="auto" w:before="0"/>
        <w:ind w:left="130" w:right="217" w:firstLine="0"/>
        <w:jc w:val="left"/>
        <w:rPr>
          <w:sz w:val="20"/>
        </w:rPr>
      </w:pPr>
      <w:r>
        <w:rPr>
          <w:sz w:val="20"/>
        </w:rPr>
        <w:t>9.8 to 38.0, and raises the Levantine-continuity block from 22.8 to 52.0. Reciprocal Italki models, regional replication, and ancient Levant positive controls reproduce the predicted directional behavior. For the German regional target, Levantine-continuity and Northern/Eastern</w:t>
      </w:r>
      <w:r>
        <w:rPr>
          <w:spacing w:val="-1"/>
          <w:sz w:val="20"/>
        </w:rPr>
        <w:t> </w:t>
      </w:r>
      <w:r>
        <w:rPr>
          <w:sz w:val="20"/>
        </w:rPr>
        <w:t>European blocks produce strongly opposing, nearly equal weighted displacements around a reconstruction centered in central Mediterranean coordinate space. Global25 coefficients are descriptive, panel-dependent similarity weights and are not treated as literal ancestry percentages.</w:t>
      </w:r>
      <w:r>
        <w:rPr>
          <w:spacing w:val="-3"/>
          <w:sz w:val="20"/>
        </w:rPr>
        <w:t> </w:t>
      </w:r>
      <w:r>
        <w:rPr>
          <w:sz w:val="20"/>
        </w:rPr>
        <w:t>The</w:t>
      </w:r>
      <w:r>
        <w:rPr>
          <w:spacing w:val="-2"/>
          <w:sz w:val="20"/>
        </w:rPr>
        <w:t> </w:t>
      </w:r>
      <w:r>
        <w:rPr>
          <w:sz w:val="20"/>
        </w:rPr>
        <w:t>results</w:t>
      </w:r>
      <w:r>
        <w:rPr>
          <w:spacing w:val="-2"/>
          <w:sz w:val="20"/>
        </w:rPr>
        <w:t> </w:t>
      </w:r>
      <w:r>
        <w:rPr>
          <w:sz w:val="20"/>
        </w:rPr>
        <w:t>show</w:t>
      </w:r>
      <w:r>
        <w:rPr>
          <w:spacing w:val="-4"/>
          <w:sz w:val="20"/>
        </w:rPr>
        <w:t> </w:t>
      </w:r>
      <w:r>
        <w:rPr>
          <w:sz w:val="20"/>
        </w:rPr>
        <w:t>that</w:t>
      </w:r>
      <w:r>
        <w:rPr>
          <w:spacing w:val="-4"/>
          <w:sz w:val="20"/>
        </w:rPr>
        <w:t> </w:t>
      </w:r>
      <w:r>
        <w:rPr>
          <w:sz w:val="20"/>
        </w:rPr>
        <w:t>a</w:t>
      </w:r>
      <w:r>
        <w:rPr>
          <w:spacing w:val="-2"/>
          <w:sz w:val="20"/>
        </w:rPr>
        <w:t> </w:t>
      </w:r>
      <w:r>
        <w:rPr>
          <w:sz w:val="20"/>
        </w:rPr>
        <w:t>comparator</w:t>
      </w:r>
      <w:r>
        <w:rPr>
          <w:spacing w:val="-4"/>
          <w:sz w:val="20"/>
        </w:rPr>
        <w:t> </w:t>
      </w:r>
      <w:r>
        <w:rPr>
          <w:sz w:val="20"/>
        </w:rPr>
        <w:t>architecture</w:t>
      </w:r>
      <w:r>
        <w:rPr>
          <w:spacing w:val="-2"/>
          <w:sz w:val="20"/>
        </w:rPr>
        <w:t> </w:t>
      </w:r>
      <w:r>
        <w:rPr>
          <w:sz w:val="20"/>
        </w:rPr>
        <w:t>repeated</w:t>
      </w:r>
      <w:r>
        <w:rPr>
          <w:spacing w:val="-3"/>
          <w:sz w:val="20"/>
        </w:rPr>
        <w:t> </w:t>
      </w:r>
      <w:r>
        <w:rPr>
          <w:sz w:val="20"/>
        </w:rPr>
        <w:t>across</w:t>
      </w:r>
      <w:r>
        <w:rPr>
          <w:spacing w:val="-3"/>
          <w:sz w:val="20"/>
        </w:rPr>
        <w:t> </w:t>
      </w:r>
      <w:r>
        <w:rPr>
          <w:sz w:val="20"/>
        </w:rPr>
        <w:t>influential</w:t>
      </w:r>
      <w:r>
        <w:rPr>
          <w:spacing w:val="-2"/>
          <w:sz w:val="20"/>
        </w:rPr>
        <w:t> </w:t>
      </w:r>
      <w:r>
        <w:rPr>
          <w:sz w:val="20"/>
        </w:rPr>
        <w:t>literature</w:t>
      </w:r>
      <w:r>
        <w:rPr>
          <w:spacing w:val="-2"/>
          <w:sz w:val="20"/>
        </w:rPr>
        <w:t> </w:t>
      </w:r>
      <w:r>
        <w:rPr>
          <w:sz w:val="20"/>
        </w:rPr>
        <w:t>can</w:t>
      </w:r>
      <w:r>
        <w:rPr>
          <w:spacing w:val="-4"/>
          <w:sz w:val="20"/>
        </w:rPr>
        <w:t> </w:t>
      </w:r>
      <w:r>
        <w:rPr>
          <w:sz w:val="20"/>
        </w:rPr>
        <w:t>create</w:t>
      </w:r>
      <w:r>
        <w:rPr>
          <w:spacing w:val="-2"/>
          <w:sz w:val="20"/>
        </w:rPr>
        <w:t> </w:t>
      </w:r>
      <w:r>
        <w:rPr>
          <w:sz w:val="20"/>
        </w:rPr>
        <w:t>or exaggerate an apparent Europe-Levant cline when the central Mediterranean population space is not represented directly. Within the stated limitations, the most stable finding is a large Italian Jewish and central Mediterranean-associated</w:t>
      </w:r>
      <w:r>
        <w:rPr>
          <w:spacing w:val="-4"/>
          <w:sz w:val="20"/>
        </w:rPr>
        <w:t> </w:t>
      </w:r>
      <w:r>
        <w:rPr>
          <w:sz w:val="20"/>
        </w:rPr>
        <w:t>fitted</w:t>
      </w:r>
      <w:r>
        <w:rPr>
          <w:spacing w:val="-4"/>
          <w:sz w:val="20"/>
        </w:rPr>
        <w:t> </w:t>
      </w:r>
      <w:r>
        <w:rPr>
          <w:sz w:val="20"/>
        </w:rPr>
        <w:t>affinity,</w:t>
      </w:r>
      <w:r>
        <w:rPr>
          <w:spacing w:val="-2"/>
          <w:sz w:val="20"/>
        </w:rPr>
        <w:t> </w:t>
      </w:r>
      <w:r>
        <w:rPr>
          <w:sz w:val="20"/>
        </w:rPr>
        <w:t>with</w:t>
      </w:r>
      <w:r>
        <w:rPr>
          <w:spacing w:val="-4"/>
          <w:sz w:val="20"/>
        </w:rPr>
        <w:t> </w:t>
      </w:r>
      <w:r>
        <w:rPr>
          <w:sz w:val="20"/>
        </w:rPr>
        <w:t>smaller</w:t>
      </w:r>
      <w:r>
        <w:rPr>
          <w:spacing w:val="-5"/>
          <w:sz w:val="20"/>
        </w:rPr>
        <w:t> </w:t>
      </w:r>
      <w:r>
        <w:rPr>
          <w:sz w:val="20"/>
        </w:rPr>
        <w:t>proxy</w:t>
      </w:r>
      <w:r>
        <w:rPr>
          <w:spacing w:val="-4"/>
          <w:sz w:val="20"/>
        </w:rPr>
        <w:t> </w:t>
      </w:r>
      <w:r>
        <w:rPr>
          <w:sz w:val="20"/>
        </w:rPr>
        <w:t>coefficients</w:t>
      </w:r>
      <w:r>
        <w:rPr>
          <w:spacing w:val="-1"/>
          <w:sz w:val="20"/>
        </w:rPr>
        <w:t> </w:t>
      </w:r>
      <w:r>
        <w:rPr>
          <w:sz w:val="20"/>
        </w:rPr>
        <w:t>requiring</w:t>
      </w:r>
      <w:r>
        <w:rPr>
          <w:spacing w:val="-4"/>
          <w:sz w:val="20"/>
        </w:rPr>
        <w:t> </w:t>
      </w:r>
      <w:r>
        <w:rPr>
          <w:sz w:val="20"/>
        </w:rPr>
        <w:t>geometric</w:t>
      </w:r>
      <w:r>
        <w:rPr>
          <w:spacing w:val="-3"/>
          <w:sz w:val="20"/>
        </w:rPr>
        <w:t> </w:t>
      </w:r>
      <w:r>
        <w:rPr>
          <w:sz w:val="20"/>
        </w:rPr>
        <w:t>and</w:t>
      </w:r>
      <w:r>
        <w:rPr>
          <w:spacing w:val="-4"/>
          <w:sz w:val="20"/>
        </w:rPr>
        <w:t> </w:t>
      </w:r>
      <w:r>
        <w:rPr>
          <w:sz w:val="20"/>
        </w:rPr>
        <w:t>panel-sensitive </w:t>
      </w:r>
      <w:r>
        <w:rPr>
          <w:spacing w:val="-2"/>
          <w:sz w:val="20"/>
        </w:rPr>
        <w:t>interpretation.</w:t>
      </w:r>
    </w:p>
    <w:p>
      <w:pPr>
        <w:spacing w:line="278" w:lineRule="auto" w:before="98"/>
        <w:ind w:left="130" w:right="129" w:firstLine="0"/>
        <w:jc w:val="left"/>
        <w:rPr>
          <w:sz w:val="20"/>
        </w:rPr>
      </w:pPr>
      <w:r>
        <w:rPr>
          <w:sz w:val="20"/>
        </w:rPr>
        <w:t>Keywords:</w:t>
      </w:r>
      <w:r>
        <w:rPr>
          <w:spacing w:val="-5"/>
          <w:sz w:val="20"/>
        </w:rPr>
        <w:t> </w:t>
      </w:r>
      <w:r>
        <w:rPr>
          <w:sz w:val="20"/>
        </w:rPr>
        <w:t>Ashkenazi</w:t>
      </w:r>
      <w:r>
        <w:rPr>
          <w:spacing w:val="-5"/>
          <w:sz w:val="20"/>
        </w:rPr>
        <w:t> </w:t>
      </w:r>
      <w:r>
        <w:rPr>
          <w:sz w:val="20"/>
        </w:rPr>
        <w:t>Jews;</w:t>
      </w:r>
      <w:r>
        <w:rPr>
          <w:spacing w:val="-3"/>
          <w:sz w:val="20"/>
        </w:rPr>
        <w:t> </w:t>
      </w:r>
      <w:r>
        <w:rPr>
          <w:sz w:val="20"/>
        </w:rPr>
        <w:t>population</w:t>
      </w:r>
      <w:r>
        <w:rPr>
          <w:spacing w:val="-4"/>
          <w:sz w:val="20"/>
        </w:rPr>
        <w:t> </w:t>
      </w:r>
      <w:r>
        <w:rPr>
          <w:sz w:val="20"/>
        </w:rPr>
        <w:t>genetics;</w:t>
      </w:r>
      <w:r>
        <w:rPr>
          <w:spacing w:val="-5"/>
          <w:sz w:val="20"/>
        </w:rPr>
        <w:t> </w:t>
      </w:r>
      <w:r>
        <w:rPr>
          <w:sz w:val="20"/>
        </w:rPr>
        <w:t>reference-panel</w:t>
      </w:r>
      <w:r>
        <w:rPr>
          <w:spacing w:val="-4"/>
          <w:sz w:val="20"/>
        </w:rPr>
        <w:t> </w:t>
      </w:r>
      <w:r>
        <w:rPr>
          <w:sz w:val="20"/>
        </w:rPr>
        <w:t>sensitivity;</w:t>
      </w:r>
      <w:r>
        <w:rPr>
          <w:spacing w:val="-5"/>
          <w:sz w:val="20"/>
        </w:rPr>
        <w:t> </w:t>
      </w:r>
      <w:r>
        <w:rPr>
          <w:sz w:val="20"/>
        </w:rPr>
        <w:t>comparator</w:t>
      </w:r>
      <w:r>
        <w:rPr>
          <w:spacing w:val="-6"/>
          <w:sz w:val="20"/>
        </w:rPr>
        <w:t> </w:t>
      </w:r>
      <w:r>
        <w:rPr>
          <w:sz w:val="20"/>
        </w:rPr>
        <w:t>omission;</w:t>
      </w:r>
      <w:r>
        <w:rPr>
          <w:spacing w:val="-3"/>
          <w:sz w:val="20"/>
        </w:rPr>
        <w:t> </w:t>
      </w:r>
      <w:r>
        <w:rPr>
          <w:sz w:val="20"/>
        </w:rPr>
        <w:t>central Mediterranean; Southern Italy; Italian Jews; Global25; coordinate-space modeling</w:t>
      </w:r>
    </w:p>
    <w:p>
      <w:pPr>
        <w:pStyle w:val="BodyText"/>
        <w:spacing w:before="26"/>
        <w:ind w:left="0" w:firstLine="0"/>
        <w:jc w:val="left"/>
        <w:rPr>
          <w:sz w:val="20"/>
        </w:rPr>
      </w:pPr>
    </w:p>
    <w:p>
      <w:pPr>
        <w:pStyle w:val="Heading1"/>
        <w:numPr>
          <w:ilvl w:val="0"/>
          <w:numId w:val="1"/>
        </w:numPr>
        <w:tabs>
          <w:tab w:pos="383" w:val="left" w:leader="none"/>
        </w:tabs>
        <w:spacing w:line="240" w:lineRule="auto" w:before="0" w:after="0"/>
        <w:ind w:left="383" w:right="0" w:hanging="252"/>
        <w:jc w:val="left"/>
      </w:pPr>
      <w:r>
        <w:rPr>
          <w:spacing w:val="-2"/>
        </w:rPr>
        <w:t>Introduction</w:t>
      </w:r>
    </w:p>
    <w:p>
      <w:pPr>
        <w:pStyle w:val="BodyText"/>
        <w:spacing w:line="259" w:lineRule="auto" w:before="146"/>
        <w:ind w:right="122"/>
      </w:pPr>
      <w:r>
        <w:rPr/>
        <w:t>Genome-wide studies consistently identify Ashkenazi Jews as a genetically distinctive, endogamous population with ancestry related to both Europe and the eastern Mediterranean. Principal-component analyses, model-based clustering, identity-by-descent analyses, and ancient-DNA studies have repeatedly placed Ashkenazi samples near Southern European and Mediterranean populations while also detecting affinities with Levantine or other eastern Mediterranean groups (Atzmon et al., 2010; Behar et al., 2010; Bray</w:t>
      </w:r>
      <w:r>
        <w:rPr>
          <w:spacing w:val="-2"/>
        </w:rPr>
        <w:t> </w:t>
      </w:r>
      <w:r>
        <w:rPr/>
        <w:t>et</w:t>
      </w:r>
      <w:r>
        <w:rPr>
          <w:spacing w:val="-1"/>
        </w:rPr>
        <w:t> </w:t>
      </w:r>
      <w:r>
        <w:rPr/>
        <w:t>al.,</w:t>
      </w:r>
      <w:r>
        <w:rPr>
          <w:spacing w:val="-1"/>
        </w:rPr>
        <w:t> </w:t>
      </w:r>
      <w:r>
        <w:rPr/>
        <w:t>2010;</w:t>
      </w:r>
      <w:r>
        <w:rPr>
          <w:spacing w:val="-2"/>
        </w:rPr>
        <w:t> </w:t>
      </w:r>
      <w:r>
        <w:rPr/>
        <w:t>Ostrer</w:t>
      </w:r>
      <w:r>
        <w:rPr>
          <w:spacing w:val="-2"/>
        </w:rPr>
        <w:t> </w:t>
      </w:r>
      <w:r>
        <w:rPr/>
        <w:t>and</w:t>
      </w:r>
      <w:r>
        <w:rPr>
          <w:spacing w:val="-1"/>
        </w:rPr>
        <w:t> </w:t>
      </w:r>
      <w:r>
        <w:rPr/>
        <w:t>Skorecki,</w:t>
      </w:r>
      <w:r>
        <w:rPr>
          <w:spacing w:val="-1"/>
        </w:rPr>
        <w:t> </w:t>
      </w:r>
      <w:r>
        <w:rPr/>
        <w:t>2013;</w:t>
      </w:r>
      <w:r>
        <w:rPr>
          <w:spacing w:val="-2"/>
        </w:rPr>
        <w:t> </w:t>
      </w:r>
      <w:r>
        <w:rPr/>
        <w:t>Xue</w:t>
      </w:r>
      <w:r>
        <w:rPr>
          <w:spacing w:val="-1"/>
        </w:rPr>
        <w:t> </w:t>
      </w:r>
      <w:r>
        <w:rPr/>
        <w:t>et</w:t>
      </w:r>
      <w:r>
        <w:rPr>
          <w:spacing w:val="-1"/>
        </w:rPr>
        <w:t> </w:t>
      </w:r>
      <w:r>
        <w:rPr/>
        <w:t>al.,</w:t>
      </w:r>
      <w:r>
        <w:rPr>
          <w:spacing w:val="-4"/>
        </w:rPr>
        <w:t> </w:t>
      </w:r>
      <w:r>
        <w:rPr/>
        <w:t>2017;</w:t>
      </w:r>
      <w:r>
        <w:rPr>
          <w:spacing w:val="-2"/>
        </w:rPr>
        <w:t> </w:t>
      </w:r>
      <w:r>
        <w:rPr/>
        <w:t>Waldman</w:t>
      </w:r>
      <w:r>
        <w:rPr>
          <w:spacing w:val="-1"/>
        </w:rPr>
        <w:t> </w:t>
      </w:r>
      <w:r>
        <w:rPr/>
        <w:t>et</w:t>
      </w:r>
      <w:r>
        <w:rPr>
          <w:spacing w:val="-1"/>
        </w:rPr>
        <w:t> </w:t>
      </w:r>
      <w:r>
        <w:rPr/>
        <w:t>al.,</w:t>
      </w:r>
      <w:r>
        <w:rPr>
          <w:spacing w:val="-1"/>
        </w:rPr>
        <w:t> </w:t>
      </w:r>
      <w:r>
        <w:rPr/>
        <w:t>2022).</w:t>
      </w:r>
      <w:r>
        <w:rPr>
          <w:spacing w:val="-1"/>
        </w:rPr>
        <w:t> </w:t>
      </w:r>
      <w:r>
        <w:rPr/>
        <w:t>The</w:t>
      </w:r>
      <w:r>
        <w:rPr>
          <w:spacing w:val="-1"/>
        </w:rPr>
        <w:t> </w:t>
      </w:r>
      <w:r>
        <w:rPr/>
        <w:t>central</w:t>
      </w:r>
      <w:r>
        <w:rPr>
          <w:spacing w:val="-1"/>
        </w:rPr>
        <w:t> </w:t>
      </w:r>
      <w:r>
        <w:rPr/>
        <w:t>interpretive disagreement is not whether multiple ancestry-related signals exist, but how their geographic scale should be described and how much of the apparent Europe-Levant pattern depends on the reference populations selected for analysis.</w:t>
      </w:r>
    </w:p>
    <w:p>
      <w:pPr>
        <w:pStyle w:val="BodyText"/>
        <w:spacing w:line="259" w:lineRule="auto" w:before="98"/>
        <w:ind w:right="123"/>
      </w:pPr>
      <w:r>
        <w:rPr/>
        <w:t>The expression Europe-Levant intermediate is often treated as though it were an intrinsic property of the target population. In practice, intermediate placement is defined relative to a declared coordinate system and a chosen reference panel. A target can appear to lie between two poles when a more directly relevant population space is absent. This is particularly important in the Mediterranean, where Northern Italians, Tuscans, Sardinians, Southern Italians, Sicilians, Maltese, Aegean Greeks, and Italian Jews are related but non-interchangeable comparators. If central Mediterranean variation is omitted, north-shifted</w:t>
      </w:r>
    </w:p>
    <w:p>
      <w:pPr>
        <w:pStyle w:val="BodyText"/>
        <w:spacing w:after="0" w:line="259" w:lineRule="auto"/>
        <w:sectPr>
          <w:headerReference w:type="default" r:id="rId5"/>
          <w:footerReference w:type="default" r:id="rId6"/>
          <w:type w:val="continuous"/>
          <w:pgSz w:w="11910" w:h="16840"/>
          <w:pgMar w:header="390" w:footer="444" w:top="940" w:bottom="640" w:left="992" w:right="992"/>
          <w:pgNumType w:start="1"/>
        </w:sectPr>
      </w:pPr>
    </w:p>
    <w:p>
      <w:pPr>
        <w:pStyle w:val="BodyText"/>
        <w:spacing w:line="256" w:lineRule="auto" w:before="92"/>
        <w:ind w:right="129" w:firstLine="0"/>
        <w:jc w:val="left"/>
      </w:pPr>
      <w:r>
        <w:rPr/>
        <w:t>Italian and Levantine references may become the nearest remaining directions and can bracket the missing </w:t>
      </w:r>
      <w:r>
        <w:rPr>
          <w:spacing w:val="-2"/>
        </w:rPr>
        <w:t>space.</w:t>
      </w:r>
    </w:p>
    <w:p>
      <w:pPr>
        <w:pStyle w:val="Heading2"/>
        <w:numPr>
          <w:ilvl w:val="1"/>
          <w:numId w:val="1"/>
        </w:numPr>
        <w:tabs>
          <w:tab w:pos="482" w:val="left" w:leader="none"/>
        </w:tabs>
        <w:spacing w:line="240" w:lineRule="auto" w:before="184" w:after="0"/>
        <w:ind w:left="482" w:right="0" w:hanging="351"/>
        <w:jc w:val="both"/>
      </w:pPr>
      <w:r>
        <w:rPr/>
        <w:t>Foundational</w:t>
      </w:r>
      <w:r>
        <w:rPr>
          <w:spacing w:val="-7"/>
        </w:rPr>
        <w:t> </w:t>
      </w:r>
      <w:r>
        <w:rPr/>
        <w:t>Y-chromosomal</w:t>
      </w:r>
      <w:r>
        <w:rPr>
          <w:spacing w:val="-4"/>
        </w:rPr>
        <w:t> </w:t>
      </w:r>
      <w:r>
        <w:rPr/>
        <w:t>studies</w:t>
      </w:r>
      <w:r>
        <w:rPr>
          <w:spacing w:val="-4"/>
        </w:rPr>
        <w:t> </w:t>
      </w:r>
      <w:r>
        <w:rPr/>
        <w:t>and</w:t>
      </w:r>
      <w:r>
        <w:rPr>
          <w:spacing w:val="-4"/>
        </w:rPr>
        <w:t> </w:t>
      </w:r>
      <w:r>
        <w:rPr/>
        <w:t>the</w:t>
      </w:r>
      <w:r>
        <w:rPr>
          <w:spacing w:val="-6"/>
        </w:rPr>
        <w:t> </w:t>
      </w:r>
      <w:r>
        <w:rPr/>
        <w:t>Southern</w:t>
      </w:r>
      <w:r>
        <w:rPr>
          <w:spacing w:val="-3"/>
        </w:rPr>
        <w:t> </w:t>
      </w:r>
      <w:r>
        <w:rPr/>
        <w:t>Italian</w:t>
      </w:r>
      <w:r>
        <w:rPr>
          <w:spacing w:val="-3"/>
        </w:rPr>
        <w:t> </w:t>
      </w:r>
      <w:r>
        <w:rPr/>
        <w:t>comparator</w:t>
      </w:r>
      <w:r>
        <w:rPr>
          <w:spacing w:val="-3"/>
        </w:rPr>
        <w:t> </w:t>
      </w:r>
      <w:r>
        <w:rPr>
          <w:spacing w:val="-5"/>
        </w:rPr>
        <w:t>gap</w:t>
      </w:r>
    </w:p>
    <w:p>
      <w:pPr>
        <w:pStyle w:val="BodyText"/>
        <w:spacing w:line="259" w:lineRule="auto" w:before="102"/>
        <w:ind w:right="123"/>
      </w:pPr>
      <w:r>
        <w:rPr/>
        <w:t>The comparator problem is visible at the beginning of modern Ashkenazi population genetics. Hammer et al. (2000) and Nebel et al. (2001) were foundational papers in the field and were widely interpreted as evidence for</w:t>
      </w:r>
      <w:r>
        <w:rPr>
          <w:spacing w:val="-1"/>
        </w:rPr>
        <w:t> </w:t>
      </w:r>
      <w:r>
        <w:rPr/>
        <w:t>substantial shared paternal ancestry</w:t>
      </w:r>
      <w:r>
        <w:rPr>
          <w:spacing w:val="-1"/>
        </w:rPr>
        <w:t> </w:t>
      </w:r>
      <w:r>
        <w:rPr/>
        <w:t>between Jewish and Middle</w:t>
      </w:r>
      <w:r>
        <w:rPr>
          <w:spacing w:val="-2"/>
        </w:rPr>
        <w:t> </w:t>
      </w:r>
      <w:r>
        <w:rPr/>
        <w:t>Eastern populations.</w:t>
      </w:r>
      <w:r>
        <w:rPr>
          <w:spacing w:val="-2"/>
        </w:rPr>
        <w:t> </w:t>
      </w:r>
      <w:r>
        <w:rPr/>
        <w:t>Behar</w:t>
      </w:r>
      <w:r>
        <w:rPr>
          <w:spacing w:val="-1"/>
        </w:rPr>
        <w:t> </w:t>
      </w:r>
      <w:r>
        <w:rPr/>
        <w:t>et al. (2004), Shen et al. (2004), and Hammer et al. (2009) extended the Y-chromosomal literature with larger or more highly resolved datasets. Yet, with the important exception of Semino et al. (2004), these studies</w:t>
      </w:r>
      <w:r>
        <w:rPr>
          <w:spacing w:val="40"/>
        </w:rPr>
        <w:t> </w:t>
      </w:r>
      <w:r>
        <w:rPr/>
        <w:t>did not place Ashkenazi Jews beside non-Jewish Southern Italian regional samples capable of testing whether broadly Mediterranean E and J lineages were geographically specific to the Levant.</w:t>
      </w:r>
    </w:p>
    <w:p>
      <w:pPr>
        <w:pStyle w:val="BodyText"/>
        <w:spacing w:line="259" w:lineRule="auto" w:before="97"/>
        <w:ind w:right="125"/>
      </w:pPr>
      <w:r>
        <w:rPr/>
        <w:t>The limitation is consequential because haplogroups J1, J2, E-M78, and E-M123 are distributed across the eastern and central Mediterranean. Broad labels such as J or E-M35 cannot by themselves distinguish Levantine-specific ancestry from Southern Italian, Aegean, Anatolian, or wider Mediterranean structure.</w:t>
      </w:r>
      <w:r>
        <w:rPr>
          <w:spacing w:val="40"/>
        </w:rPr>
        <w:t> </w:t>
      </w:r>
      <w:r>
        <w:rPr/>
        <w:t>The problem is intensified by small Ashkenazi samples in Nebel et al. (2001) and Shen et al. (2004), coarse haplogroup resolution in Behar et al. (2004), and the pooling of Ashkenazi and non-Ashkenazi Jewish samples in important summaries reported by Hammer et al. (2009).</w:t>
      </w:r>
    </w:p>
    <w:p>
      <w:pPr>
        <w:pStyle w:val="BodyText"/>
        <w:spacing w:line="259" w:lineRule="auto"/>
        <w:ind w:right="123"/>
      </w:pPr>
      <w:r>
        <w:rPr/>
        <w:t>Semino et al. (2004) is the critical exception because it included Ashkenazi Jews together with regional samples from Apulia, Calabria, and Sicily at greater downstream resolution. In those data, Ashkenazi J2 and E-M123 frequencies fall within the ranges reported for Southern Italian populations, while J1 remains secondary to J2. The overlap does not establish a unique Southern Italian paternal origin. It does establish that these lineages cannot be assigned a uniquely Levantine meaning by default when Southern European comparators are absent. The detailed frequency comparison is returned to the main text in Section 4.5 rather than being relegated to supplementary material.</w:t>
      </w:r>
    </w:p>
    <w:p>
      <w:pPr>
        <w:pStyle w:val="Heading2"/>
        <w:numPr>
          <w:ilvl w:val="1"/>
          <w:numId w:val="1"/>
        </w:numPr>
        <w:tabs>
          <w:tab w:pos="482" w:val="left" w:leader="none"/>
        </w:tabs>
        <w:spacing w:line="240" w:lineRule="auto" w:before="179" w:after="0"/>
        <w:ind w:left="482" w:right="0" w:hanging="351"/>
        <w:jc w:val="both"/>
      </w:pPr>
      <w:r>
        <w:rPr/>
        <w:t>Foundational</w:t>
      </w:r>
      <w:r>
        <w:rPr>
          <w:spacing w:val="-6"/>
        </w:rPr>
        <w:t> </w:t>
      </w:r>
      <w:r>
        <w:rPr/>
        <w:t>autosomal</w:t>
      </w:r>
      <w:r>
        <w:rPr>
          <w:spacing w:val="-4"/>
        </w:rPr>
        <w:t> </w:t>
      </w:r>
      <w:r>
        <w:rPr/>
        <w:t>studies</w:t>
      </w:r>
      <w:r>
        <w:rPr>
          <w:spacing w:val="-3"/>
        </w:rPr>
        <w:t> </w:t>
      </w:r>
      <w:r>
        <w:rPr/>
        <w:t>and</w:t>
      </w:r>
      <w:r>
        <w:rPr>
          <w:spacing w:val="-4"/>
        </w:rPr>
        <w:t> </w:t>
      </w:r>
      <w:r>
        <w:rPr/>
        <w:t>the</w:t>
      </w:r>
      <w:r>
        <w:rPr>
          <w:spacing w:val="-5"/>
        </w:rPr>
        <w:t> </w:t>
      </w:r>
      <w:r>
        <w:rPr/>
        <w:t>inherited</w:t>
      </w:r>
      <w:r>
        <w:rPr>
          <w:spacing w:val="-4"/>
        </w:rPr>
        <w:t> </w:t>
      </w:r>
      <w:r>
        <w:rPr/>
        <w:t>reference</w:t>
      </w:r>
      <w:r>
        <w:rPr>
          <w:spacing w:val="-2"/>
        </w:rPr>
        <w:t> scaffold</w:t>
      </w:r>
    </w:p>
    <w:p>
      <w:pPr>
        <w:pStyle w:val="BodyText"/>
        <w:spacing w:line="259" w:lineRule="auto" w:before="100"/>
        <w:ind w:right="125"/>
      </w:pPr>
      <w:r>
        <w:rPr/>
        <w:t>The same comparator architecture recurred when the field moved from uniparental markers to</w:t>
      </w:r>
      <w:r>
        <w:rPr>
          <w:spacing w:val="40"/>
        </w:rPr>
        <w:t> </w:t>
      </w:r>
      <w:r>
        <w:rPr/>
        <w:t>genome-wide autosomal data. Ostrer and Skorecki (2013), one of the most influential syntheses of Jewish population genetics, explicitly drew on Atzmon et al. (2010), Behar et al. (2010), Kopelman et al. (2009), Bray et al. (2010), Listman et al. (2010), and Campbell et al. (2012). These papers used different marker systems,</w:t>
      </w:r>
      <w:r>
        <w:rPr>
          <w:spacing w:val="-2"/>
        </w:rPr>
        <w:t> </w:t>
      </w:r>
      <w:r>
        <w:rPr/>
        <w:t>sample</w:t>
      </w:r>
      <w:r>
        <w:rPr>
          <w:spacing w:val="-2"/>
        </w:rPr>
        <w:t> </w:t>
      </w:r>
      <w:r>
        <w:rPr/>
        <w:t>sizes,</w:t>
      </w:r>
      <w:r>
        <w:rPr>
          <w:spacing w:val="-2"/>
        </w:rPr>
        <w:t> </w:t>
      </w:r>
      <w:r>
        <w:rPr/>
        <w:t>and</w:t>
      </w:r>
      <w:r>
        <w:rPr>
          <w:spacing w:val="-2"/>
        </w:rPr>
        <w:t> </w:t>
      </w:r>
      <w:r>
        <w:rPr/>
        <w:t>analytical</w:t>
      </w:r>
      <w:r>
        <w:rPr>
          <w:spacing w:val="-2"/>
        </w:rPr>
        <w:t> </w:t>
      </w:r>
      <w:r>
        <w:rPr/>
        <w:t>methods,</w:t>
      </w:r>
      <w:r>
        <w:rPr>
          <w:spacing w:val="-2"/>
        </w:rPr>
        <w:t> </w:t>
      </w:r>
      <w:r>
        <w:rPr/>
        <w:t>but</w:t>
      </w:r>
      <w:r>
        <w:rPr>
          <w:spacing w:val="-2"/>
        </w:rPr>
        <w:t> </w:t>
      </w:r>
      <w:r>
        <w:rPr/>
        <w:t>the</w:t>
      </w:r>
      <w:r>
        <w:rPr>
          <w:spacing w:val="-4"/>
        </w:rPr>
        <w:t> </w:t>
      </w:r>
      <w:r>
        <w:rPr/>
        <w:t>European</w:t>
      </w:r>
      <w:r>
        <w:rPr>
          <w:spacing w:val="-2"/>
        </w:rPr>
        <w:t> </w:t>
      </w:r>
      <w:r>
        <w:rPr/>
        <w:t>side</w:t>
      </w:r>
      <w:r>
        <w:rPr>
          <w:spacing w:val="-2"/>
        </w:rPr>
        <w:t> </w:t>
      </w:r>
      <w:r>
        <w:rPr/>
        <w:t>of</w:t>
      </w:r>
      <w:r>
        <w:rPr>
          <w:spacing w:val="-1"/>
        </w:rPr>
        <w:t> </w:t>
      </w:r>
      <w:r>
        <w:rPr/>
        <w:t>the</w:t>
      </w:r>
      <w:r>
        <w:rPr>
          <w:spacing w:val="-2"/>
        </w:rPr>
        <w:t> </w:t>
      </w:r>
      <w:r>
        <w:rPr/>
        <w:t>shared</w:t>
      </w:r>
      <w:r>
        <w:rPr>
          <w:spacing w:val="-2"/>
        </w:rPr>
        <w:t> </w:t>
      </w:r>
      <w:r>
        <w:rPr/>
        <w:t>interpretive</w:t>
      </w:r>
      <w:r>
        <w:rPr>
          <w:spacing w:val="-2"/>
        </w:rPr>
        <w:t> </w:t>
      </w:r>
      <w:r>
        <w:rPr/>
        <w:t>scaffold</w:t>
      </w:r>
      <w:r>
        <w:rPr>
          <w:spacing w:val="-2"/>
        </w:rPr>
        <w:t> </w:t>
      </w:r>
      <w:r>
        <w:rPr/>
        <w:t>was repeatedly represented by Northern Italians, Tuscans, Sardinians, Basques, French, Russians, or other Northern and Central European populations. Non-Jewish Southern Italians and Sicilians were not represented in the synthesis as direct competing comparators.</w:t>
      </w:r>
    </w:p>
    <w:p>
      <w:pPr>
        <w:pStyle w:val="BodyText"/>
        <w:spacing w:line="259" w:lineRule="auto" w:before="100"/>
        <w:ind w:right="123"/>
      </w:pPr>
      <w:r>
        <w:rPr/>
        <w:t>That omission matters because Northern Italians, Tuscans, Sardinians, Southern Italians, Sicilians, Maltese, Aegean Greeks, and Italian Jews are not interchangeable labels for a single Italian or European</w:t>
      </w:r>
      <w:r>
        <w:rPr>
          <w:spacing w:val="80"/>
        </w:rPr>
        <w:t> </w:t>
      </w:r>
      <w:r>
        <w:rPr/>
        <w:t>pole. Northern Italian samples shift the Italian reference northward. Sardinians are informative but carry island-specific drift and a distinctive demographic history. Italian Jewish samples do not substitute for non-Jewish Southern Italians when the question is whether Ashkenazi Jews fall within a broader central Mediterranean continuum. A panel that includes only</w:t>
      </w:r>
      <w:r>
        <w:rPr>
          <w:spacing w:val="-1"/>
        </w:rPr>
        <w:t> </w:t>
      </w:r>
      <w:r>
        <w:rPr/>
        <w:t>the first set cannot determine where the target would fall relative to the missing southern populations.</w:t>
      </w:r>
    </w:p>
    <w:p>
      <w:pPr>
        <w:pStyle w:val="BodyText"/>
        <w:spacing w:line="259" w:lineRule="auto" w:before="97"/>
        <w:ind w:right="125"/>
      </w:pPr>
      <w:r>
        <w:rPr/>
        <w:t>The neighbor-joining tree reproduced below is therefore not merely an illustration of a settled geographic</w:t>
      </w:r>
      <w:r>
        <w:rPr>
          <w:spacing w:val="-2"/>
        </w:rPr>
        <w:t> </w:t>
      </w:r>
      <w:r>
        <w:rPr/>
        <w:t>conclusion.</w:t>
      </w:r>
      <w:r>
        <w:rPr>
          <w:spacing w:val="-2"/>
        </w:rPr>
        <w:t> </w:t>
      </w:r>
      <w:r>
        <w:rPr/>
        <w:t>It</w:t>
      </w:r>
      <w:r>
        <w:rPr>
          <w:spacing w:val="-2"/>
        </w:rPr>
        <w:t> </w:t>
      </w:r>
      <w:r>
        <w:rPr/>
        <w:t>is</w:t>
      </w:r>
      <w:r>
        <w:rPr>
          <w:spacing w:val="-2"/>
        </w:rPr>
        <w:t> </w:t>
      </w:r>
      <w:r>
        <w:rPr/>
        <w:t>also</w:t>
      </w:r>
      <w:r>
        <w:rPr>
          <w:spacing w:val="-1"/>
        </w:rPr>
        <w:t> </w:t>
      </w:r>
      <w:r>
        <w:rPr/>
        <w:t>a</w:t>
      </w:r>
      <w:r>
        <w:rPr>
          <w:spacing w:val="-2"/>
        </w:rPr>
        <w:t> </w:t>
      </w:r>
      <w:r>
        <w:rPr/>
        <w:t>visual</w:t>
      </w:r>
      <w:r>
        <w:rPr>
          <w:spacing w:val="-2"/>
        </w:rPr>
        <w:t> </w:t>
      </w:r>
      <w:r>
        <w:rPr/>
        <w:t>record</w:t>
      </w:r>
      <w:r>
        <w:rPr>
          <w:spacing w:val="-2"/>
        </w:rPr>
        <w:t> </w:t>
      </w:r>
      <w:r>
        <w:rPr/>
        <w:t>of</w:t>
      </w:r>
      <w:r>
        <w:rPr>
          <w:spacing w:val="-1"/>
        </w:rPr>
        <w:t> </w:t>
      </w:r>
      <w:r>
        <w:rPr/>
        <w:t>the</w:t>
      </w:r>
      <w:r>
        <w:rPr>
          <w:spacing w:val="-2"/>
        </w:rPr>
        <w:t> </w:t>
      </w:r>
      <w:r>
        <w:rPr/>
        <w:t>reference</w:t>
      </w:r>
      <w:r>
        <w:rPr>
          <w:spacing w:val="-2"/>
        </w:rPr>
        <w:t> </w:t>
      </w:r>
      <w:r>
        <w:rPr/>
        <w:t>populations</w:t>
      </w:r>
      <w:r>
        <w:rPr>
          <w:spacing w:val="-2"/>
        </w:rPr>
        <w:t> </w:t>
      </w:r>
      <w:r>
        <w:rPr/>
        <w:t>available</w:t>
      </w:r>
      <w:r>
        <w:rPr>
          <w:spacing w:val="-2"/>
        </w:rPr>
        <w:t> </w:t>
      </w:r>
      <w:r>
        <w:rPr/>
        <w:t>to</w:t>
      </w:r>
      <w:r>
        <w:rPr>
          <w:spacing w:val="-1"/>
        </w:rPr>
        <w:t> </w:t>
      </w:r>
      <w:r>
        <w:rPr/>
        <w:t>the</w:t>
      </w:r>
      <w:r>
        <w:rPr>
          <w:spacing w:val="-2"/>
        </w:rPr>
        <w:t> </w:t>
      </w:r>
      <w:r>
        <w:rPr/>
        <w:t>calculation.</w:t>
      </w:r>
      <w:r>
        <w:rPr>
          <w:spacing w:val="-2"/>
        </w:rPr>
        <w:t> </w:t>
      </w:r>
      <w:r>
        <w:rPr/>
        <w:t>The tree includes Northern Italians, Sardinians, Basques, French, Russians, and Jewish and Levantine populations,</w:t>
      </w:r>
      <w:r>
        <w:rPr>
          <w:spacing w:val="-1"/>
        </w:rPr>
        <w:t> </w:t>
      </w:r>
      <w:r>
        <w:rPr/>
        <w:t>but it does not</w:t>
      </w:r>
      <w:r>
        <w:rPr>
          <w:spacing w:val="-3"/>
        </w:rPr>
        <w:t> </w:t>
      </w:r>
      <w:r>
        <w:rPr/>
        <w:t>include</w:t>
      </w:r>
      <w:r>
        <w:rPr>
          <w:spacing w:val="-1"/>
        </w:rPr>
        <w:t> </w:t>
      </w:r>
      <w:r>
        <w:rPr/>
        <w:t>non-Jewish</w:t>
      </w:r>
      <w:r>
        <w:rPr>
          <w:spacing w:val="-2"/>
        </w:rPr>
        <w:t> </w:t>
      </w:r>
      <w:r>
        <w:rPr/>
        <w:t>Southern</w:t>
      </w:r>
      <w:r>
        <w:rPr>
          <w:spacing w:val="-1"/>
        </w:rPr>
        <w:t> </w:t>
      </w:r>
      <w:r>
        <w:rPr/>
        <w:t>Italians</w:t>
      </w:r>
      <w:r>
        <w:rPr>
          <w:spacing w:val="-3"/>
        </w:rPr>
        <w:t> </w:t>
      </w:r>
      <w:r>
        <w:rPr/>
        <w:t>or</w:t>
      </w:r>
      <w:r>
        <w:rPr>
          <w:spacing w:val="-2"/>
        </w:rPr>
        <w:t> </w:t>
      </w:r>
      <w:r>
        <w:rPr/>
        <w:t>Sicilians.</w:t>
      </w:r>
      <w:r>
        <w:rPr>
          <w:spacing w:val="-1"/>
        </w:rPr>
        <w:t> </w:t>
      </w:r>
      <w:r>
        <w:rPr/>
        <w:t>Ashkenazi</w:t>
      </w:r>
      <w:r>
        <w:rPr>
          <w:spacing w:val="-2"/>
        </w:rPr>
        <w:t> </w:t>
      </w:r>
      <w:r>
        <w:rPr/>
        <w:t>placement between a north-shifted European branch and Levantine populations may reflect genuine demographic history, but the topology cannot determine how much of that placement would persist if the omitted central Mediterranean space were represented directly.</w:t>
      </w:r>
    </w:p>
    <w:p>
      <w:pPr>
        <w:pStyle w:val="BodyText"/>
        <w:spacing w:line="259" w:lineRule="auto"/>
        <w:ind w:right="125"/>
      </w:pPr>
      <w:r>
        <w:rPr/>
        <w:t>The same caution applies to apparent agreement across the underlying studies. Similar outcomes are</w:t>
      </w:r>
      <w:r>
        <w:rPr>
          <w:spacing w:val="40"/>
        </w:rPr>
        <w:t> </w:t>
      </w:r>
      <w:r>
        <w:rPr/>
        <w:t>not fully independent geographic tests when analyses reuse a comparable north-shifted European scaffold and repeat</w:t>
      </w:r>
      <w:r>
        <w:rPr>
          <w:spacing w:val="-2"/>
        </w:rPr>
        <w:t> </w:t>
      </w:r>
      <w:r>
        <w:rPr/>
        <w:t>the</w:t>
      </w:r>
      <w:r>
        <w:rPr>
          <w:spacing w:val="-2"/>
        </w:rPr>
        <w:t> </w:t>
      </w:r>
      <w:r>
        <w:rPr/>
        <w:t>same</w:t>
      </w:r>
      <w:r>
        <w:rPr>
          <w:spacing w:val="-2"/>
        </w:rPr>
        <w:t> </w:t>
      </w:r>
      <w:r>
        <w:rPr/>
        <w:t>Southern Italian and</w:t>
      </w:r>
      <w:r>
        <w:rPr>
          <w:spacing w:val="-2"/>
        </w:rPr>
        <w:t> </w:t>
      </w:r>
      <w:r>
        <w:rPr/>
        <w:t>Sicilian</w:t>
      </w:r>
      <w:r>
        <w:rPr>
          <w:spacing w:val="-2"/>
        </w:rPr>
        <w:t> </w:t>
      </w:r>
      <w:r>
        <w:rPr/>
        <w:t>omission.</w:t>
      </w:r>
      <w:r>
        <w:rPr>
          <w:spacing w:val="-2"/>
        </w:rPr>
        <w:t> </w:t>
      </w:r>
      <w:r>
        <w:rPr/>
        <w:t>Repetition</w:t>
      </w:r>
      <w:r>
        <w:rPr>
          <w:spacing w:val="-2"/>
        </w:rPr>
        <w:t> </w:t>
      </w:r>
      <w:r>
        <w:rPr/>
        <w:t>under</w:t>
      </w:r>
      <w:r>
        <w:rPr>
          <w:spacing w:val="-1"/>
        </w:rPr>
        <w:t> </w:t>
      </w:r>
      <w:r>
        <w:rPr/>
        <w:t>a shared design</w:t>
      </w:r>
      <w:r>
        <w:rPr>
          <w:spacing w:val="-2"/>
        </w:rPr>
        <w:t> </w:t>
      </w:r>
      <w:r>
        <w:rPr/>
        <w:t>can</w:t>
      </w:r>
      <w:r>
        <w:rPr>
          <w:spacing w:val="-2"/>
        </w:rPr>
        <w:t> </w:t>
      </w:r>
      <w:r>
        <w:rPr/>
        <w:t>reproduce a</w:t>
      </w:r>
      <w:r>
        <w:rPr>
          <w:spacing w:val="23"/>
        </w:rPr>
        <w:t> </w:t>
      </w:r>
      <w:r>
        <w:rPr/>
        <w:t>shared</w:t>
      </w:r>
      <w:r>
        <w:rPr>
          <w:spacing w:val="23"/>
        </w:rPr>
        <w:t> </w:t>
      </w:r>
      <w:r>
        <w:rPr/>
        <w:t>cline.</w:t>
      </w:r>
      <w:r>
        <w:rPr>
          <w:spacing w:val="23"/>
        </w:rPr>
        <w:t> </w:t>
      </w:r>
      <w:r>
        <w:rPr/>
        <w:t>This</w:t>
      </w:r>
      <w:r>
        <w:rPr>
          <w:spacing w:val="23"/>
        </w:rPr>
        <w:t> </w:t>
      </w:r>
      <w:r>
        <w:rPr/>
        <w:t>does</w:t>
      </w:r>
      <w:r>
        <w:rPr>
          <w:spacing w:val="23"/>
        </w:rPr>
        <w:t> </w:t>
      </w:r>
      <w:r>
        <w:rPr/>
        <w:t>not</w:t>
      </w:r>
      <w:r>
        <w:rPr>
          <w:spacing w:val="23"/>
        </w:rPr>
        <w:t> </w:t>
      </w:r>
      <w:r>
        <w:rPr/>
        <w:t>invalidate</w:t>
      </w:r>
      <w:r>
        <w:rPr>
          <w:spacing w:val="23"/>
        </w:rPr>
        <w:t> </w:t>
      </w:r>
      <w:r>
        <w:rPr/>
        <w:t>the</w:t>
      </w:r>
      <w:r>
        <w:rPr>
          <w:spacing w:val="23"/>
        </w:rPr>
        <w:t> </w:t>
      </w:r>
      <w:r>
        <w:rPr/>
        <w:t>genotypes</w:t>
      </w:r>
      <w:r>
        <w:rPr>
          <w:spacing w:val="23"/>
        </w:rPr>
        <w:t> </w:t>
      </w:r>
      <w:r>
        <w:rPr/>
        <w:t>or</w:t>
      </w:r>
      <w:r>
        <w:rPr>
          <w:spacing w:val="22"/>
        </w:rPr>
        <w:t> </w:t>
      </w:r>
      <w:r>
        <w:rPr/>
        <w:t>the</w:t>
      </w:r>
      <w:r>
        <w:rPr>
          <w:spacing w:val="23"/>
        </w:rPr>
        <w:t> </w:t>
      </w:r>
      <w:r>
        <w:rPr/>
        <w:t>statistical</w:t>
      </w:r>
      <w:r>
        <w:rPr>
          <w:spacing w:val="23"/>
        </w:rPr>
        <w:t> </w:t>
      </w:r>
      <w:r>
        <w:rPr/>
        <w:t>methods</w:t>
      </w:r>
      <w:r>
        <w:rPr>
          <w:spacing w:val="23"/>
        </w:rPr>
        <w:t> </w:t>
      </w:r>
      <w:r>
        <w:rPr/>
        <w:t>used</w:t>
      </w:r>
      <w:r>
        <w:rPr>
          <w:spacing w:val="23"/>
        </w:rPr>
        <w:t> </w:t>
      </w:r>
      <w:r>
        <w:rPr/>
        <w:t>in</w:t>
      </w:r>
      <w:r>
        <w:rPr>
          <w:spacing w:val="23"/>
        </w:rPr>
        <w:t> </w:t>
      </w:r>
      <w:r>
        <w:rPr/>
        <w:t>those</w:t>
      </w:r>
      <w:r>
        <w:rPr>
          <w:spacing w:val="23"/>
        </w:rPr>
        <w:t> </w:t>
      </w:r>
      <w:r>
        <w:rPr/>
        <w:t>studies.</w:t>
      </w:r>
      <w:r>
        <w:rPr>
          <w:spacing w:val="23"/>
        </w:rPr>
        <w:t> </w:t>
      </w:r>
      <w:r>
        <w:rPr/>
        <w:t>It</w:t>
      </w:r>
    </w:p>
    <w:p>
      <w:pPr>
        <w:pStyle w:val="BodyText"/>
        <w:spacing w:after="0" w:line="259" w:lineRule="auto"/>
        <w:sectPr>
          <w:pgSz w:w="11910" w:h="16840"/>
          <w:pgMar w:header="390" w:footer="444" w:top="940" w:bottom="640" w:left="992" w:right="992"/>
        </w:sectPr>
      </w:pPr>
    </w:p>
    <w:p>
      <w:pPr>
        <w:pStyle w:val="BodyText"/>
        <w:spacing w:line="256" w:lineRule="auto" w:before="92"/>
        <w:ind w:right="127" w:firstLine="0"/>
      </w:pPr>
      <w:r>
        <w:rPr/>
        <w:t>limits the geographic interpretation that can be assigned to their common topology until a matched sensitivity analysis restores the omitted comparators.</w:t>
      </w:r>
    </w:p>
    <w:p>
      <w:pPr>
        <w:pStyle w:val="BodyText"/>
        <w:spacing w:line="259" w:lineRule="auto" w:before="105"/>
        <w:ind w:right="125"/>
      </w:pPr>
      <w:r>
        <w:rPr/>
        <w:t>Bray et al. (2010) illustrates the interpretive consequence. The study observed Ashkenazi proximity to Italian samples but proposed that admixture with Central and Eastern European host populations could shift Ashkenazi Jews toward Italians on principal-component axes relative to Middle Eastern populations. That explanation was advanced without a direct test of Southern Italian and Sicilian sources in the same framework. The present study addresses precisely that unresolved alternative by adding Italian Jewish and central Mediterranean comparators, removing them under matched settings, and measuring the resulting redistribution and deterioration in fit.</w:t>
      </w:r>
    </w:p>
    <w:p>
      <w:pPr>
        <w:pStyle w:val="BodyText"/>
        <w:spacing w:before="0"/>
        <w:ind w:left="0" w:firstLine="0"/>
        <w:jc w:val="left"/>
        <w:rPr>
          <w:sz w:val="15"/>
        </w:rPr>
      </w:pPr>
      <w:r>
        <w:rPr>
          <w:sz w:val="15"/>
        </w:rPr>
        <w:drawing>
          <wp:anchor distT="0" distB="0" distL="0" distR="0" allowOverlap="1" layoutInCell="1" locked="0" behindDoc="1" simplePos="0" relativeHeight="487587840">
            <wp:simplePos x="0" y="0"/>
            <wp:positionH relativeFrom="page">
              <wp:posOffset>875982</wp:posOffset>
            </wp:positionH>
            <wp:positionV relativeFrom="paragraph">
              <wp:posOffset>127178</wp:posOffset>
            </wp:positionV>
            <wp:extent cx="5830921" cy="3530536"/>
            <wp:effectExtent l="0" t="0" r="0" b="0"/>
            <wp:wrapTopAndBottom/>
            <wp:docPr id="3" name="Image 3" descr="Neighbor-joining tree from Ostrer and Skorecki (2013), showing Ashkenazi Jewish placement among Jewish, European, Levantine, North African, and sub-Saharan African reference populations." title="Figure 1"/>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830921" cy="3530536"/>
                    </a:xfrm>
                    <a:prstGeom prst="rect">
                      <a:avLst/>
                    </a:prstGeom>
                  </pic:spPr>
                </pic:pic>
              </a:graphicData>
            </a:graphic>
          </wp:anchor>
        </w:drawing>
      </w:r>
    </w:p>
    <w:p>
      <w:pPr>
        <w:spacing w:before="56"/>
        <w:ind w:left="131" w:right="148" w:firstLine="0"/>
        <w:jc w:val="left"/>
        <w:rPr>
          <w:sz w:val="18"/>
        </w:rPr>
      </w:pPr>
      <w:r>
        <w:rPr>
          <w:sz w:val="18"/>
        </w:rPr>
        <w:t>Figure 1. Neighbor-joining tree reproduced from Ostrer and Skorecki (2013). The European references shown include</w:t>
      </w:r>
      <w:r>
        <w:rPr>
          <w:spacing w:val="40"/>
          <w:sz w:val="18"/>
        </w:rPr>
        <w:t> </w:t>
      </w:r>
      <w:r>
        <w:rPr>
          <w:sz w:val="18"/>
        </w:rPr>
        <w:t>Northern</w:t>
      </w:r>
      <w:r>
        <w:rPr>
          <w:spacing w:val="-2"/>
          <w:sz w:val="18"/>
        </w:rPr>
        <w:t> </w:t>
      </w:r>
      <w:r>
        <w:rPr>
          <w:sz w:val="18"/>
        </w:rPr>
        <w:t>Italians,</w:t>
      </w:r>
      <w:r>
        <w:rPr>
          <w:spacing w:val="-3"/>
          <w:sz w:val="18"/>
        </w:rPr>
        <w:t> </w:t>
      </w:r>
      <w:r>
        <w:rPr>
          <w:sz w:val="18"/>
        </w:rPr>
        <w:t>Sardinians,</w:t>
      </w:r>
      <w:r>
        <w:rPr>
          <w:spacing w:val="-3"/>
          <w:sz w:val="18"/>
        </w:rPr>
        <w:t> </w:t>
      </w:r>
      <w:r>
        <w:rPr>
          <w:sz w:val="18"/>
        </w:rPr>
        <w:t>Basques,</w:t>
      </w:r>
      <w:r>
        <w:rPr>
          <w:spacing w:val="-3"/>
          <w:sz w:val="18"/>
        </w:rPr>
        <w:t> </w:t>
      </w:r>
      <w:r>
        <w:rPr>
          <w:sz w:val="18"/>
        </w:rPr>
        <w:t>French,</w:t>
      </w:r>
      <w:r>
        <w:rPr>
          <w:spacing w:val="-3"/>
          <w:sz w:val="18"/>
        </w:rPr>
        <w:t> </w:t>
      </w:r>
      <w:r>
        <w:rPr>
          <w:sz w:val="18"/>
        </w:rPr>
        <w:t>and</w:t>
      </w:r>
      <w:r>
        <w:rPr>
          <w:spacing w:val="-4"/>
          <w:sz w:val="18"/>
        </w:rPr>
        <w:t> </w:t>
      </w:r>
      <w:r>
        <w:rPr>
          <w:sz w:val="18"/>
        </w:rPr>
        <w:t>Russians.</w:t>
      </w:r>
      <w:r>
        <w:rPr>
          <w:spacing w:val="-3"/>
          <w:sz w:val="18"/>
        </w:rPr>
        <w:t> </w:t>
      </w:r>
      <w:r>
        <w:rPr>
          <w:sz w:val="18"/>
        </w:rPr>
        <w:t>Non-Jewish</w:t>
      </w:r>
      <w:r>
        <w:rPr>
          <w:spacing w:val="-3"/>
          <w:sz w:val="18"/>
        </w:rPr>
        <w:t> </w:t>
      </w:r>
      <w:r>
        <w:rPr>
          <w:sz w:val="18"/>
        </w:rPr>
        <w:t>Southern</w:t>
      </w:r>
      <w:r>
        <w:rPr>
          <w:spacing w:val="-2"/>
          <w:sz w:val="18"/>
        </w:rPr>
        <w:t> </w:t>
      </w:r>
      <w:r>
        <w:rPr>
          <w:sz w:val="18"/>
        </w:rPr>
        <w:t>Italian</w:t>
      </w:r>
      <w:r>
        <w:rPr>
          <w:spacing w:val="-2"/>
          <w:sz w:val="18"/>
        </w:rPr>
        <w:t> </w:t>
      </w:r>
      <w:r>
        <w:rPr>
          <w:sz w:val="18"/>
        </w:rPr>
        <w:t>and</w:t>
      </w:r>
      <w:r>
        <w:rPr>
          <w:spacing w:val="-4"/>
          <w:sz w:val="18"/>
        </w:rPr>
        <w:t> </w:t>
      </w:r>
      <w:r>
        <w:rPr>
          <w:sz w:val="18"/>
        </w:rPr>
        <w:t>Sicilian</w:t>
      </w:r>
      <w:r>
        <w:rPr>
          <w:spacing w:val="-2"/>
          <w:sz w:val="18"/>
        </w:rPr>
        <w:t> </w:t>
      </w:r>
      <w:r>
        <w:rPr>
          <w:sz w:val="18"/>
        </w:rPr>
        <w:t>populations</w:t>
      </w:r>
      <w:r>
        <w:rPr>
          <w:spacing w:val="-3"/>
          <w:sz w:val="18"/>
        </w:rPr>
        <w:t> </w:t>
      </w:r>
      <w:r>
        <w:rPr>
          <w:sz w:val="18"/>
        </w:rPr>
        <w:t>are</w:t>
      </w:r>
      <w:r>
        <w:rPr>
          <w:spacing w:val="-4"/>
          <w:sz w:val="18"/>
        </w:rPr>
        <w:t> </w:t>
      </w:r>
      <w:r>
        <w:rPr>
          <w:sz w:val="18"/>
        </w:rPr>
        <w:t>absent,</w:t>
      </w:r>
      <w:r>
        <w:rPr>
          <w:spacing w:val="40"/>
          <w:sz w:val="18"/>
        </w:rPr>
        <w:t> </w:t>
      </w:r>
      <w:r>
        <w:rPr>
          <w:sz w:val="18"/>
        </w:rPr>
        <w:t>so the topology cannot test Ashkenazi placement within that missing central Mediterranean space.</w:t>
      </w:r>
      <w:r>
        <w:rPr>
          <w:sz w:val="18"/>
        </w:rPr>
        <w:t xml:space="preserve"> Reproduced under the Creative Commons Attribution 2.0 International License (https://creativecommons.org/licenses/by/2.0/); resized, with no substantive alteration.</w:t>
      </w:r>
    </w:p>
    <w:p>
      <w:pPr>
        <w:pStyle w:val="BodyText"/>
        <w:spacing w:before="11"/>
        <w:ind w:left="0" w:firstLine="0"/>
        <w:jc w:val="left"/>
        <w:rPr>
          <w:sz w:val="11"/>
        </w:rPr>
      </w:pPr>
    </w:p>
    <w:tbl>
      <w:tblPr>
        <w:tblW w:w="0" w:type="auto"/>
        <w:jc w:val="left"/>
        <w:tblInd w:w="337"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699"/>
        <w:gridCol w:w="2664"/>
        <w:gridCol w:w="2520"/>
        <w:gridCol w:w="2376"/>
      </w:tblGrid>
      <w:tr>
        <w:trPr>
          <w:trHeight w:val="225" w:hRule="atLeast"/>
          <w:tblHeader w:val="true"/>
        </w:trPr>
        <w:tc>
          <w:tcPr>
            <w:tcW w:w="1699" w:type="dxa"/>
            <w:shd w:val="clear" w:color="auto" w:fill="DDE6EF"/>
          </w:tcPr>
          <w:p>
            <w:pPr>
              <w:pStyle w:val="TableParagraph"/>
              <w:rPr>
                <w:sz w:val="14"/>
              </w:rPr>
            </w:pPr>
            <w:r>
              <w:rPr>
                <w:spacing w:val="-2"/>
                <w:sz w:val="14"/>
              </w:rPr>
              <w:t>Literature</w:t>
            </w:r>
            <w:r>
              <w:rPr>
                <w:spacing w:val="9"/>
                <w:sz w:val="14"/>
              </w:rPr>
              <w:t> </w:t>
            </w:r>
            <w:r>
              <w:rPr>
                <w:spacing w:val="-2"/>
                <w:sz w:val="14"/>
              </w:rPr>
              <w:t>stage</w:t>
            </w:r>
          </w:p>
        </w:tc>
        <w:tc>
          <w:tcPr>
            <w:tcW w:w="2664" w:type="dxa"/>
            <w:shd w:val="clear" w:color="auto" w:fill="DDE6EF"/>
          </w:tcPr>
          <w:p>
            <w:pPr>
              <w:pStyle w:val="TableParagraph"/>
              <w:ind w:left="108"/>
              <w:rPr>
                <w:sz w:val="14"/>
              </w:rPr>
            </w:pPr>
            <w:r>
              <w:rPr>
                <w:sz w:val="14"/>
              </w:rPr>
              <w:t>Named</w:t>
            </w:r>
            <w:r>
              <w:rPr>
                <w:spacing w:val="-6"/>
                <w:sz w:val="14"/>
              </w:rPr>
              <w:t> </w:t>
            </w:r>
            <w:r>
              <w:rPr>
                <w:spacing w:val="-2"/>
                <w:sz w:val="14"/>
              </w:rPr>
              <w:t>studies</w:t>
            </w:r>
          </w:p>
        </w:tc>
        <w:tc>
          <w:tcPr>
            <w:tcW w:w="2520" w:type="dxa"/>
            <w:shd w:val="clear" w:color="auto" w:fill="DDE6EF"/>
          </w:tcPr>
          <w:p>
            <w:pPr>
              <w:pStyle w:val="TableParagraph"/>
              <w:ind w:left="108"/>
              <w:rPr>
                <w:sz w:val="14"/>
              </w:rPr>
            </w:pPr>
            <w:r>
              <w:rPr>
                <w:spacing w:val="-2"/>
                <w:sz w:val="14"/>
              </w:rPr>
              <w:t>Reference-panel</w:t>
            </w:r>
            <w:r>
              <w:rPr>
                <w:spacing w:val="20"/>
                <w:sz w:val="14"/>
              </w:rPr>
              <w:t> </w:t>
            </w:r>
            <w:r>
              <w:rPr>
                <w:spacing w:val="-2"/>
                <w:sz w:val="14"/>
              </w:rPr>
              <w:t>pattern</w:t>
            </w:r>
          </w:p>
        </w:tc>
        <w:tc>
          <w:tcPr>
            <w:tcW w:w="2376" w:type="dxa"/>
            <w:shd w:val="clear" w:color="auto" w:fill="DDE6EF"/>
          </w:tcPr>
          <w:p>
            <w:pPr>
              <w:pStyle w:val="TableParagraph"/>
              <w:ind w:left="108"/>
              <w:rPr>
                <w:sz w:val="14"/>
              </w:rPr>
            </w:pPr>
            <w:r>
              <w:rPr>
                <w:spacing w:val="-2"/>
                <w:sz w:val="14"/>
              </w:rPr>
              <w:t>Interpretive</w:t>
            </w:r>
            <w:r>
              <w:rPr>
                <w:spacing w:val="13"/>
                <w:sz w:val="14"/>
              </w:rPr>
              <w:t> </w:t>
            </w:r>
            <w:r>
              <w:rPr>
                <w:spacing w:val="-2"/>
                <w:sz w:val="14"/>
              </w:rPr>
              <w:t>consequence</w:t>
            </w:r>
          </w:p>
        </w:tc>
      </w:tr>
      <w:tr>
        <w:trPr>
          <w:trHeight w:val="880" w:hRule="atLeast"/>
        </w:trPr>
        <w:tc>
          <w:tcPr>
            <w:tcW w:w="1699" w:type="dxa"/>
          </w:tcPr>
          <w:p>
            <w:pPr>
              <w:pStyle w:val="TableParagraph"/>
              <w:spacing w:before="110"/>
              <w:ind w:left="0"/>
              <w:rPr>
                <w:sz w:val="14"/>
              </w:rPr>
            </w:pPr>
          </w:p>
          <w:p>
            <w:pPr>
              <w:pStyle w:val="TableParagraph"/>
              <w:spacing w:before="0"/>
              <w:ind w:hanging="1"/>
              <w:rPr>
                <w:sz w:val="14"/>
              </w:rPr>
            </w:pPr>
            <w:r>
              <w:rPr>
                <w:spacing w:val="-2"/>
                <w:sz w:val="14"/>
              </w:rPr>
              <w:t>Early</w:t>
            </w:r>
            <w:r>
              <w:rPr>
                <w:spacing w:val="-6"/>
                <w:sz w:val="14"/>
              </w:rPr>
              <w:t> </w:t>
            </w:r>
            <w:r>
              <w:rPr>
                <w:spacing w:val="-2"/>
                <w:sz w:val="14"/>
              </w:rPr>
              <w:t>Y-chromosomal</w:t>
            </w:r>
            <w:r>
              <w:rPr>
                <w:spacing w:val="40"/>
                <w:sz w:val="14"/>
              </w:rPr>
              <w:t> </w:t>
            </w:r>
            <w:r>
              <w:rPr>
                <w:spacing w:val="-2"/>
                <w:sz w:val="14"/>
              </w:rPr>
              <w:t>foundation</w:t>
            </w:r>
          </w:p>
        </w:tc>
        <w:tc>
          <w:tcPr>
            <w:tcW w:w="2664" w:type="dxa"/>
          </w:tcPr>
          <w:p>
            <w:pPr>
              <w:pStyle w:val="TableParagraph"/>
              <w:spacing w:before="29"/>
              <w:ind w:left="0"/>
              <w:rPr>
                <w:sz w:val="14"/>
              </w:rPr>
            </w:pPr>
          </w:p>
          <w:p>
            <w:pPr>
              <w:pStyle w:val="TableParagraph"/>
              <w:spacing w:before="0"/>
              <w:ind w:left="108" w:right="144"/>
              <w:rPr>
                <w:sz w:val="14"/>
              </w:rPr>
            </w:pPr>
            <w:r>
              <w:rPr>
                <w:sz w:val="14"/>
              </w:rPr>
              <w:t>Hammer et al. (2000); Nebel et al.</w:t>
            </w:r>
            <w:r>
              <w:rPr>
                <w:spacing w:val="40"/>
                <w:sz w:val="14"/>
              </w:rPr>
              <w:t> </w:t>
            </w:r>
            <w:r>
              <w:rPr>
                <w:sz w:val="14"/>
              </w:rPr>
              <w:t>(2001);</w:t>
            </w:r>
            <w:r>
              <w:rPr>
                <w:spacing w:val="-5"/>
                <w:sz w:val="14"/>
              </w:rPr>
              <w:t> </w:t>
            </w:r>
            <w:r>
              <w:rPr>
                <w:sz w:val="14"/>
              </w:rPr>
              <w:t>Behar</w:t>
            </w:r>
            <w:r>
              <w:rPr>
                <w:spacing w:val="-7"/>
                <w:sz w:val="14"/>
              </w:rPr>
              <w:t> </w:t>
            </w:r>
            <w:r>
              <w:rPr>
                <w:sz w:val="14"/>
              </w:rPr>
              <w:t>et</w:t>
            </w:r>
            <w:r>
              <w:rPr>
                <w:spacing w:val="-6"/>
                <w:sz w:val="14"/>
              </w:rPr>
              <w:t> </w:t>
            </w:r>
            <w:r>
              <w:rPr>
                <w:sz w:val="14"/>
              </w:rPr>
              <w:t>al.</w:t>
            </w:r>
            <w:r>
              <w:rPr>
                <w:spacing w:val="-7"/>
                <w:sz w:val="14"/>
              </w:rPr>
              <w:t> </w:t>
            </w:r>
            <w:r>
              <w:rPr>
                <w:sz w:val="14"/>
              </w:rPr>
              <w:t>(2004);</w:t>
            </w:r>
            <w:r>
              <w:rPr>
                <w:spacing w:val="-7"/>
                <w:sz w:val="14"/>
              </w:rPr>
              <w:t> </w:t>
            </w:r>
            <w:r>
              <w:rPr>
                <w:sz w:val="14"/>
              </w:rPr>
              <w:t>Shen</w:t>
            </w:r>
            <w:r>
              <w:rPr>
                <w:spacing w:val="-7"/>
                <w:sz w:val="14"/>
              </w:rPr>
              <w:t> </w:t>
            </w:r>
            <w:r>
              <w:rPr>
                <w:sz w:val="14"/>
              </w:rPr>
              <w:t>et</w:t>
            </w:r>
            <w:r>
              <w:rPr>
                <w:spacing w:val="-6"/>
                <w:sz w:val="14"/>
              </w:rPr>
              <w:t> </w:t>
            </w:r>
            <w:r>
              <w:rPr>
                <w:sz w:val="14"/>
              </w:rPr>
              <w:t>al.</w:t>
            </w:r>
            <w:r>
              <w:rPr>
                <w:spacing w:val="40"/>
                <w:sz w:val="14"/>
              </w:rPr>
              <w:t> </w:t>
            </w:r>
            <w:r>
              <w:rPr>
                <w:sz w:val="14"/>
              </w:rPr>
              <w:t>(2004); Hammer et al. (2009)</w:t>
            </w:r>
          </w:p>
        </w:tc>
        <w:tc>
          <w:tcPr>
            <w:tcW w:w="2520" w:type="dxa"/>
          </w:tcPr>
          <w:p>
            <w:pPr>
              <w:pStyle w:val="TableParagraph"/>
              <w:spacing w:before="29"/>
              <w:ind w:left="0"/>
              <w:rPr>
                <w:sz w:val="14"/>
              </w:rPr>
            </w:pPr>
          </w:p>
          <w:p>
            <w:pPr>
              <w:pStyle w:val="TableParagraph"/>
              <w:spacing w:before="0"/>
              <w:ind w:left="108" w:right="117"/>
              <w:jc w:val="both"/>
              <w:rPr>
                <w:sz w:val="14"/>
              </w:rPr>
            </w:pPr>
            <w:r>
              <w:rPr>
                <w:sz w:val="14"/>
              </w:rPr>
              <w:t>Southern</w:t>
            </w:r>
            <w:r>
              <w:rPr>
                <w:spacing w:val="-8"/>
                <w:sz w:val="14"/>
              </w:rPr>
              <w:t> </w:t>
            </w:r>
            <w:r>
              <w:rPr>
                <w:sz w:val="14"/>
              </w:rPr>
              <w:t>Italian</w:t>
            </w:r>
            <w:r>
              <w:rPr>
                <w:spacing w:val="-8"/>
                <w:sz w:val="14"/>
              </w:rPr>
              <w:t> </w:t>
            </w:r>
            <w:r>
              <w:rPr>
                <w:sz w:val="14"/>
              </w:rPr>
              <w:t>regional</w:t>
            </w:r>
            <w:r>
              <w:rPr>
                <w:spacing w:val="-8"/>
                <w:sz w:val="14"/>
              </w:rPr>
              <w:t> </w:t>
            </w:r>
            <w:r>
              <w:rPr>
                <w:sz w:val="14"/>
              </w:rPr>
              <w:t>comparators</w:t>
            </w:r>
            <w:r>
              <w:rPr>
                <w:spacing w:val="40"/>
                <w:sz w:val="14"/>
              </w:rPr>
              <w:t> </w:t>
            </w:r>
            <w:r>
              <w:rPr>
                <w:sz w:val="14"/>
              </w:rPr>
              <w:t>generally</w:t>
            </w:r>
            <w:r>
              <w:rPr>
                <w:spacing w:val="-4"/>
                <w:sz w:val="14"/>
              </w:rPr>
              <w:t> </w:t>
            </w:r>
            <w:r>
              <w:rPr>
                <w:sz w:val="14"/>
              </w:rPr>
              <w:t>absent;</w:t>
            </w:r>
            <w:r>
              <w:rPr>
                <w:spacing w:val="-4"/>
                <w:sz w:val="14"/>
              </w:rPr>
              <w:t> </w:t>
            </w:r>
            <w:r>
              <w:rPr>
                <w:sz w:val="14"/>
              </w:rPr>
              <w:t>Semino</w:t>
            </w:r>
            <w:r>
              <w:rPr>
                <w:spacing w:val="-3"/>
                <w:sz w:val="14"/>
              </w:rPr>
              <w:t> </w:t>
            </w:r>
            <w:r>
              <w:rPr>
                <w:sz w:val="14"/>
              </w:rPr>
              <w:t>et</w:t>
            </w:r>
            <w:r>
              <w:rPr>
                <w:spacing w:val="-2"/>
                <w:sz w:val="14"/>
              </w:rPr>
              <w:t> </w:t>
            </w:r>
            <w:r>
              <w:rPr>
                <w:sz w:val="14"/>
              </w:rPr>
              <w:t>al.</w:t>
            </w:r>
            <w:r>
              <w:rPr>
                <w:spacing w:val="-3"/>
                <w:sz w:val="14"/>
              </w:rPr>
              <w:t> </w:t>
            </w:r>
            <w:r>
              <w:rPr>
                <w:sz w:val="14"/>
              </w:rPr>
              <w:t>(2004)</w:t>
            </w:r>
            <w:r>
              <w:rPr>
                <w:spacing w:val="40"/>
                <w:sz w:val="14"/>
              </w:rPr>
              <w:t> </w:t>
            </w:r>
            <w:r>
              <w:rPr>
                <w:sz w:val="14"/>
              </w:rPr>
              <w:t>is the principal exception</w:t>
            </w:r>
          </w:p>
        </w:tc>
        <w:tc>
          <w:tcPr>
            <w:tcW w:w="2376" w:type="dxa"/>
          </w:tcPr>
          <w:p>
            <w:pPr>
              <w:pStyle w:val="TableParagraph"/>
              <w:ind w:left="108" w:right="62"/>
              <w:rPr>
                <w:sz w:val="14"/>
              </w:rPr>
            </w:pPr>
            <w:r>
              <w:rPr>
                <w:sz w:val="14"/>
              </w:rPr>
              <w:t>Broad Mediterranean E and J</w:t>
            </w:r>
            <w:r>
              <w:rPr>
                <w:spacing w:val="40"/>
                <w:sz w:val="14"/>
              </w:rPr>
              <w:t> </w:t>
            </w:r>
            <w:r>
              <w:rPr>
                <w:sz w:val="14"/>
              </w:rPr>
              <w:t>lineages can be interpreted as</w:t>
            </w:r>
            <w:r>
              <w:rPr>
                <w:spacing w:val="40"/>
                <w:sz w:val="14"/>
              </w:rPr>
              <w:t> </w:t>
            </w:r>
            <w:r>
              <w:rPr>
                <w:sz w:val="14"/>
              </w:rPr>
              <w:t>Levantine by default when the</w:t>
            </w:r>
            <w:r>
              <w:rPr>
                <w:spacing w:val="40"/>
                <w:sz w:val="14"/>
              </w:rPr>
              <w:t> </w:t>
            </w:r>
            <w:r>
              <w:rPr>
                <w:sz w:val="14"/>
              </w:rPr>
              <w:t>Southern</w:t>
            </w:r>
            <w:r>
              <w:rPr>
                <w:spacing w:val="-8"/>
                <w:sz w:val="14"/>
              </w:rPr>
              <w:t> </w:t>
            </w:r>
            <w:r>
              <w:rPr>
                <w:sz w:val="14"/>
              </w:rPr>
              <w:t>European</w:t>
            </w:r>
            <w:r>
              <w:rPr>
                <w:spacing w:val="-8"/>
                <w:sz w:val="14"/>
              </w:rPr>
              <w:t> </w:t>
            </w:r>
            <w:r>
              <w:rPr>
                <w:sz w:val="14"/>
              </w:rPr>
              <w:t>comparison</w:t>
            </w:r>
            <w:r>
              <w:rPr>
                <w:spacing w:val="-8"/>
                <w:sz w:val="14"/>
              </w:rPr>
              <w:t> </w:t>
            </w:r>
            <w:r>
              <w:rPr>
                <w:sz w:val="14"/>
              </w:rPr>
              <w:t>is</w:t>
            </w:r>
            <w:r>
              <w:rPr>
                <w:spacing w:val="40"/>
                <w:sz w:val="14"/>
              </w:rPr>
              <w:t> </w:t>
            </w:r>
            <w:r>
              <w:rPr>
                <w:spacing w:val="-2"/>
                <w:sz w:val="14"/>
              </w:rPr>
              <w:t>unavailable.</w:t>
            </w:r>
          </w:p>
        </w:tc>
      </w:tr>
      <w:tr>
        <w:trPr>
          <w:trHeight w:val="1043" w:hRule="atLeast"/>
        </w:trPr>
        <w:tc>
          <w:tcPr>
            <w:tcW w:w="1699" w:type="dxa"/>
          </w:tcPr>
          <w:p>
            <w:pPr>
              <w:pStyle w:val="TableParagraph"/>
              <w:spacing w:before="0"/>
              <w:ind w:left="0"/>
              <w:rPr>
                <w:sz w:val="14"/>
              </w:rPr>
            </w:pPr>
          </w:p>
          <w:p>
            <w:pPr>
              <w:pStyle w:val="TableParagraph"/>
              <w:spacing w:before="28"/>
              <w:ind w:left="0"/>
              <w:rPr>
                <w:sz w:val="14"/>
              </w:rPr>
            </w:pPr>
          </w:p>
          <w:p>
            <w:pPr>
              <w:pStyle w:val="TableParagraph"/>
              <w:spacing w:before="0"/>
              <w:rPr>
                <w:sz w:val="14"/>
              </w:rPr>
            </w:pPr>
            <w:r>
              <w:rPr>
                <w:spacing w:val="-2"/>
                <w:sz w:val="14"/>
              </w:rPr>
              <w:t>Foundational</w:t>
            </w:r>
            <w:r>
              <w:rPr>
                <w:spacing w:val="-6"/>
                <w:sz w:val="14"/>
              </w:rPr>
              <w:t> </w:t>
            </w:r>
            <w:r>
              <w:rPr>
                <w:spacing w:val="-2"/>
                <w:sz w:val="14"/>
              </w:rPr>
              <w:t>autosomal</w:t>
            </w:r>
            <w:r>
              <w:rPr>
                <w:spacing w:val="40"/>
                <w:sz w:val="14"/>
              </w:rPr>
              <w:t> </w:t>
            </w:r>
            <w:r>
              <w:rPr>
                <w:spacing w:val="-2"/>
                <w:sz w:val="14"/>
              </w:rPr>
              <w:t>studies</w:t>
            </w:r>
          </w:p>
        </w:tc>
        <w:tc>
          <w:tcPr>
            <w:tcW w:w="2664" w:type="dxa"/>
          </w:tcPr>
          <w:p>
            <w:pPr>
              <w:pStyle w:val="TableParagraph"/>
              <w:spacing w:before="29"/>
              <w:ind w:left="0"/>
              <w:rPr>
                <w:sz w:val="14"/>
              </w:rPr>
            </w:pPr>
          </w:p>
          <w:p>
            <w:pPr>
              <w:pStyle w:val="TableParagraph"/>
              <w:spacing w:before="0"/>
              <w:ind w:left="108"/>
              <w:rPr>
                <w:sz w:val="14"/>
              </w:rPr>
            </w:pPr>
            <w:r>
              <w:rPr>
                <w:sz w:val="14"/>
              </w:rPr>
              <w:t>Kopelman et al. (2009); Atzmon et al.</w:t>
            </w:r>
            <w:r>
              <w:rPr>
                <w:spacing w:val="40"/>
                <w:sz w:val="14"/>
              </w:rPr>
              <w:t> </w:t>
            </w:r>
            <w:r>
              <w:rPr>
                <w:sz w:val="14"/>
              </w:rPr>
              <w:t>(2010); Behar et al. (2010); Bray et al.</w:t>
            </w:r>
            <w:r>
              <w:rPr>
                <w:spacing w:val="40"/>
                <w:sz w:val="14"/>
              </w:rPr>
              <w:t> </w:t>
            </w:r>
            <w:r>
              <w:rPr>
                <w:sz w:val="14"/>
              </w:rPr>
              <w:t>(2010);</w:t>
            </w:r>
            <w:r>
              <w:rPr>
                <w:spacing w:val="-8"/>
                <w:sz w:val="14"/>
              </w:rPr>
              <w:t> </w:t>
            </w:r>
            <w:r>
              <w:rPr>
                <w:sz w:val="14"/>
              </w:rPr>
              <w:t>Listman</w:t>
            </w:r>
            <w:r>
              <w:rPr>
                <w:spacing w:val="-8"/>
                <w:sz w:val="14"/>
              </w:rPr>
              <w:t> </w:t>
            </w:r>
            <w:r>
              <w:rPr>
                <w:sz w:val="14"/>
              </w:rPr>
              <w:t>et</w:t>
            </w:r>
            <w:r>
              <w:rPr>
                <w:spacing w:val="-8"/>
                <w:sz w:val="14"/>
              </w:rPr>
              <w:t> </w:t>
            </w:r>
            <w:r>
              <w:rPr>
                <w:sz w:val="14"/>
              </w:rPr>
              <w:t>al.</w:t>
            </w:r>
            <w:r>
              <w:rPr>
                <w:spacing w:val="-7"/>
                <w:sz w:val="14"/>
              </w:rPr>
              <w:t> </w:t>
            </w:r>
            <w:r>
              <w:rPr>
                <w:sz w:val="14"/>
              </w:rPr>
              <w:t>(2010);</w:t>
            </w:r>
            <w:r>
              <w:rPr>
                <w:spacing w:val="-8"/>
                <w:sz w:val="14"/>
              </w:rPr>
              <w:t> </w:t>
            </w:r>
            <w:r>
              <w:rPr>
                <w:sz w:val="14"/>
              </w:rPr>
              <w:t>Campbell</w:t>
            </w:r>
          </w:p>
          <w:p>
            <w:pPr>
              <w:pStyle w:val="TableParagraph"/>
              <w:spacing w:line="164" w:lineRule="exact" w:before="0"/>
              <w:ind w:left="108"/>
              <w:rPr>
                <w:sz w:val="14"/>
              </w:rPr>
            </w:pPr>
            <w:r>
              <w:rPr>
                <w:sz w:val="14"/>
              </w:rPr>
              <w:t>et</w:t>
            </w:r>
            <w:r>
              <w:rPr>
                <w:spacing w:val="-2"/>
                <w:sz w:val="14"/>
              </w:rPr>
              <w:t> </w:t>
            </w:r>
            <w:r>
              <w:rPr>
                <w:sz w:val="14"/>
              </w:rPr>
              <w:t>al.</w:t>
            </w:r>
            <w:r>
              <w:rPr>
                <w:spacing w:val="-2"/>
                <w:sz w:val="14"/>
              </w:rPr>
              <w:t> (2012)</w:t>
            </w:r>
          </w:p>
        </w:tc>
        <w:tc>
          <w:tcPr>
            <w:tcW w:w="2520" w:type="dxa"/>
          </w:tcPr>
          <w:p>
            <w:pPr>
              <w:pStyle w:val="TableParagraph"/>
              <w:ind w:right="113"/>
              <w:rPr>
                <w:sz w:val="14"/>
              </w:rPr>
            </w:pPr>
            <w:r>
              <w:rPr>
                <w:sz w:val="14"/>
              </w:rPr>
              <w:t>European panels commonly include</w:t>
            </w:r>
            <w:r>
              <w:rPr>
                <w:spacing w:val="40"/>
                <w:sz w:val="14"/>
              </w:rPr>
              <w:t> </w:t>
            </w:r>
            <w:r>
              <w:rPr>
                <w:sz w:val="14"/>
              </w:rPr>
              <w:t>Northern Italians, Tuscans,</w:t>
            </w:r>
            <w:r>
              <w:rPr>
                <w:spacing w:val="40"/>
                <w:sz w:val="14"/>
              </w:rPr>
              <w:t> </w:t>
            </w:r>
            <w:r>
              <w:rPr>
                <w:sz w:val="14"/>
              </w:rPr>
              <w:t>Sardinians,</w:t>
            </w:r>
            <w:r>
              <w:rPr>
                <w:spacing w:val="-8"/>
                <w:sz w:val="14"/>
              </w:rPr>
              <w:t> </w:t>
            </w:r>
            <w:r>
              <w:rPr>
                <w:sz w:val="14"/>
              </w:rPr>
              <w:t>Basques,</w:t>
            </w:r>
            <w:r>
              <w:rPr>
                <w:spacing w:val="-8"/>
                <w:sz w:val="14"/>
              </w:rPr>
              <w:t> </w:t>
            </w:r>
            <w:r>
              <w:rPr>
                <w:sz w:val="14"/>
              </w:rPr>
              <w:t>French,</w:t>
            </w:r>
            <w:r>
              <w:rPr>
                <w:spacing w:val="-8"/>
                <w:sz w:val="14"/>
              </w:rPr>
              <w:t> </w:t>
            </w:r>
            <w:r>
              <w:rPr>
                <w:sz w:val="14"/>
              </w:rPr>
              <w:t>Russians,</w:t>
            </w:r>
            <w:r>
              <w:rPr>
                <w:spacing w:val="40"/>
                <w:sz w:val="14"/>
              </w:rPr>
              <w:t> </w:t>
            </w:r>
            <w:r>
              <w:rPr>
                <w:sz w:val="14"/>
              </w:rPr>
              <w:t>or related groups; non-Jewish</w:t>
            </w:r>
            <w:r>
              <w:rPr>
                <w:spacing w:val="40"/>
                <w:sz w:val="14"/>
              </w:rPr>
              <w:t> </w:t>
            </w:r>
            <w:r>
              <w:rPr>
                <w:sz w:val="14"/>
              </w:rPr>
              <w:t>Southern Italians and Sicilians are</w:t>
            </w:r>
            <w:r>
              <w:rPr>
                <w:spacing w:val="40"/>
                <w:sz w:val="14"/>
              </w:rPr>
              <w:t> </w:t>
            </w:r>
            <w:r>
              <w:rPr>
                <w:sz w:val="14"/>
              </w:rPr>
              <w:t>absent from the shared synthesis</w:t>
            </w:r>
          </w:p>
        </w:tc>
        <w:tc>
          <w:tcPr>
            <w:tcW w:w="2376" w:type="dxa"/>
          </w:tcPr>
          <w:p>
            <w:pPr>
              <w:pStyle w:val="TableParagraph"/>
              <w:spacing w:before="29"/>
              <w:ind w:left="0"/>
              <w:rPr>
                <w:sz w:val="14"/>
              </w:rPr>
            </w:pPr>
          </w:p>
          <w:p>
            <w:pPr>
              <w:pStyle w:val="TableParagraph"/>
              <w:spacing w:before="0"/>
              <w:ind w:left="108" w:right="551"/>
              <w:rPr>
                <w:sz w:val="14"/>
              </w:rPr>
            </w:pPr>
            <w:r>
              <w:rPr>
                <w:sz w:val="14"/>
              </w:rPr>
              <w:t>The</w:t>
            </w:r>
            <w:r>
              <w:rPr>
                <w:spacing w:val="-8"/>
                <w:sz w:val="14"/>
              </w:rPr>
              <w:t> </w:t>
            </w:r>
            <w:r>
              <w:rPr>
                <w:sz w:val="14"/>
              </w:rPr>
              <w:t>European</w:t>
            </w:r>
            <w:r>
              <w:rPr>
                <w:spacing w:val="-8"/>
                <w:sz w:val="14"/>
              </w:rPr>
              <w:t> </w:t>
            </w:r>
            <w:r>
              <w:rPr>
                <w:sz w:val="14"/>
              </w:rPr>
              <w:t>pole</w:t>
            </w:r>
            <w:r>
              <w:rPr>
                <w:spacing w:val="-8"/>
                <w:sz w:val="14"/>
              </w:rPr>
              <w:t> </w:t>
            </w:r>
            <w:r>
              <w:rPr>
                <w:sz w:val="14"/>
              </w:rPr>
              <w:t>is</w:t>
            </w:r>
            <w:r>
              <w:rPr>
                <w:spacing w:val="-7"/>
                <w:sz w:val="14"/>
              </w:rPr>
              <w:t> </w:t>
            </w:r>
            <w:r>
              <w:rPr>
                <w:sz w:val="14"/>
              </w:rPr>
              <w:t>shifted</w:t>
            </w:r>
            <w:r>
              <w:rPr>
                <w:spacing w:val="40"/>
                <w:sz w:val="14"/>
              </w:rPr>
              <w:t> </w:t>
            </w:r>
            <w:r>
              <w:rPr>
                <w:sz w:val="14"/>
              </w:rPr>
              <w:t>northward and the central</w:t>
            </w:r>
            <w:r>
              <w:rPr>
                <w:spacing w:val="40"/>
                <w:sz w:val="14"/>
              </w:rPr>
              <w:t> </w:t>
            </w:r>
            <w:r>
              <w:rPr>
                <w:sz w:val="14"/>
              </w:rPr>
              <w:t>Mediterranean</w:t>
            </w:r>
            <w:r>
              <w:rPr>
                <w:spacing w:val="-8"/>
                <w:sz w:val="14"/>
              </w:rPr>
              <w:t> </w:t>
            </w:r>
            <w:r>
              <w:rPr>
                <w:sz w:val="14"/>
              </w:rPr>
              <w:t>continuum</w:t>
            </w:r>
            <w:r>
              <w:rPr>
                <w:spacing w:val="-8"/>
                <w:sz w:val="14"/>
              </w:rPr>
              <w:t> </w:t>
            </w:r>
            <w:r>
              <w:rPr>
                <w:sz w:val="14"/>
              </w:rPr>
              <w:t>is</w:t>
            </w:r>
            <w:r>
              <w:rPr>
                <w:spacing w:val="40"/>
                <w:sz w:val="14"/>
              </w:rPr>
              <w:t> </w:t>
            </w:r>
            <w:r>
              <w:rPr>
                <w:sz w:val="14"/>
              </w:rPr>
              <w:t>incompletely</w:t>
            </w:r>
            <w:r>
              <w:rPr>
                <w:spacing w:val="-8"/>
                <w:sz w:val="14"/>
              </w:rPr>
              <w:t> </w:t>
            </w:r>
            <w:r>
              <w:rPr>
                <w:sz w:val="14"/>
              </w:rPr>
              <w:t>represented.</w:t>
            </w:r>
          </w:p>
        </w:tc>
      </w:tr>
      <w:tr>
        <w:trPr>
          <w:trHeight w:val="717" w:hRule="atLeast"/>
        </w:trPr>
        <w:tc>
          <w:tcPr>
            <w:tcW w:w="1699" w:type="dxa"/>
          </w:tcPr>
          <w:p>
            <w:pPr>
              <w:pStyle w:val="TableParagraph"/>
              <w:spacing w:before="113"/>
              <w:ind w:left="0"/>
              <w:rPr>
                <w:sz w:val="14"/>
              </w:rPr>
            </w:pPr>
          </w:p>
          <w:p>
            <w:pPr>
              <w:pStyle w:val="TableParagraph"/>
              <w:spacing w:before="0"/>
              <w:rPr>
                <w:sz w:val="14"/>
              </w:rPr>
            </w:pPr>
            <w:r>
              <w:rPr>
                <w:spacing w:val="-2"/>
                <w:sz w:val="14"/>
              </w:rPr>
              <w:t>Landmark</w:t>
            </w:r>
            <w:r>
              <w:rPr>
                <w:spacing w:val="6"/>
                <w:sz w:val="14"/>
              </w:rPr>
              <w:t> </w:t>
            </w:r>
            <w:r>
              <w:rPr>
                <w:spacing w:val="-2"/>
                <w:sz w:val="14"/>
              </w:rPr>
              <w:t>synthesis</w:t>
            </w:r>
          </w:p>
        </w:tc>
        <w:tc>
          <w:tcPr>
            <w:tcW w:w="2664" w:type="dxa"/>
          </w:tcPr>
          <w:p>
            <w:pPr>
              <w:pStyle w:val="TableParagraph"/>
              <w:spacing w:before="113"/>
              <w:ind w:left="0"/>
              <w:rPr>
                <w:sz w:val="14"/>
              </w:rPr>
            </w:pPr>
          </w:p>
          <w:p>
            <w:pPr>
              <w:pStyle w:val="TableParagraph"/>
              <w:spacing w:before="0"/>
              <w:ind w:left="108"/>
              <w:rPr>
                <w:sz w:val="14"/>
              </w:rPr>
            </w:pPr>
            <w:r>
              <w:rPr>
                <w:sz w:val="14"/>
              </w:rPr>
              <w:t>Ostrer</w:t>
            </w:r>
            <w:r>
              <w:rPr>
                <w:spacing w:val="-5"/>
                <w:sz w:val="14"/>
              </w:rPr>
              <w:t> </w:t>
            </w:r>
            <w:r>
              <w:rPr>
                <w:sz w:val="14"/>
              </w:rPr>
              <w:t>and</w:t>
            </w:r>
            <w:r>
              <w:rPr>
                <w:spacing w:val="-5"/>
                <w:sz w:val="14"/>
              </w:rPr>
              <w:t> </w:t>
            </w:r>
            <w:r>
              <w:rPr>
                <w:sz w:val="14"/>
              </w:rPr>
              <w:t>Skorecki</w:t>
            </w:r>
            <w:r>
              <w:rPr>
                <w:spacing w:val="-4"/>
                <w:sz w:val="14"/>
              </w:rPr>
              <w:t> </w:t>
            </w:r>
            <w:r>
              <w:rPr>
                <w:spacing w:val="-2"/>
                <w:sz w:val="14"/>
              </w:rPr>
              <w:t>(2013)</w:t>
            </w:r>
          </w:p>
        </w:tc>
        <w:tc>
          <w:tcPr>
            <w:tcW w:w="2520" w:type="dxa"/>
          </w:tcPr>
          <w:p>
            <w:pPr>
              <w:pStyle w:val="TableParagraph"/>
              <w:spacing w:before="111"/>
              <w:ind w:right="84"/>
              <w:rPr>
                <w:sz w:val="14"/>
              </w:rPr>
            </w:pPr>
            <w:r>
              <w:rPr>
                <w:sz w:val="14"/>
              </w:rPr>
              <w:t>Neighbor-joining</w:t>
            </w:r>
            <w:r>
              <w:rPr>
                <w:spacing w:val="-8"/>
                <w:sz w:val="14"/>
              </w:rPr>
              <w:t> </w:t>
            </w:r>
            <w:r>
              <w:rPr>
                <w:sz w:val="14"/>
              </w:rPr>
              <w:t>topology</w:t>
            </w:r>
            <w:r>
              <w:rPr>
                <w:spacing w:val="-8"/>
                <w:sz w:val="14"/>
              </w:rPr>
              <w:t> </w:t>
            </w:r>
            <w:r>
              <w:rPr>
                <w:sz w:val="14"/>
              </w:rPr>
              <w:t>inherits</w:t>
            </w:r>
            <w:r>
              <w:rPr>
                <w:spacing w:val="-8"/>
                <w:sz w:val="14"/>
              </w:rPr>
              <w:t> </w:t>
            </w:r>
            <w:r>
              <w:rPr>
                <w:sz w:val="14"/>
              </w:rPr>
              <w:t>the</w:t>
            </w:r>
            <w:r>
              <w:rPr>
                <w:spacing w:val="40"/>
                <w:sz w:val="14"/>
              </w:rPr>
              <w:t> </w:t>
            </w:r>
            <w:r>
              <w:rPr>
                <w:sz w:val="14"/>
              </w:rPr>
              <w:t>population coverage of the</w:t>
            </w:r>
            <w:r>
              <w:rPr>
                <w:spacing w:val="40"/>
                <w:sz w:val="14"/>
              </w:rPr>
              <w:t> </w:t>
            </w:r>
            <w:r>
              <w:rPr>
                <w:sz w:val="14"/>
              </w:rPr>
              <w:t>contributing</w:t>
            </w:r>
            <w:r>
              <w:rPr>
                <w:spacing w:val="-8"/>
                <w:sz w:val="14"/>
              </w:rPr>
              <w:t> </w:t>
            </w:r>
            <w:r>
              <w:rPr>
                <w:sz w:val="14"/>
              </w:rPr>
              <w:t>studies</w:t>
            </w:r>
          </w:p>
        </w:tc>
        <w:tc>
          <w:tcPr>
            <w:tcW w:w="2376" w:type="dxa"/>
          </w:tcPr>
          <w:p>
            <w:pPr>
              <w:pStyle w:val="TableParagraph"/>
              <w:ind w:left="108" w:right="226" w:hanging="1"/>
              <w:rPr>
                <w:sz w:val="14"/>
              </w:rPr>
            </w:pPr>
            <w:r>
              <w:rPr>
                <w:sz w:val="14"/>
              </w:rPr>
              <w:t>Apparent</w:t>
            </w:r>
            <w:r>
              <w:rPr>
                <w:spacing w:val="-8"/>
                <w:sz w:val="14"/>
              </w:rPr>
              <w:t> </w:t>
            </w:r>
            <w:r>
              <w:rPr>
                <w:sz w:val="14"/>
              </w:rPr>
              <w:t>Europe-Levant</w:t>
            </w:r>
            <w:r>
              <w:rPr>
                <w:spacing w:val="40"/>
                <w:sz w:val="14"/>
              </w:rPr>
              <w:t> </w:t>
            </w:r>
            <w:r>
              <w:rPr>
                <w:sz w:val="14"/>
              </w:rPr>
              <w:t>intermediacy</w:t>
            </w:r>
            <w:r>
              <w:rPr>
                <w:spacing w:val="-8"/>
                <w:sz w:val="14"/>
              </w:rPr>
              <w:t> </w:t>
            </w:r>
            <w:r>
              <w:rPr>
                <w:sz w:val="14"/>
              </w:rPr>
              <w:t>cannot</w:t>
            </w:r>
            <w:r>
              <w:rPr>
                <w:spacing w:val="-8"/>
                <w:sz w:val="14"/>
              </w:rPr>
              <w:t> </w:t>
            </w:r>
            <w:r>
              <w:rPr>
                <w:sz w:val="14"/>
              </w:rPr>
              <w:t>be</w:t>
            </w:r>
            <w:r>
              <w:rPr>
                <w:spacing w:val="-8"/>
                <w:sz w:val="14"/>
              </w:rPr>
              <w:t> </w:t>
            </w:r>
            <w:r>
              <w:rPr>
                <w:sz w:val="14"/>
              </w:rPr>
              <w:t>treated</w:t>
            </w:r>
            <w:r>
              <w:rPr>
                <w:spacing w:val="-7"/>
                <w:sz w:val="14"/>
              </w:rPr>
              <w:t> </w:t>
            </w:r>
            <w:r>
              <w:rPr>
                <w:sz w:val="14"/>
              </w:rPr>
              <w:t>as</w:t>
            </w:r>
            <w:r>
              <w:rPr>
                <w:spacing w:val="40"/>
                <w:sz w:val="14"/>
              </w:rPr>
              <w:t> </w:t>
            </w:r>
            <w:r>
              <w:rPr>
                <w:sz w:val="14"/>
              </w:rPr>
              <w:t>reference-free</w:t>
            </w:r>
            <w:r>
              <w:rPr>
                <w:spacing w:val="-8"/>
                <w:sz w:val="14"/>
              </w:rPr>
              <w:t> </w:t>
            </w:r>
            <w:r>
              <w:rPr>
                <w:sz w:val="14"/>
              </w:rPr>
              <w:t>geographic</w:t>
            </w:r>
            <w:r>
              <w:rPr>
                <w:spacing w:val="40"/>
                <w:sz w:val="14"/>
              </w:rPr>
              <w:t> </w:t>
            </w:r>
            <w:r>
              <w:rPr>
                <w:spacing w:val="-2"/>
                <w:sz w:val="14"/>
              </w:rPr>
              <w:t>placement.</w:t>
            </w:r>
          </w:p>
        </w:tc>
      </w:tr>
      <w:tr>
        <w:trPr>
          <w:trHeight w:val="717" w:hRule="atLeast"/>
        </w:trPr>
        <w:tc>
          <w:tcPr>
            <w:tcW w:w="1699" w:type="dxa"/>
          </w:tcPr>
          <w:p>
            <w:pPr>
              <w:pStyle w:val="TableParagraph"/>
              <w:spacing w:before="29"/>
              <w:ind w:left="0"/>
              <w:rPr>
                <w:sz w:val="14"/>
              </w:rPr>
            </w:pPr>
          </w:p>
          <w:p>
            <w:pPr>
              <w:pStyle w:val="TableParagraph"/>
              <w:spacing w:before="0"/>
              <w:rPr>
                <w:sz w:val="14"/>
              </w:rPr>
            </w:pPr>
            <w:r>
              <w:rPr>
                <w:spacing w:val="-2"/>
                <w:sz w:val="14"/>
              </w:rPr>
              <w:t>Later</w:t>
            </w:r>
            <w:r>
              <w:rPr>
                <w:spacing w:val="-6"/>
                <w:sz w:val="14"/>
              </w:rPr>
              <w:t> </w:t>
            </w:r>
            <w:r>
              <w:rPr>
                <w:spacing w:val="-2"/>
                <w:sz w:val="14"/>
              </w:rPr>
              <w:t>ancient-</w:t>
            </w:r>
            <w:r>
              <w:rPr>
                <w:spacing w:val="-2"/>
                <w:sz w:val="14"/>
              </w:rPr>
              <w:t>DNA</w:t>
            </w:r>
            <w:r>
              <w:rPr>
                <w:spacing w:val="40"/>
                <w:sz w:val="14"/>
              </w:rPr>
              <w:t> </w:t>
            </w:r>
            <w:r>
              <w:rPr>
                <w:spacing w:val="-2"/>
                <w:sz w:val="14"/>
              </w:rPr>
              <w:t>modeling</w:t>
            </w:r>
          </w:p>
        </w:tc>
        <w:tc>
          <w:tcPr>
            <w:tcW w:w="2664" w:type="dxa"/>
          </w:tcPr>
          <w:p>
            <w:pPr>
              <w:pStyle w:val="TableParagraph"/>
              <w:spacing w:before="29"/>
              <w:ind w:left="0"/>
              <w:rPr>
                <w:sz w:val="14"/>
              </w:rPr>
            </w:pPr>
          </w:p>
          <w:p>
            <w:pPr>
              <w:pStyle w:val="TableParagraph"/>
              <w:spacing w:before="0"/>
              <w:ind w:left="108" w:right="144"/>
              <w:rPr>
                <w:sz w:val="14"/>
              </w:rPr>
            </w:pPr>
            <w:r>
              <w:rPr>
                <w:sz w:val="14"/>
              </w:rPr>
              <w:t>Waldman</w:t>
            </w:r>
            <w:r>
              <w:rPr>
                <w:spacing w:val="-8"/>
                <w:sz w:val="14"/>
              </w:rPr>
              <w:t> </w:t>
            </w:r>
            <w:r>
              <w:rPr>
                <w:sz w:val="14"/>
              </w:rPr>
              <w:t>et</w:t>
            </w:r>
            <w:r>
              <w:rPr>
                <w:spacing w:val="-7"/>
                <w:sz w:val="14"/>
              </w:rPr>
              <w:t> </w:t>
            </w:r>
            <w:r>
              <w:rPr>
                <w:sz w:val="14"/>
              </w:rPr>
              <w:t>al.</w:t>
            </w:r>
            <w:r>
              <w:rPr>
                <w:spacing w:val="-8"/>
                <w:sz w:val="14"/>
              </w:rPr>
              <w:t> </w:t>
            </w:r>
            <w:r>
              <w:rPr>
                <w:sz w:val="14"/>
              </w:rPr>
              <w:t>(2022);</w:t>
            </w:r>
            <w:r>
              <w:rPr>
                <w:spacing w:val="-6"/>
                <w:sz w:val="14"/>
              </w:rPr>
              <w:t> </w:t>
            </w:r>
            <w:r>
              <w:rPr>
                <w:sz w:val="14"/>
              </w:rPr>
              <w:t>Brace</w:t>
            </w:r>
            <w:r>
              <w:rPr>
                <w:spacing w:val="-6"/>
                <w:sz w:val="14"/>
              </w:rPr>
              <w:t> </w:t>
            </w:r>
            <w:r>
              <w:rPr>
                <w:sz w:val="14"/>
              </w:rPr>
              <w:t>et</w:t>
            </w:r>
            <w:r>
              <w:rPr>
                <w:spacing w:val="-7"/>
                <w:sz w:val="14"/>
              </w:rPr>
              <w:t> </w:t>
            </w:r>
            <w:r>
              <w:rPr>
                <w:sz w:val="14"/>
              </w:rPr>
              <w:t>al.</w:t>
            </w:r>
            <w:r>
              <w:rPr>
                <w:spacing w:val="40"/>
                <w:sz w:val="14"/>
              </w:rPr>
              <w:t> </w:t>
            </w:r>
            <w:r>
              <w:rPr>
                <w:spacing w:val="-2"/>
                <w:sz w:val="14"/>
              </w:rPr>
              <w:t>(2022)</w:t>
            </w:r>
          </w:p>
        </w:tc>
        <w:tc>
          <w:tcPr>
            <w:tcW w:w="2520" w:type="dxa"/>
          </w:tcPr>
          <w:p>
            <w:pPr>
              <w:pStyle w:val="TableParagraph"/>
              <w:ind w:left="108" w:right="84"/>
              <w:rPr>
                <w:sz w:val="14"/>
              </w:rPr>
            </w:pPr>
            <w:r>
              <w:rPr>
                <w:sz w:val="14"/>
              </w:rPr>
              <w:t>Southern</w:t>
            </w:r>
            <w:r>
              <w:rPr>
                <w:spacing w:val="-8"/>
                <w:sz w:val="14"/>
              </w:rPr>
              <w:t> </w:t>
            </w:r>
            <w:r>
              <w:rPr>
                <w:sz w:val="14"/>
              </w:rPr>
              <w:t>Italian</w:t>
            </w:r>
            <w:r>
              <w:rPr>
                <w:spacing w:val="-8"/>
                <w:sz w:val="14"/>
              </w:rPr>
              <w:t> </w:t>
            </w:r>
            <w:r>
              <w:rPr>
                <w:sz w:val="14"/>
              </w:rPr>
              <w:t>or</w:t>
            </w:r>
            <w:r>
              <w:rPr>
                <w:spacing w:val="-8"/>
                <w:sz w:val="14"/>
              </w:rPr>
              <w:t> </w:t>
            </w:r>
            <w:r>
              <w:rPr>
                <w:sz w:val="14"/>
              </w:rPr>
              <w:t>Sicilian</w:t>
            </w:r>
            <w:r>
              <w:rPr>
                <w:spacing w:val="-7"/>
                <w:sz w:val="14"/>
              </w:rPr>
              <w:t> </w:t>
            </w:r>
            <w:r>
              <w:rPr>
                <w:sz w:val="14"/>
              </w:rPr>
              <w:t>proxies</w:t>
            </w:r>
            <w:r>
              <w:rPr>
                <w:spacing w:val="-8"/>
                <w:sz w:val="14"/>
              </w:rPr>
              <w:t> </w:t>
            </w:r>
            <w:r>
              <w:rPr>
                <w:sz w:val="14"/>
              </w:rPr>
              <w:t>are</w:t>
            </w:r>
            <w:r>
              <w:rPr>
                <w:spacing w:val="40"/>
                <w:sz w:val="14"/>
              </w:rPr>
              <w:t> </w:t>
            </w:r>
            <w:r>
              <w:rPr>
                <w:sz w:val="14"/>
              </w:rPr>
              <w:t>finally modeled directly, although</w:t>
            </w:r>
            <w:r>
              <w:rPr>
                <w:spacing w:val="40"/>
                <w:sz w:val="14"/>
              </w:rPr>
              <w:t> </w:t>
            </w:r>
            <w:r>
              <w:rPr>
                <w:sz w:val="14"/>
              </w:rPr>
              <w:t>alternative proxy configurations</w:t>
            </w:r>
            <w:r>
              <w:rPr>
                <w:spacing w:val="40"/>
                <w:sz w:val="14"/>
              </w:rPr>
              <w:t> </w:t>
            </w:r>
            <w:r>
              <w:rPr>
                <w:sz w:val="14"/>
              </w:rPr>
              <w:t>remain</w:t>
            </w:r>
            <w:r>
              <w:rPr>
                <w:spacing w:val="-8"/>
                <w:sz w:val="14"/>
              </w:rPr>
              <w:t> </w:t>
            </w:r>
            <w:r>
              <w:rPr>
                <w:sz w:val="14"/>
              </w:rPr>
              <w:t>possible</w:t>
            </w:r>
          </w:p>
        </w:tc>
        <w:tc>
          <w:tcPr>
            <w:tcW w:w="2376" w:type="dxa"/>
          </w:tcPr>
          <w:p>
            <w:pPr>
              <w:pStyle w:val="TableParagraph"/>
              <w:ind w:left="108"/>
              <w:rPr>
                <w:sz w:val="14"/>
              </w:rPr>
            </w:pPr>
            <w:r>
              <w:rPr>
                <w:sz w:val="14"/>
              </w:rPr>
              <w:t>Large central Mediterranean-associated components become</w:t>
            </w:r>
            <w:r>
              <w:rPr>
                <w:spacing w:val="40"/>
                <w:sz w:val="14"/>
              </w:rPr>
              <w:t> </w:t>
            </w:r>
            <w:r>
              <w:rPr>
                <w:sz w:val="14"/>
              </w:rPr>
              <w:t>feasible</w:t>
            </w:r>
            <w:r>
              <w:rPr>
                <w:spacing w:val="-8"/>
                <w:sz w:val="14"/>
              </w:rPr>
              <w:t> </w:t>
            </w:r>
            <w:r>
              <w:rPr>
                <w:sz w:val="14"/>
              </w:rPr>
              <w:t>when</w:t>
            </w:r>
            <w:r>
              <w:rPr>
                <w:spacing w:val="-8"/>
                <w:sz w:val="14"/>
              </w:rPr>
              <w:t> </w:t>
            </w:r>
            <w:r>
              <w:rPr>
                <w:sz w:val="14"/>
              </w:rPr>
              <w:t>the</w:t>
            </w:r>
            <w:r>
              <w:rPr>
                <w:spacing w:val="-8"/>
                <w:sz w:val="14"/>
              </w:rPr>
              <w:t> </w:t>
            </w:r>
            <w:r>
              <w:rPr>
                <w:sz w:val="14"/>
              </w:rPr>
              <w:t>relevant</w:t>
            </w:r>
            <w:r>
              <w:rPr>
                <w:spacing w:val="-7"/>
                <w:sz w:val="14"/>
              </w:rPr>
              <w:t> </w:t>
            </w:r>
            <w:r>
              <w:rPr>
                <w:sz w:val="14"/>
              </w:rPr>
              <w:t>source</w:t>
            </w:r>
            <w:r>
              <w:rPr>
                <w:spacing w:val="40"/>
                <w:sz w:val="14"/>
              </w:rPr>
              <w:t> </w:t>
            </w:r>
            <w:r>
              <w:rPr>
                <w:sz w:val="14"/>
              </w:rPr>
              <w:t>space is represented.</w:t>
            </w:r>
          </w:p>
        </w:tc>
      </w:tr>
    </w:tbl>
    <w:p>
      <w:pPr>
        <w:spacing w:before="60"/>
        <w:ind w:left="131" w:right="148" w:firstLine="0"/>
        <w:jc w:val="left"/>
        <w:rPr>
          <w:sz w:val="18"/>
        </w:rPr>
      </w:pPr>
      <w:r>
        <w:rPr>
          <w:sz w:val="18"/>
        </w:rPr>
        <w:t>Summary</w:t>
      </w:r>
      <w:r>
        <w:rPr>
          <w:spacing w:val="-3"/>
          <w:sz w:val="18"/>
        </w:rPr>
        <w:t> </w:t>
      </w:r>
      <w:r>
        <w:rPr>
          <w:sz w:val="18"/>
        </w:rPr>
        <w:t>Table.</w:t>
      </w:r>
      <w:r>
        <w:rPr>
          <w:spacing w:val="-4"/>
          <w:sz w:val="18"/>
        </w:rPr>
        <w:t> </w:t>
      </w:r>
      <w:r>
        <w:rPr>
          <w:sz w:val="18"/>
        </w:rPr>
        <w:t>Recurring</w:t>
      </w:r>
      <w:r>
        <w:rPr>
          <w:spacing w:val="-3"/>
          <w:sz w:val="18"/>
        </w:rPr>
        <w:t> </w:t>
      </w:r>
      <w:r>
        <w:rPr>
          <w:sz w:val="18"/>
        </w:rPr>
        <w:t>reference-panel</w:t>
      </w:r>
      <w:r>
        <w:rPr>
          <w:spacing w:val="-6"/>
          <w:sz w:val="18"/>
        </w:rPr>
        <w:t> </w:t>
      </w:r>
      <w:r>
        <w:rPr>
          <w:sz w:val="18"/>
        </w:rPr>
        <w:t>design</w:t>
      </w:r>
      <w:r>
        <w:rPr>
          <w:spacing w:val="-4"/>
          <w:sz w:val="18"/>
        </w:rPr>
        <w:t> </w:t>
      </w:r>
      <w:r>
        <w:rPr>
          <w:sz w:val="18"/>
        </w:rPr>
        <w:t>across</w:t>
      </w:r>
      <w:r>
        <w:rPr>
          <w:spacing w:val="-4"/>
          <w:sz w:val="18"/>
        </w:rPr>
        <w:t> </w:t>
      </w:r>
      <w:r>
        <w:rPr>
          <w:sz w:val="18"/>
        </w:rPr>
        <w:t>foundational</w:t>
      </w:r>
      <w:r>
        <w:rPr>
          <w:spacing w:val="-6"/>
          <w:sz w:val="18"/>
        </w:rPr>
        <w:t> </w:t>
      </w:r>
      <w:r>
        <w:rPr>
          <w:sz w:val="18"/>
        </w:rPr>
        <w:t>Ashkenazi</w:t>
      </w:r>
      <w:r>
        <w:rPr>
          <w:spacing w:val="-3"/>
          <w:sz w:val="18"/>
        </w:rPr>
        <w:t> </w:t>
      </w:r>
      <w:r>
        <w:rPr>
          <w:sz w:val="18"/>
        </w:rPr>
        <w:t>population-genetic</w:t>
      </w:r>
      <w:r>
        <w:rPr>
          <w:spacing w:val="-3"/>
          <w:sz w:val="18"/>
        </w:rPr>
        <w:t> </w:t>
      </w:r>
      <w:r>
        <w:rPr>
          <w:sz w:val="18"/>
        </w:rPr>
        <w:t>studies.</w:t>
      </w:r>
      <w:r>
        <w:rPr>
          <w:spacing w:val="-4"/>
          <w:sz w:val="18"/>
        </w:rPr>
        <w:t> </w:t>
      </w:r>
      <w:r>
        <w:rPr>
          <w:sz w:val="18"/>
        </w:rPr>
        <w:t>The</w:t>
      </w:r>
      <w:r>
        <w:rPr>
          <w:spacing w:val="-2"/>
          <w:sz w:val="18"/>
        </w:rPr>
        <w:t> </w:t>
      </w:r>
      <w:r>
        <w:rPr>
          <w:sz w:val="18"/>
        </w:rPr>
        <w:t>pattern</w:t>
      </w:r>
      <w:r>
        <w:rPr>
          <w:spacing w:val="40"/>
          <w:sz w:val="18"/>
        </w:rPr>
        <w:t> </w:t>
      </w:r>
      <w:r>
        <w:rPr>
          <w:sz w:val="18"/>
        </w:rPr>
        <w:t>spans field-defining Y-chromosomal papers, landmark autosomal studies, and the synthesis that consolidated their</w:t>
      </w:r>
      <w:r>
        <w:rPr>
          <w:spacing w:val="40"/>
          <w:sz w:val="18"/>
        </w:rPr>
        <w:t> </w:t>
      </w:r>
      <w:r>
        <w:rPr>
          <w:spacing w:val="-2"/>
          <w:sz w:val="18"/>
        </w:rPr>
        <w:t>interpretation.</w:t>
      </w:r>
    </w:p>
    <w:p>
      <w:pPr>
        <w:pStyle w:val="BodyText"/>
        <w:spacing w:line="259" w:lineRule="auto" w:before="143"/>
        <w:ind w:right="125"/>
      </w:pPr>
      <w:r>
        <w:rPr/>
        <w:t>This is not an isolated limitation in a handful of peripheral papers. It is a recurring design pattern across field-defining studies that established the modern genetic account of Ashkenazi population history. The early</w:t>
      </w:r>
      <w:r>
        <w:rPr>
          <w:spacing w:val="-1"/>
        </w:rPr>
        <w:t> </w:t>
      </w:r>
      <w:r>
        <w:rPr/>
        <w:t>Y-chromosomal</w:t>
      </w:r>
      <w:r>
        <w:rPr>
          <w:spacing w:val="-2"/>
        </w:rPr>
        <w:t> </w:t>
      </w:r>
      <w:r>
        <w:rPr/>
        <w:t>literature includes Hammer</w:t>
      </w:r>
      <w:r>
        <w:rPr>
          <w:spacing w:val="-1"/>
        </w:rPr>
        <w:t> </w:t>
      </w:r>
      <w:r>
        <w:rPr/>
        <w:t>et al. (2000),</w:t>
      </w:r>
      <w:r>
        <w:rPr>
          <w:spacing w:val="-2"/>
        </w:rPr>
        <w:t> </w:t>
      </w:r>
      <w:r>
        <w:rPr/>
        <w:t>Nebel et</w:t>
      </w:r>
      <w:r>
        <w:rPr>
          <w:spacing w:val="-2"/>
        </w:rPr>
        <w:t> </w:t>
      </w:r>
      <w:r>
        <w:rPr/>
        <w:t>al. (2001), Behar</w:t>
      </w:r>
      <w:r>
        <w:rPr>
          <w:spacing w:val="-1"/>
        </w:rPr>
        <w:t> </w:t>
      </w:r>
      <w:r>
        <w:rPr/>
        <w:t>et al.</w:t>
      </w:r>
      <w:r>
        <w:rPr>
          <w:spacing w:val="-2"/>
        </w:rPr>
        <w:t> </w:t>
      </w:r>
      <w:r>
        <w:rPr/>
        <w:t>(2004), Shen et</w:t>
      </w:r>
      <w:r>
        <w:rPr>
          <w:spacing w:val="18"/>
        </w:rPr>
        <w:t> </w:t>
      </w:r>
      <w:r>
        <w:rPr/>
        <w:t>al.</w:t>
      </w:r>
      <w:r>
        <w:rPr>
          <w:spacing w:val="15"/>
        </w:rPr>
        <w:t> </w:t>
      </w:r>
      <w:r>
        <w:rPr/>
        <w:t>(2004),</w:t>
      </w:r>
      <w:r>
        <w:rPr>
          <w:spacing w:val="17"/>
        </w:rPr>
        <w:t> </w:t>
      </w:r>
      <w:r>
        <w:rPr/>
        <w:t>Semino</w:t>
      </w:r>
      <w:r>
        <w:rPr>
          <w:spacing w:val="18"/>
        </w:rPr>
        <w:t> </w:t>
      </w:r>
      <w:r>
        <w:rPr/>
        <w:t>et</w:t>
      </w:r>
      <w:r>
        <w:rPr>
          <w:spacing w:val="18"/>
        </w:rPr>
        <w:t> </w:t>
      </w:r>
      <w:r>
        <w:rPr/>
        <w:t>al.</w:t>
      </w:r>
      <w:r>
        <w:rPr>
          <w:spacing w:val="15"/>
        </w:rPr>
        <w:t> </w:t>
      </w:r>
      <w:r>
        <w:rPr/>
        <w:t>(2004),</w:t>
      </w:r>
      <w:r>
        <w:rPr>
          <w:spacing w:val="15"/>
        </w:rPr>
        <w:t> </w:t>
      </w:r>
      <w:r>
        <w:rPr/>
        <w:t>and</w:t>
      </w:r>
      <w:r>
        <w:rPr>
          <w:spacing w:val="18"/>
        </w:rPr>
        <w:t> </w:t>
      </w:r>
      <w:r>
        <w:rPr/>
        <w:t>Hammer</w:t>
      </w:r>
      <w:r>
        <w:rPr>
          <w:spacing w:val="16"/>
        </w:rPr>
        <w:t> </w:t>
      </w:r>
      <w:r>
        <w:rPr/>
        <w:t>et</w:t>
      </w:r>
      <w:r>
        <w:rPr>
          <w:spacing w:val="15"/>
        </w:rPr>
        <w:t> </w:t>
      </w:r>
      <w:r>
        <w:rPr/>
        <w:t>al.</w:t>
      </w:r>
      <w:r>
        <w:rPr>
          <w:spacing w:val="17"/>
        </w:rPr>
        <w:t> </w:t>
      </w:r>
      <w:r>
        <w:rPr/>
        <w:t>(2009).</w:t>
      </w:r>
      <w:r>
        <w:rPr>
          <w:spacing w:val="17"/>
        </w:rPr>
        <w:t> </w:t>
      </w:r>
      <w:r>
        <w:rPr/>
        <w:t>The</w:t>
      </w:r>
      <w:r>
        <w:rPr>
          <w:spacing w:val="15"/>
        </w:rPr>
        <w:t> </w:t>
      </w:r>
      <w:r>
        <w:rPr/>
        <w:t>foundational</w:t>
      </w:r>
      <w:r>
        <w:rPr>
          <w:spacing w:val="15"/>
        </w:rPr>
        <w:t> </w:t>
      </w:r>
      <w:r>
        <w:rPr/>
        <w:t>autosomal</w:t>
      </w:r>
      <w:r>
        <w:rPr>
          <w:spacing w:val="15"/>
        </w:rPr>
        <w:t> </w:t>
      </w:r>
      <w:r>
        <w:rPr/>
        <w:t>literature</w:t>
      </w:r>
      <w:r>
        <w:rPr>
          <w:spacing w:val="17"/>
        </w:rPr>
        <w:t> </w:t>
      </w:r>
      <w:r>
        <w:rPr/>
        <w:t>later</w:t>
      </w:r>
    </w:p>
    <w:p>
      <w:pPr>
        <w:pStyle w:val="BodyText"/>
        <w:spacing w:after="0" w:line="259" w:lineRule="auto"/>
        <w:sectPr>
          <w:pgSz w:w="11910" w:h="16840"/>
          <w:pgMar w:header="390" w:footer="444" w:top="940" w:bottom="640" w:left="992" w:right="992"/>
        </w:sectPr>
      </w:pPr>
    </w:p>
    <w:p>
      <w:pPr>
        <w:pStyle w:val="BodyText"/>
        <w:spacing w:line="259" w:lineRule="auto" w:before="92"/>
        <w:ind w:right="125" w:firstLine="0"/>
      </w:pPr>
      <w:r>
        <w:rPr/>
        <w:t>synthesized by Ostrer and Skorecki (2013) includes Kopelman et al. (2009), Atzmon et al. (2010), Behar et al. (2010), Bray et al. (2010), Listman et al. (2010), and Campbell et al. (2012). Because these studies</w:t>
      </w:r>
      <w:r>
        <w:rPr>
          <w:spacing w:val="40"/>
        </w:rPr>
        <w:t> </w:t>
      </w:r>
      <w:r>
        <w:rPr/>
        <w:t>shaped later reviews, figures, and public summaries, a repeated comparator omission became part of the field's inherited interpretive framework rather than remaining a minor limitation of one dataset.</w:t>
      </w:r>
    </w:p>
    <w:p>
      <w:pPr>
        <w:pStyle w:val="Heading2"/>
        <w:numPr>
          <w:ilvl w:val="1"/>
          <w:numId w:val="1"/>
        </w:numPr>
        <w:tabs>
          <w:tab w:pos="482" w:val="left" w:leader="none"/>
        </w:tabs>
        <w:spacing w:line="240" w:lineRule="auto" w:before="180" w:after="0"/>
        <w:ind w:left="482" w:right="0" w:hanging="351"/>
        <w:jc w:val="both"/>
      </w:pPr>
      <w:r>
        <w:rPr/>
        <w:t>Independent</w:t>
      </w:r>
      <w:r>
        <w:rPr>
          <w:spacing w:val="-6"/>
        </w:rPr>
        <w:t> </w:t>
      </w:r>
      <w:r>
        <w:rPr/>
        <w:t>evidence,</w:t>
      </w:r>
      <w:r>
        <w:rPr>
          <w:spacing w:val="-5"/>
        </w:rPr>
        <w:t> </w:t>
      </w:r>
      <w:r>
        <w:rPr/>
        <w:t>research</w:t>
      </w:r>
      <w:r>
        <w:rPr>
          <w:spacing w:val="-5"/>
        </w:rPr>
        <w:t> </w:t>
      </w:r>
      <w:r>
        <w:rPr/>
        <w:t>question,</w:t>
      </w:r>
      <w:r>
        <w:rPr>
          <w:spacing w:val="-5"/>
        </w:rPr>
        <w:t> </w:t>
      </w:r>
      <w:r>
        <w:rPr/>
        <w:t>and</w:t>
      </w:r>
      <w:r>
        <w:rPr>
          <w:spacing w:val="-8"/>
        </w:rPr>
        <w:t> </w:t>
      </w:r>
      <w:r>
        <w:rPr/>
        <w:t>directional</w:t>
      </w:r>
      <w:r>
        <w:rPr>
          <w:spacing w:val="-5"/>
        </w:rPr>
        <w:t> </w:t>
      </w:r>
      <w:r>
        <w:rPr>
          <w:spacing w:val="-2"/>
        </w:rPr>
        <w:t>predictions</w:t>
      </w:r>
    </w:p>
    <w:p>
      <w:pPr>
        <w:pStyle w:val="BodyText"/>
        <w:spacing w:line="259" w:lineRule="auto" w:before="100"/>
        <w:ind w:right="125"/>
      </w:pPr>
      <w:r>
        <w:rPr/>
        <w:t>Published results provide reasons to perform that sensitivity analysis. Mediterranean-inclusive autosomal studies often place Ashkenazi Jews near Italians, Greeks, Sicilians, and other Southern European populations. Tian et al. (2009) reported lower autosomal FST values between Ashkenazi Jews and Italians</w:t>
      </w:r>
      <w:r>
        <w:rPr>
          <w:spacing w:val="40"/>
        </w:rPr>
        <w:t> </w:t>
      </w:r>
      <w:r>
        <w:rPr/>
        <w:t>or Greeks than between Ashkenazi Jews and Palestinians. Zoossmann-Diskin (2010) reported the same ordering</w:t>
      </w:r>
      <w:r>
        <w:rPr>
          <w:spacing w:val="-1"/>
        </w:rPr>
        <w:t> </w:t>
      </w:r>
      <w:r>
        <w:rPr/>
        <w:t>in</w:t>
      </w:r>
      <w:r>
        <w:rPr>
          <w:spacing w:val="-2"/>
        </w:rPr>
        <w:t> </w:t>
      </w:r>
      <w:r>
        <w:rPr/>
        <w:t>an</w:t>
      </w:r>
      <w:r>
        <w:rPr>
          <w:spacing w:val="-2"/>
        </w:rPr>
        <w:t> </w:t>
      </w:r>
      <w:r>
        <w:rPr/>
        <w:t>independent</w:t>
      </w:r>
      <w:r>
        <w:rPr>
          <w:spacing w:val="-2"/>
        </w:rPr>
        <w:t> </w:t>
      </w:r>
      <w:r>
        <w:rPr/>
        <w:t>distance</w:t>
      </w:r>
      <w:r>
        <w:rPr>
          <w:spacing w:val="-2"/>
        </w:rPr>
        <w:t> </w:t>
      </w:r>
      <w:r>
        <w:rPr/>
        <w:t>framework.</w:t>
      </w:r>
      <w:r>
        <w:rPr>
          <w:spacing w:val="-2"/>
        </w:rPr>
        <w:t> </w:t>
      </w:r>
      <w:r>
        <w:rPr/>
        <w:t>Xue</w:t>
      </w:r>
      <w:r>
        <w:rPr>
          <w:spacing w:val="-4"/>
        </w:rPr>
        <w:t> </w:t>
      </w:r>
      <w:r>
        <w:rPr/>
        <w:t>et</w:t>
      </w:r>
      <w:r>
        <w:rPr>
          <w:spacing w:val="-2"/>
        </w:rPr>
        <w:t> </w:t>
      </w:r>
      <w:r>
        <w:rPr/>
        <w:t>al.</w:t>
      </w:r>
      <w:r>
        <w:rPr>
          <w:spacing w:val="-2"/>
        </w:rPr>
        <w:t> </w:t>
      </w:r>
      <w:r>
        <w:rPr/>
        <w:t>(2017)</w:t>
      </w:r>
      <w:r>
        <w:rPr>
          <w:spacing w:val="-1"/>
        </w:rPr>
        <w:t> </w:t>
      </w:r>
      <w:r>
        <w:rPr/>
        <w:t>used</w:t>
      </w:r>
      <w:r>
        <w:rPr>
          <w:spacing w:val="-2"/>
        </w:rPr>
        <w:t> </w:t>
      </w:r>
      <w:r>
        <w:rPr/>
        <w:t>identity-by-descent</w:t>
      </w:r>
      <w:r>
        <w:rPr>
          <w:spacing w:val="-2"/>
        </w:rPr>
        <w:t> </w:t>
      </w:r>
      <w:r>
        <w:rPr/>
        <w:t>segment</w:t>
      </w:r>
      <w:r>
        <w:rPr>
          <w:spacing w:val="-2"/>
        </w:rPr>
        <w:t> </w:t>
      </w:r>
      <w:r>
        <w:rPr/>
        <w:t>lengths to distinguish older shared structure from more recent gene flow, thereby constraining simple interpretations based solely on geometric proximity. Ancient-DNA studies further show that major Ashkenazi-associated ancestry components and founder effects were already present in medieval communities (Brace et al., 2022; Waldman et al., 2022).</w:t>
      </w:r>
    </w:p>
    <w:p>
      <w:pPr>
        <w:pStyle w:val="BodyText"/>
        <w:spacing w:line="259" w:lineRule="auto" w:before="98"/>
        <w:ind w:right="122"/>
      </w:pPr>
      <w:r>
        <w:rPr/>
        <w:t>Recent modeling also repeatedly</w:t>
      </w:r>
      <w:r>
        <w:rPr>
          <w:spacing w:val="-1"/>
        </w:rPr>
        <w:t> </w:t>
      </w:r>
      <w:r>
        <w:rPr/>
        <w:t>assigns a large Italian or</w:t>
      </w:r>
      <w:r>
        <w:rPr>
          <w:spacing w:val="-1"/>
        </w:rPr>
        <w:t> </w:t>
      </w:r>
      <w:r>
        <w:rPr/>
        <w:t>central Mediterranean-associated component. The Orchestra local-ancestry framework reported a broad Italian category as the largest assignment in modern Ashkenazi genomes (Lerga-Jaso et al., 2025). Waldman et al. (2022) reported plausible medieval Erfurt models with a large South Italian proxy component, while Brace et al. (2022) presented a model in which a Sicilian proxy accounted for the largest component in medieval individuals from Norwich. These point estimates are model-dependent and should not be treated as a single ancestry census. Their value is the recurring regional ordering across methods and datasets.</w:t>
      </w:r>
    </w:p>
    <w:p>
      <w:pPr>
        <w:pStyle w:val="BodyText"/>
        <w:spacing w:line="259" w:lineRule="auto"/>
        <w:ind w:right="123"/>
      </w:pPr>
      <w:r>
        <w:rPr/>
        <w:t>Italian Jewish populations offer a particularly useful reciprocal comparison. Long-established Jewish communities existed in Southern Italy and Sicily before the documented emergence of Ashkenazi communities</w:t>
      </w:r>
      <w:r>
        <w:rPr>
          <w:spacing w:val="-2"/>
        </w:rPr>
        <w:t> </w:t>
      </w:r>
      <w:r>
        <w:rPr/>
        <w:t>north</w:t>
      </w:r>
      <w:r>
        <w:rPr>
          <w:spacing w:val="-1"/>
        </w:rPr>
        <w:t> </w:t>
      </w:r>
      <w:r>
        <w:rPr/>
        <w:t>of</w:t>
      </w:r>
      <w:r>
        <w:rPr>
          <w:spacing w:val="-1"/>
        </w:rPr>
        <w:t> </w:t>
      </w:r>
      <w:r>
        <w:rPr/>
        <w:t>the</w:t>
      </w:r>
      <w:r>
        <w:rPr>
          <w:spacing w:val="-2"/>
        </w:rPr>
        <w:t> </w:t>
      </w:r>
      <w:r>
        <w:rPr/>
        <w:t>Alps.</w:t>
      </w:r>
      <w:r>
        <w:rPr>
          <w:spacing w:val="-2"/>
        </w:rPr>
        <w:t> </w:t>
      </w:r>
      <w:r>
        <w:rPr/>
        <w:t>If</w:t>
      </w:r>
      <w:r>
        <w:rPr>
          <w:spacing w:val="-1"/>
        </w:rPr>
        <w:t> </w:t>
      </w:r>
      <w:r>
        <w:rPr/>
        <w:t>Ashkenazi</w:t>
      </w:r>
      <w:r>
        <w:rPr>
          <w:spacing w:val="-3"/>
        </w:rPr>
        <w:t> </w:t>
      </w:r>
      <w:r>
        <w:rPr/>
        <w:t>proximity</w:t>
      </w:r>
      <w:r>
        <w:rPr>
          <w:spacing w:val="-3"/>
        </w:rPr>
        <w:t> </w:t>
      </w:r>
      <w:r>
        <w:rPr/>
        <w:t>to</w:t>
      </w:r>
      <w:r>
        <w:rPr>
          <w:spacing w:val="-1"/>
        </w:rPr>
        <w:t> </w:t>
      </w:r>
      <w:r>
        <w:rPr/>
        <w:t>Italian</w:t>
      </w:r>
      <w:r>
        <w:rPr>
          <w:spacing w:val="-2"/>
        </w:rPr>
        <w:t> </w:t>
      </w:r>
      <w:r>
        <w:rPr/>
        <w:t>populations</w:t>
      </w:r>
      <w:r>
        <w:rPr>
          <w:spacing w:val="-2"/>
        </w:rPr>
        <w:t> </w:t>
      </w:r>
      <w:r>
        <w:rPr/>
        <w:t>were</w:t>
      </w:r>
      <w:r>
        <w:rPr>
          <w:spacing w:val="-4"/>
        </w:rPr>
        <w:t> </w:t>
      </w:r>
      <w:r>
        <w:rPr/>
        <w:t>created</w:t>
      </w:r>
      <w:r>
        <w:rPr>
          <w:spacing w:val="-2"/>
        </w:rPr>
        <w:t> </w:t>
      </w:r>
      <w:r>
        <w:rPr/>
        <w:t>primarily</w:t>
      </w:r>
      <w:r>
        <w:rPr>
          <w:spacing w:val="-3"/>
        </w:rPr>
        <w:t> </w:t>
      </w:r>
      <w:r>
        <w:rPr/>
        <w:t>by</w:t>
      </w:r>
      <w:r>
        <w:rPr>
          <w:spacing w:val="-3"/>
        </w:rPr>
        <w:t> </w:t>
      </w:r>
      <w:r>
        <w:rPr/>
        <w:t>later Central or Eastern European host admixture, an Italian Jewish target should not require the same central Mediterranean direction when Ashkenazi sources are excluded and Northern/Eastern European sources</w:t>
      </w:r>
      <w:r>
        <w:rPr>
          <w:spacing w:val="40"/>
        </w:rPr>
        <w:t> </w:t>
      </w:r>
      <w:r>
        <w:rPr/>
        <w:t>are allowed to compete. A reciprocal model therefore tests the narrow proxy claim without presuming that any present-day population is a literal ancestor.</w:t>
      </w:r>
    </w:p>
    <w:p>
      <w:pPr>
        <w:pStyle w:val="BodyText"/>
        <w:spacing w:line="259" w:lineRule="auto" w:before="97"/>
        <w:ind w:right="124"/>
      </w:pPr>
      <w:r>
        <w:rPr/>
        <w:t>PCA, qpAdm, clustering, and coordinate-based mixture methods answer different questions and are all sensitive to source choice. PCA describes covariance relative to included samples; qpAdm evaluates specified source and outgroup configurations; and constrained coordinate fitting represents a target using the source directions made available. None is reference-free. Global25 is used here only as a descriptive coordinate system for controlled source-panel perturbations. Its displayed coefficients have no formal confidence intervals and are not treated as historical ancestry percentages. The evidentiary focus is the response to matched panel changes: redistribution of fitted weights, deterioration of distance, reciprocal behavior, regional replication, full-dimensional geometry, and recovery of expected structure in positive </w:t>
      </w:r>
      <w:r>
        <w:rPr>
          <w:spacing w:val="-2"/>
        </w:rPr>
        <w:t>controls.</w:t>
      </w:r>
    </w:p>
    <w:p>
      <w:pPr>
        <w:pStyle w:val="BodyText"/>
        <w:spacing w:line="259" w:lineRule="auto" w:before="98"/>
        <w:ind w:left="132" w:right="122"/>
      </w:pPr>
      <w:r>
        <w:rPr/>
        <w:t>The study tests one primary hypothesis: the apparent Ashkenazi Europe-Levant cline is sensitive to omission of central Mediterranean comparators. The directional predictions are specified before interpreting the results. Restoring Italian Jewish and central Mediterranean sources should improve fit and absorb signal otherwise assigned to north-shifted Italian and Levantine proxies. Removing only Italki</w:t>
      </w:r>
      <w:r>
        <w:rPr>
          <w:spacing w:val="40"/>
        </w:rPr>
        <w:t> </w:t>
      </w:r>
      <w:r>
        <w:rPr/>
        <w:t>should transfer</w:t>
      </w:r>
      <w:r>
        <w:rPr>
          <w:spacing w:val="-2"/>
        </w:rPr>
        <w:t> </w:t>
      </w:r>
      <w:r>
        <w:rPr/>
        <w:t>much of its</w:t>
      </w:r>
      <w:r>
        <w:rPr>
          <w:spacing w:val="-3"/>
        </w:rPr>
        <w:t> </w:t>
      </w:r>
      <w:r>
        <w:rPr/>
        <w:t>weight to</w:t>
      </w:r>
      <w:r>
        <w:rPr>
          <w:spacing w:val="-2"/>
        </w:rPr>
        <w:t> </w:t>
      </w:r>
      <w:r>
        <w:rPr/>
        <w:t>genetically</w:t>
      </w:r>
      <w:r>
        <w:rPr>
          <w:spacing w:val="-2"/>
        </w:rPr>
        <w:t> </w:t>
      </w:r>
      <w:r>
        <w:rPr/>
        <w:t>related Mediterranean</w:t>
      </w:r>
      <w:r>
        <w:rPr>
          <w:spacing w:val="-3"/>
        </w:rPr>
        <w:t> </w:t>
      </w:r>
      <w:r>
        <w:rPr/>
        <w:t>sources</w:t>
      </w:r>
      <w:r>
        <w:rPr>
          <w:spacing w:val="-3"/>
        </w:rPr>
        <w:t> </w:t>
      </w:r>
      <w:r>
        <w:rPr/>
        <w:t>with a</w:t>
      </w:r>
      <w:r>
        <w:rPr>
          <w:spacing w:val="-1"/>
        </w:rPr>
        <w:t> </w:t>
      </w:r>
      <w:r>
        <w:rPr/>
        <w:t>moderate</w:t>
      </w:r>
      <w:r>
        <w:rPr>
          <w:spacing w:val="-1"/>
        </w:rPr>
        <w:t> </w:t>
      </w:r>
      <w:r>
        <w:rPr/>
        <w:t>fit penalty. Removing the wider central Mediterranean source space should produce a larger fit penalty and inflate</w:t>
      </w:r>
      <w:r>
        <w:rPr>
          <w:spacing w:val="80"/>
        </w:rPr>
        <w:t> </w:t>
      </w:r>
      <w:r>
        <w:rPr/>
        <w:t>both Lombardy and Levantine-continuity proxies. Reciprocal Italki models should retain central Mediterranean sources without requiring Northern/Eastern European sources. The pattern should persist across regional Ashkenazi targets, while ancient Levantine positive controls should recover strong local Levantine continuity.</w:t>
      </w:r>
    </w:p>
    <w:p>
      <w:pPr>
        <w:pStyle w:val="BodyText"/>
        <w:spacing w:before="4"/>
        <w:ind w:left="0" w:firstLine="0"/>
        <w:jc w:val="left"/>
        <w:rPr>
          <w:sz w:val="8"/>
        </w:rPr>
      </w:pPr>
    </w:p>
    <w:tbl>
      <w:tblPr>
        <w:tblW w:w="0" w:type="auto"/>
        <w:jc w:val="left"/>
        <w:tblInd w:w="431"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800"/>
        <w:gridCol w:w="3600"/>
        <w:gridCol w:w="3672"/>
      </w:tblGrid>
      <w:tr>
        <w:trPr>
          <w:trHeight w:val="246" w:hRule="atLeast"/>
          <w:tblHeader w:val="true"/>
        </w:trPr>
        <w:tc>
          <w:tcPr>
            <w:tcW w:w="1800" w:type="dxa"/>
            <w:shd w:val="clear" w:color="auto" w:fill="DDE6EF"/>
          </w:tcPr>
          <w:p>
            <w:pPr>
              <w:pStyle w:val="TableParagraph"/>
              <w:rPr>
                <w:sz w:val="16"/>
              </w:rPr>
            </w:pPr>
            <w:r>
              <w:rPr>
                <w:spacing w:val="-4"/>
                <w:sz w:val="16"/>
              </w:rPr>
              <w:t>Test</w:t>
            </w:r>
          </w:p>
        </w:tc>
        <w:tc>
          <w:tcPr>
            <w:tcW w:w="3600" w:type="dxa"/>
            <w:shd w:val="clear" w:color="auto" w:fill="DDE6EF"/>
          </w:tcPr>
          <w:p>
            <w:pPr>
              <w:pStyle w:val="TableParagraph"/>
              <w:rPr>
                <w:sz w:val="16"/>
              </w:rPr>
            </w:pPr>
            <w:r>
              <w:rPr>
                <w:sz w:val="16"/>
              </w:rPr>
              <w:t>Panel</w:t>
            </w:r>
            <w:r>
              <w:rPr>
                <w:spacing w:val="-5"/>
                <w:sz w:val="16"/>
              </w:rPr>
              <w:t> </w:t>
            </w:r>
            <w:r>
              <w:rPr>
                <w:sz w:val="16"/>
              </w:rPr>
              <w:t>change</w:t>
            </w:r>
            <w:r>
              <w:rPr>
                <w:spacing w:val="-2"/>
                <w:sz w:val="16"/>
              </w:rPr>
              <w:t> </w:t>
            </w:r>
            <w:r>
              <w:rPr>
                <w:sz w:val="16"/>
              </w:rPr>
              <w:t>or</w:t>
            </w:r>
            <w:r>
              <w:rPr>
                <w:spacing w:val="-2"/>
                <w:sz w:val="16"/>
              </w:rPr>
              <w:t> control</w:t>
            </w:r>
          </w:p>
        </w:tc>
        <w:tc>
          <w:tcPr>
            <w:tcW w:w="3672" w:type="dxa"/>
            <w:shd w:val="clear" w:color="auto" w:fill="DDE6EF"/>
          </w:tcPr>
          <w:p>
            <w:pPr>
              <w:pStyle w:val="TableParagraph"/>
              <w:rPr>
                <w:sz w:val="16"/>
              </w:rPr>
            </w:pPr>
            <w:r>
              <w:rPr>
                <w:sz w:val="16"/>
              </w:rPr>
              <w:t>Directional</w:t>
            </w:r>
            <w:r>
              <w:rPr>
                <w:spacing w:val="-7"/>
                <w:sz w:val="16"/>
              </w:rPr>
              <w:t> </w:t>
            </w:r>
            <w:r>
              <w:rPr>
                <w:spacing w:val="-2"/>
                <w:sz w:val="16"/>
              </w:rPr>
              <w:t>prediction</w:t>
            </w:r>
          </w:p>
        </w:tc>
      </w:tr>
      <w:tr>
        <w:trPr>
          <w:trHeight w:val="623" w:hRule="atLeast"/>
        </w:trPr>
        <w:tc>
          <w:tcPr>
            <w:tcW w:w="1800" w:type="dxa"/>
          </w:tcPr>
          <w:p>
            <w:pPr>
              <w:pStyle w:val="TableParagraph"/>
              <w:spacing w:before="123"/>
              <w:ind w:right="835"/>
              <w:rPr>
                <w:sz w:val="16"/>
              </w:rPr>
            </w:pPr>
            <w:r>
              <w:rPr>
                <w:sz w:val="16"/>
              </w:rPr>
              <w:t>Full</w:t>
            </w:r>
            <w:r>
              <w:rPr>
                <w:spacing w:val="-9"/>
                <w:sz w:val="16"/>
              </w:rPr>
              <w:t> </w:t>
            </w:r>
            <w:r>
              <w:rPr>
                <w:sz w:val="16"/>
              </w:rPr>
              <w:t>modern</w:t>
            </w:r>
            <w:r>
              <w:rPr>
                <w:spacing w:val="40"/>
                <w:sz w:val="16"/>
              </w:rPr>
              <w:t> </w:t>
            </w:r>
            <w:r>
              <w:rPr>
                <w:spacing w:val="-2"/>
                <w:sz w:val="16"/>
              </w:rPr>
              <w:t>competition</w:t>
            </w:r>
          </w:p>
        </w:tc>
        <w:tc>
          <w:tcPr>
            <w:tcW w:w="3600" w:type="dxa"/>
          </w:tcPr>
          <w:p>
            <w:pPr>
              <w:pStyle w:val="TableParagraph"/>
              <w:rPr>
                <w:sz w:val="16"/>
              </w:rPr>
            </w:pPr>
            <w:r>
              <w:rPr>
                <w:sz w:val="16"/>
              </w:rPr>
              <w:t>Italian</w:t>
            </w:r>
            <w:r>
              <w:rPr>
                <w:spacing w:val="-9"/>
                <w:sz w:val="16"/>
              </w:rPr>
              <w:t> </w:t>
            </w:r>
            <w:r>
              <w:rPr>
                <w:sz w:val="16"/>
              </w:rPr>
              <w:t>Jewish,</w:t>
            </w:r>
            <w:r>
              <w:rPr>
                <w:spacing w:val="-6"/>
                <w:sz w:val="16"/>
              </w:rPr>
              <w:t> </w:t>
            </w:r>
            <w:r>
              <w:rPr>
                <w:sz w:val="16"/>
              </w:rPr>
              <w:t>Southern</w:t>
            </w:r>
            <w:r>
              <w:rPr>
                <w:spacing w:val="-8"/>
                <w:sz w:val="16"/>
              </w:rPr>
              <w:t> </w:t>
            </w:r>
            <w:r>
              <w:rPr>
                <w:sz w:val="16"/>
              </w:rPr>
              <w:t>Italian,</w:t>
            </w:r>
            <w:r>
              <w:rPr>
                <w:spacing w:val="-6"/>
                <w:sz w:val="16"/>
              </w:rPr>
              <w:t> </w:t>
            </w:r>
            <w:r>
              <w:rPr>
                <w:sz w:val="16"/>
              </w:rPr>
              <w:t>Sicilian,</w:t>
            </w:r>
            <w:r>
              <w:rPr>
                <w:spacing w:val="-8"/>
                <w:sz w:val="16"/>
              </w:rPr>
              <w:t> </w:t>
            </w:r>
            <w:r>
              <w:rPr>
                <w:sz w:val="16"/>
              </w:rPr>
              <w:t>Maltese,</w:t>
            </w:r>
            <w:r>
              <w:rPr>
                <w:spacing w:val="40"/>
                <w:sz w:val="16"/>
              </w:rPr>
              <w:t> </w:t>
            </w:r>
            <w:r>
              <w:rPr>
                <w:sz w:val="16"/>
              </w:rPr>
              <w:t>Aegean, Lombardy, Levantine, and</w:t>
            </w:r>
            <w:r>
              <w:rPr>
                <w:spacing w:val="40"/>
                <w:sz w:val="16"/>
              </w:rPr>
              <w:t> </w:t>
            </w:r>
            <w:r>
              <w:rPr>
                <w:sz w:val="16"/>
              </w:rPr>
              <w:t>Northern/Eastern European sources compete</w:t>
            </w:r>
          </w:p>
        </w:tc>
        <w:tc>
          <w:tcPr>
            <w:tcW w:w="3672" w:type="dxa"/>
          </w:tcPr>
          <w:p>
            <w:pPr>
              <w:pStyle w:val="TableParagraph"/>
              <w:ind w:right="227"/>
              <w:jc w:val="both"/>
              <w:rPr>
                <w:sz w:val="16"/>
              </w:rPr>
            </w:pPr>
            <w:r>
              <w:rPr>
                <w:sz w:val="16"/>
              </w:rPr>
              <w:t>The</w:t>
            </w:r>
            <w:r>
              <w:rPr>
                <w:spacing w:val="-2"/>
                <w:sz w:val="16"/>
              </w:rPr>
              <w:t> </w:t>
            </w:r>
            <w:r>
              <w:rPr>
                <w:sz w:val="16"/>
              </w:rPr>
              <w:t>largest</w:t>
            </w:r>
            <w:r>
              <w:rPr>
                <w:spacing w:val="-2"/>
                <w:sz w:val="16"/>
              </w:rPr>
              <w:t> </w:t>
            </w:r>
            <w:r>
              <w:rPr>
                <w:sz w:val="16"/>
              </w:rPr>
              <w:t>fitted</w:t>
            </w:r>
            <w:r>
              <w:rPr>
                <w:spacing w:val="-3"/>
                <w:sz w:val="16"/>
              </w:rPr>
              <w:t> </w:t>
            </w:r>
            <w:r>
              <w:rPr>
                <w:sz w:val="16"/>
              </w:rPr>
              <w:t>direction</w:t>
            </w:r>
            <w:r>
              <w:rPr>
                <w:spacing w:val="-6"/>
                <w:sz w:val="16"/>
              </w:rPr>
              <w:t> </w:t>
            </w:r>
            <w:r>
              <w:rPr>
                <w:sz w:val="16"/>
              </w:rPr>
              <w:t>should</w:t>
            </w:r>
            <w:r>
              <w:rPr>
                <w:spacing w:val="-3"/>
                <w:sz w:val="16"/>
              </w:rPr>
              <w:t> </w:t>
            </w:r>
            <w:r>
              <w:rPr>
                <w:sz w:val="16"/>
              </w:rPr>
              <w:t>fall</w:t>
            </w:r>
            <w:r>
              <w:rPr>
                <w:spacing w:val="-3"/>
                <w:sz w:val="16"/>
              </w:rPr>
              <w:t> </w:t>
            </w:r>
            <w:r>
              <w:rPr>
                <w:sz w:val="16"/>
              </w:rPr>
              <w:t>within</w:t>
            </w:r>
            <w:r>
              <w:rPr>
                <w:spacing w:val="-4"/>
                <w:sz w:val="16"/>
              </w:rPr>
              <w:t> </w:t>
            </w:r>
            <w:r>
              <w:rPr>
                <w:sz w:val="16"/>
              </w:rPr>
              <w:t>the</w:t>
            </w:r>
            <w:r>
              <w:rPr>
                <w:spacing w:val="40"/>
                <w:sz w:val="16"/>
              </w:rPr>
              <w:t> </w:t>
            </w:r>
            <w:r>
              <w:rPr>
                <w:sz w:val="16"/>
              </w:rPr>
              <w:t>Italian</w:t>
            </w:r>
            <w:r>
              <w:rPr>
                <w:spacing w:val="-7"/>
                <w:sz w:val="16"/>
              </w:rPr>
              <w:t> </w:t>
            </w:r>
            <w:r>
              <w:rPr>
                <w:sz w:val="16"/>
              </w:rPr>
              <w:t>Jewish</w:t>
            </w:r>
            <w:r>
              <w:rPr>
                <w:spacing w:val="-4"/>
                <w:sz w:val="16"/>
              </w:rPr>
              <w:t> </w:t>
            </w:r>
            <w:r>
              <w:rPr>
                <w:sz w:val="16"/>
              </w:rPr>
              <w:t>and</w:t>
            </w:r>
            <w:r>
              <w:rPr>
                <w:spacing w:val="-7"/>
                <w:sz w:val="16"/>
              </w:rPr>
              <w:t> </w:t>
            </w:r>
            <w:r>
              <w:rPr>
                <w:sz w:val="16"/>
              </w:rPr>
              <w:t>central</w:t>
            </w:r>
            <w:r>
              <w:rPr>
                <w:spacing w:val="-7"/>
                <w:sz w:val="16"/>
              </w:rPr>
              <w:t> </w:t>
            </w:r>
            <w:r>
              <w:rPr>
                <w:sz w:val="16"/>
              </w:rPr>
              <w:t>Mediterranean</w:t>
            </w:r>
            <w:r>
              <w:rPr>
                <w:spacing w:val="-5"/>
                <w:sz w:val="16"/>
              </w:rPr>
              <w:t> </w:t>
            </w:r>
            <w:r>
              <w:rPr>
                <w:sz w:val="16"/>
              </w:rPr>
              <w:t>block</w:t>
            </w:r>
            <w:r>
              <w:rPr>
                <w:spacing w:val="-6"/>
                <w:sz w:val="16"/>
              </w:rPr>
              <w:t> </w:t>
            </w:r>
            <w:r>
              <w:rPr>
                <w:sz w:val="16"/>
              </w:rPr>
              <w:t>if</w:t>
            </w:r>
            <w:r>
              <w:rPr>
                <w:spacing w:val="40"/>
                <w:sz w:val="16"/>
              </w:rPr>
              <w:t> </w:t>
            </w:r>
            <w:r>
              <w:rPr>
                <w:sz w:val="16"/>
              </w:rPr>
              <w:t>that space is directly relevant.</w:t>
            </w:r>
          </w:p>
        </w:tc>
      </w:tr>
    </w:tbl>
    <w:p>
      <w:pPr>
        <w:pStyle w:val="TableParagraph"/>
        <w:spacing w:after="0"/>
        <w:jc w:val="both"/>
        <w:rPr>
          <w:sz w:val="16"/>
        </w:rPr>
        <w:sectPr>
          <w:pgSz w:w="11910" w:h="16840"/>
          <w:pgMar w:header="390" w:footer="444" w:top="940" w:bottom="640" w:left="992" w:right="992"/>
        </w:sectPr>
      </w:pPr>
    </w:p>
    <w:p>
      <w:pPr>
        <w:pStyle w:val="BodyText"/>
        <w:spacing w:before="8"/>
        <w:ind w:left="0" w:firstLine="0"/>
        <w:jc w:val="left"/>
        <w:rPr>
          <w:sz w:val="7"/>
        </w:rPr>
      </w:pPr>
    </w:p>
    <w:tbl>
      <w:tblPr>
        <w:tblW w:w="0" w:type="auto"/>
        <w:jc w:val="left"/>
        <w:tblInd w:w="431"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800"/>
        <w:gridCol w:w="3600"/>
        <w:gridCol w:w="3672"/>
      </w:tblGrid>
      <w:tr>
        <w:trPr>
          <w:trHeight w:val="246" w:hRule="atLeast"/>
          <w:tblHeader w:val="true"/>
        </w:trPr>
        <w:tc>
          <w:tcPr>
            <w:tcW w:w="1800" w:type="dxa"/>
            <w:shd w:val="clear" w:color="auto" w:fill="DDE6EF"/>
          </w:tcPr>
          <w:p>
            <w:pPr>
              <w:pStyle w:val="TableParagraph"/>
              <w:rPr>
                <w:sz w:val="16"/>
              </w:rPr>
            </w:pPr>
            <w:r>
              <w:rPr>
                <w:spacing w:val="-4"/>
                <w:sz w:val="16"/>
              </w:rPr>
              <w:t>Test</w:t>
            </w:r>
          </w:p>
        </w:tc>
        <w:tc>
          <w:tcPr>
            <w:tcW w:w="3600" w:type="dxa"/>
            <w:shd w:val="clear" w:color="auto" w:fill="DDE6EF"/>
          </w:tcPr>
          <w:p>
            <w:pPr>
              <w:pStyle w:val="TableParagraph"/>
              <w:rPr>
                <w:sz w:val="16"/>
              </w:rPr>
            </w:pPr>
            <w:r>
              <w:rPr>
                <w:sz w:val="16"/>
              </w:rPr>
              <w:t>Panel</w:t>
            </w:r>
            <w:r>
              <w:rPr>
                <w:spacing w:val="-5"/>
                <w:sz w:val="16"/>
              </w:rPr>
              <w:t> </w:t>
            </w:r>
            <w:r>
              <w:rPr>
                <w:sz w:val="16"/>
              </w:rPr>
              <w:t>change</w:t>
            </w:r>
            <w:r>
              <w:rPr>
                <w:spacing w:val="-2"/>
                <w:sz w:val="16"/>
              </w:rPr>
              <w:t> </w:t>
            </w:r>
            <w:r>
              <w:rPr>
                <w:sz w:val="16"/>
              </w:rPr>
              <w:t>or</w:t>
            </w:r>
            <w:r>
              <w:rPr>
                <w:spacing w:val="-2"/>
                <w:sz w:val="16"/>
              </w:rPr>
              <w:t> control</w:t>
            </w:r>
          </w:p>
        </w:tc>
        <w:tc>
          <w:tcPr>
            <w:tcW w:w="3672" w:type="dxa"/>
            <w:shd w:val="clear" w:color="auto" w:fill="DDE6EF"/>
          </w:tcPr>
          <w:p>
            <w:pPr>
              <w:pStyle w:val="TableParagraph"/>
              <w:rPr>
                <w:sz w:val="16"/>
              </w:rPr>
            </w:pPr>
            <w:r>
              <w:rPr>
                <w:sz w:val="16"/>
              </w:rPr>
              <w:t>Directional</w:t>
            </w:r>
            <w:r>
              <w:rPr>
                <w:spacing w:val="-7"/>
                <w:sz w:val="16"/>
              </w:rPr>
              <w:t> </w:t>
            </w:r>
            <w:r>
              <w:rPr>
                <w:spacing w:val="-2"/>
                <w:sz w:val="16"/>
              </w:rPr>
              <w:t>prediction</w:t>
            </w:r>
          </w:p>
        </w:tc>
      </w:tr>
      <w:tr>
        <w:trPr>
          <w:trHeight w:val="623" w:hRule="atLeast"/>
        </w:trPr>
        <w:tc>
          <w:tcPr>
            <w:tcW w:w="1800" w:type="dxa"/>
          </w:tcPr>
          <w:p>
            <w:pPr>
              <w:pStyle w:val="TableParagraph"/>
              <w:spacing w:before="32"/>
              <w:ind w:left="0"/>
              <w:rPr>
                <w:sz w:val="16"/>
              </w:rPr>
            </w:pPr>
          </w:p>
          <w:p>
            <w:pPr>
              <w:pStyle w:val="TableParagraph"/>
              <w:spacing w:before="0"/>
              <w:rPr>
                <w:sz w:val="16"/>
              </w:rPr>
            </w:pPr>
            <w:r>
              <w:rPr>
                <w:sz w:val="16"/>
              </w:rPr>
              <w:t>Italki</w:t>
            </w:r>
            <w:r>
              <w:rPr>
                <w:spacing w:val="-7"/>
                <w:sz w:val="16"/>
              </w:rPr>
              <w:t> </w:t>
            </w:r>
            <w:r>
              <w:rPr>
                <w:spacing w:val="-2"/>
                <w:sz w:val="16"/>
              </w:rPr>
              <w:t>omission</w:t>
            </w:r>
          </w:p>
        </w:tc>
        <w:tc>
          <w:tcPr>
            <w:tcW w:w="3600" w:type="dxa"/>
          </w:tcPr>
          <w:p>
            <w:pPr>
              <w:pStyle w:val="TableParagraph"/>
              <w:spacing w:before="123"/>
              <w:rPr>
                <w:sz w:val="16"/>
              </w:rPr>
            </w:pPr>
            <w:r>
              <w:rPr>
                <w:sz w:val="16"/>
              </w:rPr>
              <w:t>Remove</w:t>
            </w:r>
            <w:r>
              <w:rPr>
                <w:spacing w:val="-7"/>
                <w:sz w:val="16"/>
              </w:rPr>
              <w:t> </w:t>
            </w:r>
            <w:r>
              <w:rPr>
                <w:sz w:val="16"/>
              </w:rPr>
              <w:t>only</w:t>
            </w:r>
            <w:r>
              <w:rPr>
                <w:spacing w:val="-8"/>
                <w:sz w:val="16"/>
              </w:rPr>
              <w:t> </w:t>
            </w:r>
            <w:r>
              <w:rPr>
                <w:sz w:val="16"/>
              </w:rPr>
              <w:t>the</w:t>
            </w:r>
            <w:r>
              <w:rPr>
                <w:spacing w:val="-5"/>
                <w:sz w:val="16"/>
              </w:rPr>
              <w:t> </w:t>
            </w:r>
            <w:r>
              <w:rPr>
                <w:sz w:val="16"/>
              </w:rPr>
              <w:t>Italki</w:t>
            </w:r>
            <w:r>
              <w:rPr>
                <w:spacing w:val="-5"/>
                <w:sz w:val="16"/>
              </w:rPr>
              <w:t> </w:t>
            </w:r>
            <w:r>
              <w:rPr>
                <w:sz w:val="16"/>
              </w:rPr>
              <w:t>source</w:t>
            </w:r>
            <w:r>
              <w:rPr>
                <w:spacing w:val="-5"/>
                <w:sz w:val="16"/>
              </w:rPr>
              <w:t> </w:t>
            </w:r>
            <w:r>
              <w:rPr>
                <w:sz w:val="16"/>
              </w:rPr>
              <w:t>while</w:t>
            </w:r>
            <w:r>
              <w:rPr>
                <w:spacing w:val="-7"/>
                <w:sz w:val="16"/>
              </w:rPr>
              <w:t> </w:t>
            </w:r>
            <w:r>
              <w:rPr>
                <w:sz w:val="16"/>
              </w:rPr>
              <w:t>retaining</w:t>
            </w:r>
            <w:r>
              <w:rPr>
                <w:spacing w:val="40"/>
                <w:sz w:val="16"/>
              </w:rPr>
              <w:t> </w:t>
            </w:r>
            <w:r>
              <w:rPr>
                <w:sz w:val="16"/>
              </w:rPr>
              <w:t>related Mediterranean sources</w:t>
            </w:r>
          </w:p>
        </w:tc>
        <w:tc>
          <w:tcPr>
            <w:tcW w:w="3672" w:type="dxa"/>
          </w:tcPr>
          <w:p>
            <w:pPr>
              <w:pStyle w:val="TableParagraph"/>
              <w:ind w:right="102"/>
              <w:rPr>
                <w:sz w:val="16"/>
              </w:rPr>
            </w:pPr>
            <w:r>
              <w:rPr>
                <w:sz w:val="16"/>
              </w:rPr>
              <w:t>Most displaced weight should transfer to related</w:t>
            </w:r>
            <w:r>
              <w:rPr>
                <w:spacing w:val="40"/>
                <w:sz w:val="16"/>
              </w:rPr>
              <w:t> </w:t>
            </w:r>
            <w:r>
              <w:rPr>
                <w:sz w:val="16"/>
              </w:rPr>
              <w:t>Mediterranean</w:t>
            </w:r>
            <w:r>
              <w:rPr>
                <w:spacing w:val="-8"/>
                <w:sz w:val="16"/>
              </w:rPr>
              <w:t> </w:t>
            </w:r>
            <w:r>
              <w:rPr>
                <w:sz w:val="16"/>
              </w:rPr>
              <w:t>sources,</w:t>
            </w:r>
            <w:r>
              <w:rPr>
                <w:spacing w:val="-8"/>
                <w:sz w:val="16"/>
              </w:rPr>
              <w:t> </w:t>
            </w:r>
            <w:r>
              <w:rPr>
                <w:sz w:val="16"/>
              </w:rPr>
              <w:t>with</w:t>
            </w:r>
            <w:r>
              <w:rPr>
                <w:spacing w:val="-9"/>
                <w:sz w:val="16"/>
              </w:rPr>
              <w:t> </w:t>
            </w:r>
            <w:r>
              <w:rPr>
                <w:sz w:val="16"/>
              </w:rPr>
              <w:t>a</w:t>
            </w:r>
            <w:r>
              <w:rPr>
                <w:spacing w:val="-6"/>
                <w:sz w:val="16"/>
              </w:rPr>
              <w:t> </w:t>
            </w:r>
            <w:r>
              <w:rPr>
                <w:sz w:val="16"/>
              </w:rPr>
              <w:t>moderate</w:t>
            </w:r>
            <w:r>
              <w:rPr>
                <w:spacing w:val="-8"/>
                <w:sz w:val="16"/>
              </w:rPr>
              <w:t> </w:t>
            </w:r>
            <w:r>
              <w:rPr>
                <w:sz w:val="16"/>
              </w:rPr>
              <w:t>increase</w:t>
            </w:r>
            <w:r>
              <w:rPr>
                <w:spacing w:val="40"/>
                <w:sz w:val="16"/>
              </w:rPr>
              <w:t> </w:t>
            </w:r>
            <w:r>
              <w:rPr>
                <w:sz w:val="16"/>
              </w:rPr>
              <w:t>in</w:t>
            </w:r>
            <w:r>
              <w:rPr>
                <w:spacing w:val="-7"/>
                <w:sz w:val="16"/>
              </w:rPr>
              <w:t> </w:t>
            </w:r>
            <w:r>
              <w:rPr>
                <w:sz w:val="16"/>
              </w:rPr>
              <w:t>distance.</w:t>
            </w:r>
          </w:p>
        </w:tc>
      </w:tr>
      <w:tr>
        <w:trPr>
          <w:trHeight w:val="623" w:hRule="atLeast"/>
        </w:trPr>
        <w:tc>
          <w:tcPr>
            <w:tcW w:w="1800" w:type="dxa"/>
          </w:tcPr>
          <w:p>
            <w:pPr>
              <w:pStyle w:val="TableParagraph"/>
              <w:spacing w:before="29"/>
              <w:ind w:left="0"/>
              <w:rPr>
                <w:sz w:val="16"/>
              </w:rPr>
            </w:pPr>
          </w:p>
          <w:p>
            <w:pPr>
              <w:pStyle w:val="TableParagraph"/>
              <w:spacing w:before="0"/>
              <w:rPr>
                <w:sz w:val="16"/>
              </w:rPr>
            </w:pPr>
            <w:r>
              <w:rPr>
                <w:sz w:val="16"/>
              </w:rPr>
              <w:t>Wider</w:t>
            </w:r>
            <w:r>
              <w:rPr>
                <w:spacing w:val="-6"/>
                <w:sz w:val="16"/>
              </w:rPr>
              <w:t> </w:t>
            </w:r>
            <w:r>
              <w:rPr>
                <w:spacing w:val="-2"/>
                <w:sz w:val="16"/>
              </w:rPr>
              <w:t>omission</w:t>
            </w:r>
          </w:p>
        </w:tc>
        <w:tc>
          <w:tcPr>
            <w:tcW w:w="3600" w:type="dxa"/>
          </w:tcPr>
          <w:p>
            <w:pPr>
              <w:pStyle w:val="TableParagraph"/>
              <w:spacing w:before="123"/>
              <w:rPr>
                <w:sz w:val="16"/>
              </w:rPr>
            </w:pPr>
            <w:r>
              <w:rPr>
                <w:sz w:val="16"/>
              </w:rPr>
              <w:t>Remove</w:t>
            </w:r>
            <w:r>
              <w:rPr>
                <w:spacing w:val="-7"/>
                <w:sz w:val="16"/>
              </w:rPr>
              <w:t> </w:t>
            </w:r>
            <w:r>
              <w:rPr>
                <w:sz w:val="16"/>
              </w:rPr>
              <w:t>Italki,</w:t>
            </w:r>
            <w:r>
              <w:rPr>
                <w:spacing w:val="-7"/>
                <w:sz w:val="16"/>
              </w:rPr>
              <w:t> </w:t>
            </w:r>
            <w:r>
              <w:rPr>
                <w:sz w:val="16"/>
              </w:rPr>
              <w:t>Southern</w:t>
            </w:r>
            <w:r>
              <w:rPr>
                <w:spacing w:val="-8"/>
                <w:sz w:val="16"/>
              </w:rPr>
              <w:t> </w:t>
            </w:r>
            <w:r>
              <w:rPr>
                <w:sz w:val="16"/>
              </w:rPr>
              <w:t>Italian,</w:t>
            </w:r>
            <w:r>
              <w:rPr>
                <w:spacing w:val="-8"/>
                <w:sz w:val="16"/>
              </w:rPr>
              <w:t> </w:t>
            </w:r>
            <w:r>
              <w:rPr>
                <w:sz w:val="16"/>
              </w:rPr>
              <w:t>Sicilian,</w:t>
            </w:r>
            <w:r>
              <w:rPr>
                <w:spacing w:val="-7"/>
                <w:sz w:val="16"/>
              </w:rPr>
              <w:t> </w:t>
            </w:r>
            <w:r>
              <w:rPr>
                <w:sz w:val="16"/>
              </w:rPr>
              <w:t>Maltese,</w:t>
            </w:r>
            <w:r>
              <w:rPr>
                <w:spacing w:val="40"/>
                <w:sz w:val="16"/>
              </w:rPr>
              <w:t> </w:t>
            </w:r>
            <w:r>
              <w:rPr>
                <w:sz w:val="16"/>
              </w:rPr>
              <w:t>and Aegean sources</w:t>
            </w:r>
          </w:p>
        </w:tc>
        <w:tc>
          <w:tcPr>
            <w:tcW w:w="3672" w:type="dxa"/>
          </w:tcPr>
          <w:p>
            <w:pPr>
              <w:pStyle w:val="TableParagraph"/>
              <w:rPr>
                <w:sz w:val="16"/>
              </w:rPr>
            </w:pPr>
            <w:r>
              <w:rPr>
                <w:sz w:val="16"/>
              </w:rPr>
              <w:t>Lombardy and Levantine proxies should absorb</w:t>
            </w:r>
            <w:r>
              <w:rPr>
                <w:spacing w:val="40"/>
                <w:sz w:val="16"/>
              </w:rPr>
              <w:t> </w:t>
            </w:r>
            <w:r>
              <w:rPr>
                <w:sz w:val="16"/>
              </w:rPr>
              <w:t>omitted</w:t>
            </w:r>
            <w:r>
              <w:rPr>
                <w:spacing w:val="-7"/>
                <w:sz w:val="16"/>
              </w:rPr>
              <w:t> </w:t>
            </w:r>
            <w:r>
              <w:rPr>
                <w:sz w:val="16"/>
              </w:rPr>
              <w:t>signal,</w:t>
            </w:r>
            <w:r>
              <w:rPr>
                <w:spacing w:val="-3"/>
                <w:sz w:val="16"/>
              </w:rPr>
              <w:t> </w:t>
            </w:r>
            <w:r>
              <w:rPr>
                <w:sz w:val="16"/>
              </w:rPr>
              <w:t>and</w:t>
            </w:r>
            <w:r>
              <w:rPr>
                <w:spacing w:val="-7"/>
                <w:sz w:val="16"/>
              </w:rPr>
              <w:t> </w:t>
            </w:r>
            <w:r>
              <w:rPr>
                <w:sz w:val="16"/>
              </w:rPr>
              <w:t>distance</w:t>
            </w:r>
            <w:r>
              <w:rPr>
                <w:spacing w:val="-5"/>
                <w:sz w:val="16"/>
              </w:rPr>
              <w:t> </w:t>
            </w:r>
            <w:r>
              <w:rPr>
                <w:sz w:val="16"/>
              </w:rPr>
              <w:t>should</w:t>
            </w:r>
            <w:r>
              <w:rPr>
                <w:spacing w:val="-7"/>
                <w:sz w:val="16"/>
              </w:rPr>
              <w:t> </w:t>
            </w:r>
            <w:r>
              <w:rPr>
                <w:sz w:val="16"/>
              </w:rPr>
              <w:t>worsen</w:t>
            </w:r>
            <w:r>
              <w:rPr>
                <w:spacing w:val="-7"/>
                <w:sz w:val="16"/>
              </w:rPr>
              <w:t> </w:t>
            </w:r>
            <w:r>
              <w:rPr>
                <w:sz w:val="16"/>
              </w:rPr>
              <w:t>more</w:t>
            </w:r>
            <w:r>
              <w:rPr>
                <w:spacing w:val="40"/>
                <w:sz w:val="16"/>
              </w:rPr>
              <w:t> </w:t>
            </w:r>
            <w:r>
              <w:rPr>
                <w:spacing w:val="-2"/>
                <w:sz w:val="16"/>
              </w:rPr>
              <w:t>strongly.</w:t>
            </w:r>
          </w:p>
        </w:tc>
      </w:tr>
      <w:tr>
        <w:trPr>
          <w:trHeight w:val="621" w:hRule="atLeast"/>
        </w:trPr>
        <w:tc>
          <w:tcPr>
            <w:tcW w:w="1800" w:type="dxa"/>
          </w:tcPr>
          <w:p>
            <w:pPr>
              <w:pStyle w:val="TableParagraph"/>
              <w:spacing w:before="29"/>
              <w:ind w:left="0"/>
              <w:rPr>
                <w:sz w:val="16"/>
              </w:rPr>
            </w:pPr>
          </w:p>
          <w:p>
            <w:pPr>
              <w:pStyle w:val="TableParagraph"/>
              <w:spacing w:before="0"/>
              <w:rPr>
                <w:sz w:val="16"/>
              </w:rPr>
            </w:pPr>
            <w:r>
              <w:rPr>
                <w:sz w:val="16"/>
              </w:rPr>
              <w:t>Reciprocal</w:t>
            </w:r>
            <w:r>
              <w:rPr>
                <w:spacing w:val="-8"/>
                <w:sz w:val="16"/>
              </w:rPr>
              <w:t> </w:t>
            </w:r>
            <w:r>
              <w:rPr>
                <w:spacing w:val="-2"/>
                <w:sz w:val="16"/>
              </w:rPr>
              <w:t>comparator</w:t>
            </w:r>
          </w:p>
        </w:tc>
        <w:tc>
          <w:tcPr>
            <w:tcW w:w="3600" w:type="dxa"/>
          </w:tcPr>
          <w:p>
            <w:pPr>
              <w:pStyle w:val="TableParagraph"/>
              <w:spacing w:before="123"/>
              <w:ind w:right="148"/>
              <w:rPr>
                <w:sz w:val="16"/>
              </w:rPr>
            </w:pPr>
            <w:r>
              <w:rPr>
                <w:sz w:val="16"/>
              </w:rPr>
              <w:t>Model</w:t>
            </w:r>
            <w:r>
              <w:rPr>
                <w:spacing w:val="-6"/>
                <w:sz w:val="16"/>
              </w:rPr>
              <w:t> </w:t>
            </w:r>
            <w:r>
              <w:rPr>
                <w:sz w:val="16"/>
              </w:rPr>
              <w:t>Italki</w:t>
            </w:r>
            <w:r>
              <w:rPr>
                <w:spacing w:val="-6"/>
                <w:sz w:val="16"/>
              </w:rPr>
              <w:t> </w:t>
            </w:r>
            <w:r>
              <w:rPr>
                <w:sz w:val="16"/>
              </w:rPr>
              <w:t>as</w:t>
            </w:r>
            <w:r>
              <w:rPr>
                <w:spacing w:val="-8"/>
                <w:sz w:val="16"/>
              </w:rPr>
              <w:t> </w:t>
            </w:r>
            <w:r>
              <w:rPr>
                <w:sz w:val="16"/>
              </w:rPr>
              <w:t>the</w:t>
            </w:r>
            <w:r>
              <w:rPr>
                <w:spacing w:val="-7"/>
                <w:sz w:val="16"/>
              </w:rPr>
              <w:t> </w:t>
            </w:r>
            <w:r>
              <w:rPr>
                <w:sz w:val="16"/>
              </w:rPr>
              <w:t>target</w:t>
            </w:r>
            <w:r>
              <w:rPr>
                <w:spacing w:val="-6"/>
                <w:sz w:val="16"/>
              </w:rPr>
              <w:t> </w:t>
            </w:r>
            <w:r>
              <w:rPr>
                <w:sz w:val="16"/>
              </w:rPr>
              <w:t>while</w:t>
            </w:r>
            <w:r>
              <w:rPr>
                <w:spacing w:val="-6"/>
                <w:sz w:val="16"/>
              </w:rPr>
              <w:t> </w:t>
            </w:r>
            <w:r>
              <w:rPr>
                <w:sz w:val="16"/>
              </w:rPr>
              <w:t>excluding</w:t>
            </w:r>
            <w:r>
              <w:rPr>
                <w:spacing w:val="40"/>
                <w:sz w:val="16"/>
              </w:rPr>
              <w:t> </w:t>
            </w:r>
            <w:r>
              <w:rPr>
                <w:sz w:val="16"/>
              </w:rPr>
              <w:t>Ashkenazi</w:t>
            </w:r>
            <w:r>
              <w:rPr>
                <w:spacing w:val="-7"/>
                <w:sz w:val="16"/>
              </w:rPr>
              <w:t> </w:t>
            </w:r>
            <w:r>
              <w:rPr>
                <w:sz w:val="16"/>
              </w:rPr>
              <w:t>sources</w:t>
            </w:r>
          </w:p>
        </w:tc>
        <w:tc>
          <w:tcPr>
            <w:tcW w:w="3672" w:type="dxa"/>
          </w:tcPr>
          <w:p>
            <w:pPr>
              <w:pStyle w:val="TableParagraph"/>
              <w:ind w:right="102"/>
              <w:rPr>
                <w:sz w:val="16"/>
              </w:rPr>
            </w:pPr>
            <w:r>
              <w:rPr>
                <w:sz w:val="16"/>
              </w:rPr>
              <w:t>Central</w:t>
            </w:r>
            <w:r>
              <w:rPr>
                <w:spacing w:val="-9"/>
                <w:sz w:val="16"/>
              </w:rPr>
              <w:t> </w:t>
            </w:r>
            <w:r>
              <w:rPr>
                <w:sz w:val="16"/>
              </w:rPr>
              <w:t>Mediterranean</w:t>
            </w:r>
            <w:r>
              <w:rPr>
                <w:spacing w:val="-9"/>
                <w:sz w:val="16"/>
              </w:rPr>
              <w:t> </w:t>
            </w:r>
            <w:r>
              <w:rPr>
                <w:sz w:val="16"/>
              </w:rPr>
              <w:t>sources</w:t>
            </w:r>
            <w:r>
              <w:rPr>
                <w:spacing w:val="-9"/>
                <w:sz w:val="16"/>
              </w:rPr>
              <w:t> </w:t>
            </w:r>
            <w:r>
              <w:rPr>
                <w:sz w:val="16"/>
              </w:rPr>
              <w:t>should</w:t>
            </w:r>
            <w:r>
              <w:rPr>
                <w:spacing w:val="-7"/>
                <w:sz w:val="16"/>
              </w:rPr>
              <w:t> </w:t>
            </w:r>
            <w:r>
              <w:rPr>
                <w:sz w:val="16"/>
              </w:rPr>
              <w:t>remain</w:t>
            </w:r>
            <w:r>
              <w:rPr>
                <w:spacing w:val="40"/>
                <w:sz w:val="16"/>
              </w:rPr>
              <w:t> </w:t>
            </w:r>
            <w:r>
              <w:rPr>
                <w:sz w:val="16"/>
              </w:rPr>
              <w:t>sufficient without later Northern/Eastern</w:t>
            </w:r>
            <w:r>
              <w:rPr>
                <w:spacing w:val="40"/>
                <w:sz w:val="16"/>
              </w:rPr>
              <w:t> </w:t>
            </w:r>
            <w:r>
              <w:rPr>
                <w:sz w:val="16"/>
              </w:rPr>
              <w:t>European host sources.</w:t>
            </w:r>
          </w:p>
        </w:tc>
      </w:tr>
      <w:tr>
        <w:trPr>
          <w:trHeight w:val="436" w:hRule="atLeast"/>
        </w:trPr>
        <w:tc>
          <w:tcPr>
            <w:tcW w:w="1800" w:type="dxa"/>
          </w:tcPr>
          <w:p>
            <w:pPr>
              <w:pStyle w:val="TableParagraph"/>
              <w:spacing w:before="126"/>
              <w:rPr>
                <w:sz w:val="16"/>
              </w:rPr>
            </w:pPr>
            <w:r>
              <w:rPr>
                <w:sz w:val="16"/>
              </w:rPr>
              <w:t>Regional</w:t>
            </w:r>
            <w:r>
              <w:rPr>
                <w:spacing w:val="-6"/>
                <w:sz w:val="16"/>
              </w:rPr>
              <w:t> </w:t>
            </w:r>
            <w:r>
              <w:rPr>
                <w:spacing w:val="-2"/>
                <w:sz w:val="16"/>
              </w:rPr>
              <w:t>replication</w:t>
            </w:r>
          </w:p>
        </w:tc>
        <w:tc>
          <w:tcPr>
            <w:tcW w:w="3600" w:type="dxa"/>
          </w:tcPr>
          <w:p>
            <w:pPr>
              <w:pStyle w:val="TableParagraph"/>
              <w:rPr>
                <w:sz w:val="16"/>
              </w:rPr>
            </w:pPr>
            <w:r>
              <w:rPr>
                <w:sz w:val="16"/>
              </w:rPr>
              <w:t>Repeat</w:t>
            </w:r>
            <w:r>
              <w:rPr>
                <w:spacing w:val="-6"/>
                <w:sz w:val="16"/>
              </w:rPr>
              <w:t> </w:t>
            </w:r>
            <w:r>
              <w:rPr>
                <w:sz w:val="16"/>
              </w:rPr>
              <w:t>the</w:t>
            </w:r>
            <w:r>
              <w:rPr>
                <w:spacing w:val="-6"/>
                <w:sz w:val="16"/>
              </w:rPr>
              <w:t> </w:t>
            </w:r>
            <w:r>
              <w:rPr>
                <w:sz w:val="16"/>
              </w:rPr>
              <w:t>expanded</w:t>
            </w:r>
            <w:r>
              <w:rPr>
                <w:spacing w:val="-5"/>
                <w:sz w:val="16"/>
              </w:rPr>
              <w:t> </w:t>
            </w:r>
            <w:r>
              <w:rPr>
                <w:sz w:val="16"/>
              </w:rPr>
              <w:t>panel</w:t>
            </w:r>
            <w:r>
              <w:rPr>
                <w:spacing w:val="-5"/>
                <w:sz w:val="16"/>
              </w:rPr>
              <w:t> </w:t>
            </w:r>
            <w:r>
              <w:rPr>
                <w:sz w:val="16"/>
              </w:rPr>
              <w:t>for</w:t>
            </w:r>
            <w:r>
              <w:rPr>
                <w:spacing w:val="-6"/>
                <w:sz w:val="16"/>
              </w:rPr>
              <w:t> </w:t>
            </w:r>
            <w:r>
              <w:rPr>
                <w:sz w:val="16"/>
              </w:rPr>
              <w:t>ten</w:t>
            </w:r>
            <w:r>
              <w:rPr>
                <w:spacing w:val="-8"/>
                <w:sz w:val="16"/>
              </w:rPr>
              <w:t> </w:t>
            </w:r>
            <w:r>
              <w:rPr>
                <w:sz w:val="16"/>
              </w:rPr>
              <w:t>regional</w:t>
            </w:r>
            <w:r>
              <w:rPr>
                <w:spacing w:val="40"/>
                <w:sz w:val="16"/>
              </w:rPr>
              <w:t> </w:t>
            </w:r>
            <w:r>
              <w:rPr>
                <w:sz w:val="16"/>
              </w:rPr>
              <w:t>Ashkenazi</w:t>
            </w:r>
            <w:r>
              <w:rPr>
                <w:spacing w:val="-7"/>
                <w:sz w:val="16"/>
              </w:rPr>
              <w:t> </w:t>
            </w:r>
            <w:r>
              <w:rPr>
                <w:sz w:val="16"/>
              </w:rPr>
              <w:t>averages</w:t>
            </w:r>
          </w:p>
        </w:tc>
        <w:tc>
          <w:tcPr>
            <w:tcW w:w="3672" w:type="dxa"/>
          </w:tcPr>
          <w:p>
            <w:pPr>
              <w:pStyle w:val="TableParagraph"/>
              <w:rPr>
                <w:sz w:val="16"/>
              </w:rPr>
            </w:pPr>
            <w:r>
              <w:rPr>
                <w:sz w:val="16"/>
              </w:rPr>
              <w:t>The</w:t>
            </w:r>
            <w:r>
              <w:rPr>
                <w:spacing w:val="-8"/>
                <w:sz w:val="16"/>
              </w:rPr>
              <w:t> </w:t>
            </w:r>
            <w:r>
              <w:rPr>
                <w:sz w:val="16"/>
              </w:rPr>
              <w:t>category-level</w:t>
            </w:r>
            <w:r>
              <w:rPr>
                <w:spacing w:val="-7"/>
                <w:sz w:val="16"/>
              </w:rPr>
              <w:t> </w:t>
            </w:r>
            <w:r>
              <w:rPr>
                <w:sz w:val="16"/>
              </w:rPr>
              <w:t>pattern</w:t>
            </w:r>
            <w:r>
              <w:rPr>
                <w:spacing w:val="-9"/>
                <w:sz w:val="16"/>
              </w:rPr>
              <w:t> </w:t>
            </w:r>
            <w:r>
              <w:rPr>
                <w:sz w:val="16"/>
              </w:rPr>
              <w:t>should</w:t>
            </w:r>
            <w:r>
              <w:rPr>
                <w:spacing w:val="-7"/>
                <w:sz w:val="16"/>
              </w:rPr>
              <w:t> </w:t>
            </w:r>
            <w:r>
              <w:rPr>
                <w:sz w:val="16"/>
              </w:rPr>
              <w:t>persist</w:t>
            </w:r>
            <w:r>
              <w:rPr>
                <w:spacing w:val="-6"/>
                <w:sz w:val="16"/>
              </w:rPr>
              <w:t> </w:t>
            </w:r>
            <w:r>
              <w:rPr>
                <w:sz w:val="16"/>
              </w:rPr>
              <w:t>despite</w:t>
            </w:r>
            <w:r>
              <w:rPr>
                <w:spacing w:val="40"/>
                <w:sz w:val="16"/>
              </w:rPr>
              <w:t> </w:t>
            </w:r>
            <w:r>
              <w:rPr>
                <w:sz w:val="16"/>
              </w:rPr>
              <w:t>subgroup and sample-size differences.</w:t>
            </w:r>
          </w:p>
        </w:tc>
      </w:tr>
      <w:tr>
        <w:trPr>
          <w:trHeight w:val="623" w:hRule="atLeast"/>
        </w:trPr>
        <w:tc>
          <w:tcPr>
            <w:tcW w:w="1800" w:type="dxa"/>
          </w:tcPr>
          <w:p>
            <w:pPr>
              <w:pStyle w:val="TableParagraph"/>
              <w:spacing w:before="29"/>
              <w:ind w:left="0"/>
              <w:rPr>
                <w:sz w:val="16"/>
              </w:rPr>
            </w:pPr>
          </w:p>
          <w:p>
            <w:pPr>
              <w:pStyle w:val="TableParagraph"/>
              <w:spacing w:before="1"/>
              <w:rPr>
                <w:sz w:val="16"/>
              </w:rPr>
            </w:pPr>
            <w:r>
              <w:rPr>
                <w:sz w:val="16"/>
              </w:rPr>
              <w:t>Positive</w:t>
            </w:r>
            <w:r>
              <w:rPr>
                <w:spacing w:val="-7"/>
                <w:sz w:val="16"/>
              </w:rPr>
              <w:t> </w:t>
            </w:r>
            <w:r>
              <w:rPr>
                <w:spacing w:val="-2"/>
                <w:sz w:val="16"/>
              </w:rPr>
              <w:t>controls</w:t>
            </w:r>
          </w:p>
        </w:tc>
        <w:tc>
          <w:tcPr>
            <w:tcW w:w="3600" w:type="dxa"/>
          </w:tcPr>
          <w:p>
            <w:pPr>
              <w:pStyle w:val="TableParagraph"/>
              <w:spacing w:before="123"/>
              <w:ind w:right="148"/>
              <w:rPr>
                <w:sz w:val="16"/>
              </w:rPr>
            </w:pPr>
            <w:r>
              <w:rPr>
                <w:sz w:val="16"/>
              </w:rPr>
              <w:t>Model ancient Levantine targets with</w:t>
            </w:r>
            <w:r>
              <w:rPr>
                <w:spacing w:val="40"/>
                <w:sz w:val="16"/>
              </w:rPr>
              <w:t> </w:t>
            </w:r>
            <w:r>
              <w:rPr>
                <w:sz w:val="16"/>
              </w:rPr>
              <w:t>appropriate</w:t>
            </w:r>
            <w:r>
              <w:rPr>
                <w:spacing w:val="-9"/>
                <w:sz w:val="16"/>
              </w:rPr>
              <w:t> </w:t>
            </w:r>
            <w:r>
              <w:rPr>
                <w:sz w:val="16"/>
              </w:rPr>
              <w:t>earlier</w:t>
            </w:r>
            <w:r>
              <w:rPr>
                <w:spacing w:val="-9"/>
                <w:sz w:val="16"/>
              </w:rPr>
              <w:t> </w:t>
            </w:r>
            <w:r>
              <w:rPr>
                <w:sz w:val="16"/>
              </w:rPr>
              <w:t>Levantine</w:t>
            </w:r>
            <w:r>
              <w:rPr>
                <w:spacing w:val="-9"/>
                <w:sz w:val="16"/>
              </w:rPr>
              <w:t> </w:t>
            </w:r>
            <w:r>
              <w:rPr>
                <w:sz w:val="16"/>
              </w:rPr>
              <w:t>sources</w:t>
            </w:r>
          </w:p>
        </w:tc>
        <w:tc>
          <w:tcPr>
            <w:tcW w:w="3672" w:type="dxa"/>
          </w:tcPr>
          <w:p>
            <w:pPr>
              <w:pStyle w:val="TableParagraph"/>
              <w:rPr>
                <w:sz w:val="16"/>
              </w:rPr>
            </w:pPr>
            <w:r>
              <w:rPr>
                <w:sz w:val="16"/>
              </w:rPr>
              <w:t>The framework should recover strong local</w:t>
            </w:r>
            <w:r>
              <w:rPr>
                <w:spacing w:val="40"/>
                <w:sz w:val="16"/>
              </w:rPr>
              <w:t> </w:t>
            </w:r>
            <w:r>
              <w:rPr>
                <w:sz w:val="16"/>
              </w:rPr>
              <w:t>Levantine</w:t>
            </w:r>
            <w:r>
              <w:rPr>
                <w:spacing w:val="-6"/>
                <w:sz w:val="16"/>
              </w:rPr>
              <w:t> </w:t>
            </w:r>
            <w:r>
              <w:rPr>
                <w:sz w:val="16"/>
              </w:rPr>
              <w:t>continuity</w:t>
            </w:r>
            <w:r>
              <w:rPr>
                <w:spacing w:val="-9"/>
                <w:sz w:val="16"/>
              </w:rPr>
              <w:t> </w:t>
            </w:r>
            <w:r>
              <w:rPr>
                <w:sz w:val="16"/>
              </w:rPr>
              <w:t>rather</w:t>
            </w:r>
            <w:r>
              <w:rPr>
                <w:spacing w:val="-8"/>
                <w:sz w:val="16"/>
              </w:rPr>
              <w:t> </w:t>
            </w:r>
            <w:r>
              <w:rPr>
                <w:sz w:val="16"/>
              </w:rPr>
              <w:t>than</w:t>
            </w:r>
            <w:r>
              <w:rPr>
                <w:spacing w:val="-8"/>
                <w:sz w:val="16"/>
              </w:rPr>
              <w:t> </w:t>
            </w:r>
            <w:r>
              <w:rPr>
                <w:sz w:val="16"/>
              </w:rPr>
              <w:t>forcing</w:t>
            </w:r>
            <w:r>
              <w:rPr>
                <w:spacing w:val="-7"/>
                <w:sz w:val="16"/>
              </w:rPr>
              <w:t> </w:t>
            </w:r>
            <w:r>
              <w:rPr>
                <w:sz w:val="16"/>
              </w:rPr>
              <w:t>central</w:t>
            </w:r>
            <w:r>
              <w:rPr>
                <w:spacing w:val="40"/>
                <w:sz w:val="16"/>
              </w:rPr>
              <w:t> </w:t>
            </w:r>
            <w:r>
              <w:rPr>
                <w:sz w:val="16"/>
              </w:rPr>
              <w:t>Mediterranean sources into every target.</w:t>
            </w:r>
          </w:p>
        </w:tc>
      </w:tr>
    </w:tbl>
    <w:p>
      <w:pPr>
        <w:spacing w:before="62"/>
        <w:ind w:left="131" w:right="0" w:firstLine="0"/>
        <w:jc w:val="left"/>
        <w:rPr>
          <w:sz w:val="18"/>
        </w:rPr>
      </w:pPr>
      <w:r>
        <w:rPr>
          <w:sz w:val="18"/>
        </w:rPr>
        <w:t>Table</w:t>
      </w:r>
      <w:r>
        <w:rPr>
          <w:spacing w:val="-4"/>
          <w:sz w:val="18"/>
        </w:rPr>
        <w:t> </w:t>
      </w:r>
      <w:r>
        <w:rPr>
          <w:sz w:val="18"/>
        </w:rPr>
        <w:t>1.</w:t>
      </w:r>
      <w:r>
        <w:rPr>
          <w:spacing w:val="-3"/>
          <w:sz w:val="18"/>
        </w:rPr>
        <w:t> </w:t>
      </w:r>
      <w:r>
        <w:rPr>
          <w:sz w:val="18"/>
        </w:rPr>
        <w:t>Pre-specified</w:t>
      </w:r>
      <w:r>
        <w:rPr>
          <w:spacing w:val="-1"/>
          <w:sz w:val="18"/>
        </w:rPr>
        <w:t> </w:t>
      </w:r>
      <w:r>
        <w:rPr>
          <w:sz w:val="18"/>
        </w:rPr>
        <w:t>tests</w:t>
      </w:r>
      <w:r>
        <w:rPr>
          <w:spacing w:val="-4"/>
          <w:sz w:val="18"/>
        </w:rPr>
        <w:t> </w:t>
      </w:r>
      <w:r>
        <w:rPr>
          <w:sz w:val="18"/>
        </w:rPr>
        <w:t>and</w:t>
      </w:r>
      <w:r>
        <w:rPr>
          <w:spacing w:val="-4"/>
          <w:sz w:val="18"/>
        </w:rPr>
        <w:t> </w:t>
      </w:r>
      <w:r>
        <w:rPr>
          <w:sz w:val="18"/>
        </w:rPr>
        <w:t>directional</w:t>
      </w:r>
      <w:r>
        <w:rPr>
          <w:spacing w:val="-6"/>
          <w:sz w:val="18"/>
        </w:rPr>
        <w:t> </w:t>
      </w:r>
      <w:r>
        <w:rPr>
          <w:sz w:val="18"/>
        </w:rPr>
        <w:t>predictions</w:t>
      </w:r>
      <w:r>
        <w:rPr>
          <w:spacing w:val="-3"/>
          <w:sz w:val="18"/>
        </w:rPr>
        <w:t> </w:t>
      </w:r>
      <w:r>
        <w:rPr>
          <w:sz w:val="18"/>
        </w:rPr>
        <w:t>for</w:t>
      </w:r>
      <w:r>
        <w:rPr>
          <w:spacing w:val="-5"/>
          <w:sz w:val="18"/>
        </w:rPr>
        <w:t> </w:t>
      </w:r>
      <w:r>
        <w:rPr>
          <w:sz w:val="18"/>
        </w:rPr>
        <w:t>the</w:t>
      </w:r>
      <w:r>
        <w:rPr>
          <w:spacing w:val="-1"/>
          <w:sz w:val="18"/>
        </w:rPr>
        <w:t> </w:t>
      </w:r>
      <w:r>
        <w:rPr>
          <w:sz w:val="18"/>
        </w:rPr>
        <w:t>reference-panel</w:t>
      </w:r>
      <w:r>
        <w:rPr>
          <w:spacing w:val="-3"/>
          <w:sz w:val="18"/>
        </w:rPr>
        <w:t> </w:t>
      </w:r>
      <w:r>
        <w:rPr>
          <w:sz w:val="18"/>
        </w:rPr>
        <w:t>sensitivity</w:t>
      </w:r>
      <w:r>
        <w:rPr>
          <w:spacing w:val="-4"/>
          <w:sz w:val="18"/>
        </w:rPr>
        <w:t> </w:t>
      </w:r>
      <w:r>
        <w:rPr>
          <w:spacing w:val="-2"/>
          <w:sz w:val="18"/>
        </w:rPr>
        <w:t>analysis.</w:t>
      </w:r>
    </w:p>
    <w:p>
      <w:pPr>
        <w:pStyle w:val="BodyText"/>
        <w:spacing w:before="49"/>
        <w:ind w:left="0" w:firstLine="0"/>
        <w:jc w:val="left"/>
        <w:rPr>
          <w:sz w:val="18"/>
        </w:rPr>
      </w:pPr>
    </w:p>
    <w:p>
      <w:pPr>
        <w:pStyle w:val="Heading1"/>
        <w:numPr>
          <w:ilvl w:val="0"/>
          <w:numId w:val="1"/>
        </w:numPr>
        <w:tabs>
          <w:tab w:pos="383" w:val="left" w:leader="none"/>
        </w:tabs>
        <w:spacing w:line="240" w:lineRule="auto" w:before="0" w:after="0"/>
        <w:ind w:left="383" w:right="0" w:hanging="252"/>
        <w:jc w:val="both"/>
      </w:pPr>
      <w:r>
        <w:rPr/>
        <w:t>Materials</w:t>
      </w:r>
      <w:r>
        <w:rPr>
          <w:spacing w:val="-10"/>
        </w:rPr>
        <w:t> </w:t>
      </w:r>
      <w:r>
        <w:rPr/>
        <w:t>and</w:t>
      </w:r>
      <w:r>
        <w:rPr>
          <w:spacing w:val="-8"/>
        </w:rPr>
        <w:t> </w:t>
      </w:r>
      <w:r>
        <w:rPr>
          <w:spacing w:val="-2"/>
        </w:rPr>
        <w:t>Methods</w:t>
      </w:r>
    </w:p>
    <w:p>
      <w:pPr>
        <w:pStyle w:val="Heading2"/>
        <w:numPr>
          <w:ilvl w:val="1"/>
          <w:numId w:val="1"/>
        </w:numPr>
        <w:tabs>
          <w:tab w:pos="482" w:val="left" w:leader="none"/>
        </w:tabs>
        <w:spacing w:line="240" w:lineRule="auto" w:before="228" w:after="0"/>
        <w:ind w:left="482" w:right="0" w:hanging="351"/>
        <w:jc w:val="both"/>
      </w:pPr>
      <w:r>
        <w:rPr/>
        <w:t>Study</w:t>
      </w:r>
      <w:r>
        <w:rPr>
          <w:spacing w:val="-5"/>
        </w:rPr>
        <w:t> </w:t>
      </w:r>
      <w:r>
        <w:rPr>
          <w:spacing w:val="-2"/>
        </w:rPr>
        <w:t>design</w:t>
      </w:r>
    </w:p>
    <w:p>
      <w:pPr>
        <w:pStyle w:val="BodyText"/>
        <w:spacing w:line="259" w:lineRule="auto"/>
        <w:ind w:right="126"/>
      </w:pPr>
      <w:r>
        <w:rPr/>
        <w:t>The study is a secondary analysis of previously published or publicly distributed population-average coordinates and reported population-genetic results. It introduces no new participant recruitment, biological sampling, genotyping, or sequencing. The original quantitative contribution is a linked set of fifteen controlled Global25 experiments designed to test reference-panel sensitivity rather than to estimate a final demographic model.</w:t>
      </w:r>
    </w:p>
    <w:p>
      <w:pPr>
        <w:pStyle w:val="BodyText"/>
        <w:spacing w:line="259" w:lineRule="auto"/>
        <w:ind w:right="123"/>
      </w:pPr>
      <w:r>
        <w:rPr/>
        <w:t>The experiments were organized as connected controls. Experiments 1 and 8 used fixed prehistoric panels. Experiments 2 and 10 used broad modern competition panels. Experiments 3, 5, 11, and 12</w:t>
      </w:r>
      <w:r>
        <w:rPr>
          <w:spacing w:val="40"/>
        </w:rPr>
        <w:t> </w:t>
      </w:r>
      <w:r>
        <w:rPr/>
        <w:t>removed declared</w:t>
      </w:r>
      <w:r>
        <w:rPr>
          <w:spacing w:val="-3"/>
        </w:rPr>
        <w:t> </w:t>
      </w:r>
      <w:r>
        <w:rPr/>
        <w:t>source</w:t>
      </w:r>
      <w:r>
        <w:rPr>
          <w:spacing w:val="-3"/>
        </w:rPr>
        <w:t> </w:t>
      </w:r>
      <w:r>
        <w:rPr/>
        <w:t>categories.</w:t>
      </w:r>
      <w:r>
        <w:rPr>
          <w:spacing w:val="-1"/>
        </w:rPr>
        <w:t> </w:t>
      </w:r>
      <w:r>
        <w:rPr/>
        <w:t>Experiments 4,</w:t>
      </w:r>
      <w:r>
        <w:rPr>
          <w:spacing w:val="-1"/>
        </w:rPr>
        <w:t> </w:t>
      </w:r>
      <w:r>
        <w:rPr/>
        <w:t>6,</w:t>
      </w:r>
      <w:r>
        <w:rPr>
          <w:spacing w:val="-1"/>
        </w:rPr>
        <w:t> </w:t>
      </w:r>
      <w:r>
        <w:rPr/>
        <w:t>and</w:t>
      </w:r>
      <w:r>
        <w:rPr>
          <w:spacing w:val="-3"/>
        </w:rPr>
        <w:t> </w:t>
      </w:r>
      <w:r>
        <w:rPr/>
        <w:t>13</w:t>
      </w:r>
      <w:r>
        <w:rPr>
          <w:spacing w:val="-3"/>
        </w:rPr>
        <w:t> </w:t>
      </w:r>
      <w:r>
        <w:rPr/>
        <w:t>provided</w:t>
      </w:r>
      <w:r>
        <w:rPr>
          <w:spacing w:val="-3"/>
        </w:rPr>
        <w:t> </w:t>
      </w:r>
      <w:r>
        <w:rPr/>
        <w:t>direct-distance</w:t>
      </w:r>
      <w:r>
        <w:rPr>
          <w:spacing w:val="-1"/>
        </w:rPr>
        <w:t> </w:t>
      </w:r>
      <w:r>
        <w:rPr/>
        <w:t>and reciprocal</w:t>
      </w:r>
      <w:r>
        <w:rPr>
          <w:spacing w:val="-3"/>
        </w:rPr>
        <w:t> </w:t>
      </w:r>
      <w:r>
        <w:rPr/>
        <w:t>Italki comparisons. Experiments 7 and 14 evaluated ten regional Ashkenazi population averages. Experiments 9 and 15 tested ancient Levantine targets. Prehistoric and modern sources were not mixed indiscriminately within a single interpretive panel.</w:t>
      </w:r>
    </w:p>
    <w:p>
      <w:pPr>
        <w:pStyle w:val="BodyText"/>
        <w:spacing w:before="3"/>
        <w:ind w:left="0" w:firstLine="0"/>
        <w:jc w:val="left"/>
        <w:rPr>
          <w:sz w:val="8"/>
        </w:rPr>
      </w:pPr>
    </w:p>
    <w:tbl>
      <w:tblPr>
        <w:tblW w:w="0" w:type="auto"/>
        <w:jc w:val="left"/>
        <w:tblInd w:w="431"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872"/>
        <w:gridCol w:w="7200"/>
      </w:tblGrid>
      <w:tr>
        <w:trPr>
          <w:trHeight w:val="258" w:hRule="atLeast"/>
          <w:tblHeader w:val="true"/>
        </w:trPr>
        <w:tc>
          <w:tcPr>
            <w:tcW w:w="1872" w:type="dxa"/>
            <w:shd w:val="clear" w:color="auto" w:fill="DDE6EF"/>
          </w:tcPr>
          <w:p>
            <w:pPr>
              <w:pStyle w:val="TableParagraph"/>
              <w:rPr>
                <w:sz w:val="17"/>
              </w:rPr>
            </w:pPr>
            <w:r>
              <w:rPr>
                <w:spacing w:val="-2"/>
                <w:sz w:val="17"/>
              </w:rPr>
              <w:t>Experiments</w:t>
            </w:r>
          </w:p>
        </w:tc>
        <w:tc>
          <w:tcPr>
            <w:tcW w:w="7200" w:type="dxa"/>
            <w:shd w:val="clear" w:color="auto" w:fill="DDE6EF"/>
          </w:tcPr>
          <w:p>
            <w:pPr>
              <w:pStyle w:val="TableParagraph"/>
              <w:rPr>
                <w:sz w:val="17"/>
              </w:rPr>
            </w:pPr>
            <w:r>
              <w:rPr>
                <w:sz w:val="17"/>
              </w:rPr>
              <w:t>Role</w:t>
            </w:r>
            <w:r>
              <w:rPr>
                <w:spacing w:val="-5"/>
                <w:sz w:val="17"/>
              </w:rPr>
              <w:t> </w:t>
            </w:r>
            <w:r>
              <w:rPr>
                <w:sz w:val="17"/>
              </w:rPr>
              <w:t>in</w:t>
            </w:r>
            <w:r>
              <w:rPr>
                <w:spacing w:val="-2"/>
                <w:sz w:val="17"/>
              </w:rPr>
              <w:t> </w:t>
            </w:r>
            <w:r>
              <w:rPr>
                <w:sz w:val="17"/>
              </w:rPr>
              <w:t>the</w:t>
            </w:r>
            <w:r>
              <w:rPr>
                <w:spacing w:val="-2"/>
                <w:sz w:val="17"/>
              </w:rPr>
              <w:t> </w:t>
            </w:r>
            <w:r>
              <w:rPr>
                <w:sz w:val="17"/>
              </w:rPr>
              <w:t>linked</w:t>
            </w:r>
            <w:r>
              <w:rPr>
                <w:spacing w:val="-5"/>
                <w:sz w:val="17"/>
              </w:rPr>
              <w:t> </w:t>
            </w:r>
            <w:r>
              <w:rPr>
                <w:spacing w:val="-4"/>
                <w:sz w:val="17"/>
              </w:rPr>
              <w:t>suite</w:t>
            </w:r>
          </w:p>
        </w:tc>
      </w:tr>
      <w:tr>
        <w:trPr>
          <w:trHeight w:val="261" w:hRule="atLeast"/>
        </w:trPr>
        <w:tc>
          <w:tcPr>
            <w:tcW w:w="1872" w:type="dxa"/>
          </w:tcPr>
          <w:p>
            <w:pPr>
              <w:pStyle w:val="TableParagraph"/>
              <w:spacing w:before="32"/>
              <w:rPr>
                <w:sz w:val="17"/>
              </w:rPr>
            </w:pPr>
            <w:r>
              <w:rPr>
                <w:sz w:val="17"/>
              </w:rPr>
              <w:t>1 and</w:t>
            </w:r>
            <w:r>
              <w:rPr>
                <w:spacing w:val="-1"/>
                <w:sz w:val="17"/>
              </w:rPr>
              <w:t> </w:t>
            </w:r>
            <w:r>
              <w:rPr>
                <w:spacing w:val="-10"/>
                <w:sz w:val="17"/>
              </w:rPr>
              <w:t>8</w:t>
            </w:r>
          </w:p>
        </w:tc>
        <w:tc>
          <w:tcPr>
            <w:tcW w:w="7200" w:type="dxa"/>
          </w:tcPr>
          <w:p>
            <w:pPr>
              <w:pStyle w:val="TableParagraph"/>
              <w:spacing w:before="32"/>
              <w:rPr>
                <w:sz w:val="17"/>
              </w:rPr>
            </w:pPr>
            <w:r>
              <w:rPr>
                <w:sz w:val="17"/>
              </w:rPr>
              <w:t>Fixed</w:t>
            </w:r>
            <w:r>
              <w:rPr>
                <w:spacing w:val="-7"/>
                <w:sz w:val="17"/>
              </w:rPr>
              <w:t> </w:t>
            </w:r>
            <w:r>
              <w:rPr>
                <w:sz w:val="17"/>
              </w:rPr>
              <w:t>prehistoric</w:t>
            </w:r>
            <w:r>
              <w:rPr>
                <w:spacing w:val="-4"/>
                <w:sz w:val="17"/>
              </w:rPr>
              <w:t> </w:t>
            </w:r>
            <w:r>
              <w:rPr>
                <w:sz w:val="17"/>
              </w:rPr>
              <w:t>controls</w:t>
            </w:r>
            <w:r>
              <w:rPr>
                <w:spacing w:val="-2"/>
                <w:sz w:val="17"/>
              </w:rPr>
              <w:t> </w:t>
            </w:r>
            <w:r>
              <w:rPr>
                <w:sz w:val="17"/>
              </w:rPr>
              <w:t>used</w:t>
            </w:r>
            <w:r>
              <w:rPr>
                <w:spacing w:val="-4"/>
                <w:sz w:val="17"/>
              </w:rPr>
              <w:t> </w:t>
            </w:r>
            <w:r>
              <w:rPr>
                <w:sz w:val="17"/>
              </w:rPr>
              <w:t>to</w:t>
            </w:r>
            <w:r>
              <w:rPr>
                <w:spacing w:val="-5"/>
                <w:sz w:val="17"/>
              </w:rPr>
              <w:t> </w:t>
            </w:r>
            <w:r>
              <w:rPr>
                <w:sz w:val="17"/>
              </w:rPr>
              <w:t>test</w:t>
            </w:r>
            <w:r>
              <w:rPr>
                <w:spacing w:val="-5"/>
                <w:sz w:val="17"/>
              </w:rPr>
              <w:t> </w:t>
            </w:r>
            <w:r>
              <w:rPr>
                <w:sz w:val="17"/>
              </w:rPr>
              <w:t>the</w:t>
            </w:r>
            <w:r>
              <w:rPr>
                <w:spacing w:val="-5"/>
                <w:sz w:val="17"/>
              </w:rPr>
              <w:t> </w:t>
            </w:r>
            <w:r>
              <w:rPr>
                <w:sz w:val="17"/>
              </w:rPr>
              <w:t>interpretive</w:t>
            </w:r>
            <w:r>
              <w:rPr>
                <w:spacing w:val="-4"/>
                <w:sz w:val="17"/>
              </w:rPr>
              <w:t> </w:t>
            </w:r>
            <w:r>
              <w:rPr>
                <w:sz w:val="17"/>
              </w:rPr>
              <w:t>behavior</w:t>
            </w:r>
            <w:r>
              <w:rPr>
                <w:spacing w:val="-4"/>
                <w:sz w:val="17"/>
              </w:rPr>
              <w:t> </w:t>
            </w:r>
            <w:r>
              <w:rPr>
                <w:sz w:val="17"/>
              </w:rPr>
              <w:t>of</w:t>
            </w:r>
            <w:r>
              <w:rPr>
                <w:spacing w:val="-5"/>
                <w:sz w:val="17"/>
              </w:rPr>
              <w:t> </w:t>
            </w:r>
            <w:r>
              <w:rPr>
                <w:sz w:val="17"/>
              </w:rPr>
              <w:t>deep</w:t>
            </w:r>
            <w:r>
              <w:rPr>
                <w:spacing w:val="-4"/>
                <w:sz w:val="17"/>
              </w:rPr>
              <w:t> </w:t>
            </w:r>
            <w:r>
              <w:rPr>
                <w:sz w:val="17"/>
              </w:rPr>
              <w:t>ancestral</w:t>
            </w:r>
            <w:r>
              <w:rPr>
                <w:spacing w:val="-6"/>
                <w:sz w:val="17"/>
              </w:rPr>
              <w:t> </w:t>
            </w:r>
            <w:r>
              <w:rPr>
                <w:spacing w:val="-2"/>
                <w:sz w:val="17"/>
              </w:rPr>
              <w:t>components.</w:t>
            </w:r>
          </w:p>
        </w:tc>
      </w:tr>
      <w:tr>
        <w:trPr>
          <w:trHeight w:val="258" w:hRule="atLeast"/>
        </w:trPr>
        <w:tc>
          <w:tcPr>
            <w:tcW w:w="1872" w:type="dxa"/>
          </w:tcPr>
          <w:p>
            <w:pPr>
              <w:pStyle w:val="TableParagraph"/>
              <w:rPr>
                <w:sz w:val="17"/>
              </w:rPr>
            </w:pPr>
            <w:r>
              <w:rPr>
                <w:sz w:val="17"/>
              </w:rPr>
              <w:t>2 and</w:t>
            </w:r>
            <w:r>
              <w:rPr>
                <w:spacing w:val="-1"/>
                <w:sz w:val="17"/>
              </w:rPr>
              <w:t> </w:t>
            </w:r>
            <w:r>
              <w:rPr>
                <w:spacing w:val="-5"/>
                <w:sz w:val="17"/>
              </w:rPr>
              <w:t>10</w:t>
            </w:r>
          </w:p>
        </w:tc>
        <w:tc>
          <w:tcPr>
            <w:tcW w:w="7200" w:type="dxa"/>
          </w:tcPr>
          <w:p>
            <w:pPr>
              <w:pStyle w:val="TableParagraph"/>
              <w:rPr>
                <w:sz w:val="17"/>
              </w:rPr>
            </w:pPr>
            <w:r>
              <w:rPr>
                <w:sz w:val="17"/>
              </w:rPr>
              <w:t>Full</w:t>
            </w:r>
            <w:r>
              <w:rPr>
                <w:spacing w:val="-5"/>
                <w:sz w:val="17"/>
              </w:rPr>
              <w:t> </w:t>
            </w:r>
            <w:r>
              <w:rPr>
                <w:sz w:val="17"/>
              </w:rPr>
              <w:t>modern</w:t>
            </w:r>
            <w:r>
              <w:rPr>
                <w:spacing w:val="-5"/>
                <w:sz w:val="17"/>
              </w:rPr>
              <w:t> </w:t>
            </w:r>
            <w:r>
              <w:rPr>
                <w:sz w:val="17"/>
              </w:rPr>
              <w:t>competition</w:t>
            </w:r>
            <w:r>
              <w:rPr>
                <w:spacing w:val="-5"/>
                <w:sz w:val="17"/>
              </w:rPr>
              <w:t> </w:t>
            </w:r>
            <w:r>
              <w:rPr>
                <w:spacing w:val="-2"/>
                <w:sz w:val="17"/>
              </w:rPr>
              <w:t>panels.</w:t>
            </w:r>
          </w:p>
        </w:tc>
      </w:tr>
      <w:tr>
        <w:trPr>
          <w:trHeight w:val="258" w:hRule="atLeast"/>
        </w:trPr>
        <w:tc>
          <w:tcPr>
            <w:tcW w:w="1872" w:type="dxa"/>
          </w:tcPr>
          <w:p>
            <w:pPr>
              <w:pStyle w:val="TableParagraph"/>
              <w:rPr>
                <w:sz w:val="17"/>
              </w:rPr>
            </w:pPr>
            <w:r>
              <w:rPr>
                <w:sz w:val="17"/>
              </w:rPr>
              <w:t>3,</w:t>
            </w:r>
            <w:r>
              <w:rPr>
                <w:spacing w:val="-1"/>
                <w:sz w:val="17"/>
              </w:rPr>
              <w:t> </w:t>
            </w:r>
            <w:r>
              <w:rPr>
                <w:sz w:val="17"/>
              </w:rPr>
              <w:t>5,</w:t>
            </w:r>
            <w:r>
              <w:rPr>
                <w:spacing w:val="-1"/>
                <w:sz w:val="17"/>
              </w:rPr>
              <w:t> </w:t>
            </w:r>
            <w:r>
              <w:rPr>
                <w:sz w:val="17"/>
              </w:rPr>
              <w:t>11,</w:t>
            </w:r>
            <w:r>
              <w:rPr>
                <w:spacing w:val="-2"/>
                <w:sz w:val="17"/>
              </w:rPr>
              <w:t> </w:t>
            </w:r>
            <w:r>
              <w:rPr>
                <w:sz w:val="17"/>
              </w:rPr>
              <w:t>and</w:t>
            </w:r>
            <w:r>
              <w:rPr>
                <w:spacing w:val="-2"/>
                <w:sz w:val="17"/>
              </w:rPr>
              <w:t> </w:t>
            </w:r>
            <w:r>
              <w:rPr>
                <w:spacing w:val="-5"/>
                <w:sz w:val="17"/>
              </w:rPr>
              <w:t>12</w:t>
            </w:r>
          </w:p>
        </w:tc>
        <w:tc>
          <w:tcPr>
            <w:tcW w:w="7200" w:type="dxa"/>
          </w:tcPr>
          <w:p>
            <w:pPr>
              <w:pStyle w:val="TableParagraph"/>
              <w:rPr>
                <w:sz w:val="17"/>
              </w:rPr>
            </w:pPr>
            <w:r>
              <w:rPr>
                <w:sz w:val="17"/>
              </w:rPr>
              <w:t>Matched</w:t>
            </w:r>
            <w:r>
              <w:rPr>
                <w:spacing w:val="-5"/>
                <w:sz w:val="17"/>
              </w:rPr>
              <w:t> </w:t>
            </w:r>
            <w:r>
              <w:rPr>
                <w:sz w:val="17"/>
              </w:rPr>
              <w:t>omission</w:t>
            </w:r>
            <w:r>
              <w:rPr>
                <w:spacing w:val="-4"/>
                <w:sz w:val="17"/>
              </w:rPr>
              <w:t> </w:t>
            </w:r>
            <w:r>
              <w:rPr>
                <w:sz w:val="17"/>
              </w:rPr>
              <w:t>tests</w:t>
            </w:r>
            <w:r>
              <w:rPr>
                <w:spacing w:val="-6"/>
                <w:sz w:val="17"/>
              </w:rPr>
              <w:t> </w:t>
            </w:r>
            <w:r>
              <w:rPr>
                <w:sz w:val="17"/>
              </w:rPr>
              <w:t>and</w:t>
            </w:r>
            <w:r>
              <w:rPr>
                <w:spacing w:val="-8"/>
                <w:sz w:val="17"/>
              </w:rPr>
              <w:t> </w:t>
            </w:r>
            <w:r>
              <w:rPr>
                <w:sz w:val="17"/>
              </w:rPr>
              <w:t>proxy-inflation</w:t>
            </w:r>
            <w:r>
              <w:rPr>
                <w:spacing w:val="-3"/>
                <w:sz w:val="17"/>
              </w:rPr>
              <w:t> </w:t>
            </w:r>
            <w:r>
              <w:rPr>
                <w:spacing w:val="-2"/>
                <w:sz w:val="17"/>
              </w:rPr>
              <w:t>diagnostics.</w:t>
            </w:r>
          </w:p>
        </w:tc>
      </w:tr>
      <w:tr>
        <w:trPr>
          <w:trHeight w:val="258" w:hRule="atLeast"/>
        </w:trPr>
        <w:tc>
          <w:tcPr>
            <w:tcW w:w="1872" w:type="dxa"/>
          </w:tcPr>
          <w:p>
            <w:pPr>
              <w:pStyle w:val="TableParagraph"/>
              <w:rPr>
                <w:sz w:val="17"/>
              </w:rPr>
            </w:pPr>
            <w:r>
              <w:rPr>
                <w:sz w:val="17"/>
              </w:rPr>
              <w:t>4, 6,</w:t>
            </w:r>
            <w:r>
              <w:rPr>
                <w:spacing w:val="-2"/>
                <w:sz w:val="17"/>
              </w:rPr>
              <w:t> </w:t>
            </w:r>
            <w:r>
              <w:rPr>
                <w:sz w:val="17"/>
              </w:rPr>
              <w:t>and</w:t>
            </w:r>
            <w:r>
              <w:rPr>
                <w:spacing w:val="-1"/>
                <w:sz w:val="17"/>
              </w:rPr>
              <w:t> </w:t>
            </w:r>
            <w:r>
              <w:rPr>
                <w:spacing w:val="-5"/>
                <w:sz w:val="17"/>
              </w:rPr>
              <w:t>13</w:t>
            </w:r>
          </w:p>
        </w:tc>
        <w:tc>
          <w:tcPr>
            <w:tcW w:w="7200" w:type="dxa"/>
          </w:tcPr>
          <w:p>
            <w:pPr>
              <w:pStyle w:val="TableParagraph"/>
              <w:rPr>
                <w:sz w:val="17"/>
              </w:rPr>
            </w:pPr>
            <w:r>
              <w:rPr>
                <w:sz w:val="17"/>
              </w:rPr>
              <w:t>Direct-distance</w:t>
            </w:r>
            <w:r>
              <w:rPr>
                <w:spacing w:val="-6"/>
                <w:sz w:val="17"/>
              </w:rPr>
              <w:t> </w:t>
            </w:r>
            <w:r>
              <w:rPr>
                <w:sz w:val="17"/>
              </w:rPr>
              <w:t>and</w:t>
            </w:r>
            <w:r>
              <w:rPr>
                <w:spacing w:val="-6"/>
                <w:sz w:val="17"/>
              </w:rPr>
              <w:t> </w:t>
            </w:r>
            <w:r>
              <w:rPr>
                <w:sz w:val="17"/>
              </w:rPr>
              <w:t>reciprocal</w:t>
            </w:r>
            <w:r>
              <w:rPr>
                <w:spacing w:val="-6"/>
                <w:sz w:val="17"/>
              </w:rPr>
              <w:t> </w:t>
            </w:r>
            <w:r>
              <w:rPr>
                <w:sz w:val="17"/>
              </w:rPr>
              <w:t>Italki</w:t>
            </w:r>
            <w:r>
              <w:rPr>
                <w:spacing w:val="-6"/>
                <w:sz w:val="17"/>
              </w:rPr>
              <w:t> </w:t>
            </w:r>
            <w:r>
              <w:rPr>
                <w:sz w:val="17"/>
              </w:rPr>
              <w:t>comparator</w:t>
            </w:r>
            <w:r>
              <w:rPr>
                <w:spacing w:val="-5"/>
                <w:sz w:val="17"/>
              </w:rPr>
              <w:t> </w:t>
            </w:r>
            <w:r>
              <w:rPr>
                <w:spacing w:val="-2"/>
                <w:sz w:val="17"/>
              </w:rPr>
              <w:t>tests.</w:t>
            </w:r>
          </w:p>
        </w:tc>
      </w:tr>
      <w:tr>
        <w:trPr>
          <w:trHeight w:val="258" w:hRule="atLeast"/>
        </w:trPr>
        <w:tc>
          <w:tcPr>
            <w:tcW w:w="1872" w:type="dxa"/>
          </w:tcPr>
          <w:p>
            <w:pPr>
              <w:pStyle w:val="TableParagraph"/>
              <w:rPr>
                <w:sz w:val="17"/>
              </w:rPr>
            </w:pPr>
            <w:r>
              <w:rPr>
                <w:sz w:val="17"/>
              </w:rPr>
              <w:t>7 and</w:t>
            </w:r>
            <w:r>
              <w:rPr>
                <w:spacing w:val="-1"/>
                <w:sz w:val="17"/>
              </w:rPr>
              <w:t> </w:t>
            </w:r>
            <w:r>
              <w:rPr>
                <w:spacing w:val="-5"/>
                <w:sz w:val="17"/>
              </w:rPr>
              <w:t>14</w:t>
            </w:r>
          </w:p>
        </w:tc>
        <w:tc>
          <w:tcPr>
            <w:tcW w:w="7200" w:type="dxa"/>
          </w:tcPr>
          <w:p>
            <w:pPr>
              <w:pStyle w:val="TableParagraph"/>
              <w:rPr>
                <w:sz w:val="17"/>
              </w:rPr>
            </w:pPr>
            <w:r>
              <w:rPr>
                <w:sz w:val="17"/>
              </w:rPr>
              <w:t>Regional</w:t>
            </w:r>
            <w:r>
              <w:rPr>
                <w:spacing w:val="-5"/>
                <w:sz w:val="17"/>
              </w:rPr>
              <w:t> </w:t>
            </w:r>
            <w:r>
              <w:rPr>
                <w:sz w:val="17"/>
              </w:rPr>
              <w:t>replication</w:t>
            </w:r>
            <w:r>
              <w:rPr>
                <w:spacing w:val="-6"/>
                <w:sz w:val="17"/>
              </w:rPr>
              <w:t> </w:t>
            </w:r>
            <w:r>
              <w:rPr>
                <w:sz w:val="17"/>
              </w:rPr>
              <w:t>across</w:t>
            </w:r>
            <w:r>
              <w:rPr>
                <w:spacing w:val="-6"/>
                <w:sz w:val="17"/>
              </w:rPr>
              <w:t> </w:t>
            </w:r>
            <w:r>
              <w:rPr>
                <w:sz w:val="17"/>
              </w:rPr>
              <w:t>ten</w:t>
            </w:r>
            <w:r>
              <w:rPr>
                <w:spacing w:val="-4"/>
                <w:sz w:val="17"/>
              </w:rPr>
              <w:t> </w:t>
            </w:r>
            <w:r>
              <w:rPr>
                <w:sz w:val="17"/>
              </w:rPr>
              <w:t>Ashkenazi</w:t>
            </w:r>
            <w:r>
              <w:rPr>
                <w:spacing w:val="-6"/>
                <w:sz w:val="17"/>
              </w:rPr>
              <w:t> </w:t>
            </w:r>
            <w:r>
              <w:rPr>
                <w:sz w:val="17"/>
              </w:rPr>
              <w:t>population</w:t>
            </w:r>
            <w:r>
              <w:rPr>
                <w:spacing w:val="-5"/>
                <w:sz w:val="17"/>
              </w:rPr>
              <w:t> </w:t>
            </w:r>
            <w:r>
              <w:rPr>
                <w:spacing w:val="-2"/>
                <w:sz w:val="17"/>
              </w:rPr>
              <w:t>averages.</w:t>
            </w:r>
          </w:p>
        </w:tc>
      </w:tr>
      <w:tr>
        <w:trPr>
          <w:trHeight w:val="261" w:hRule="atLeast"/>
        </w:trPr>
        <w:tc>
          <w:tcPr>
            <w:tcW w:w="1872" w:type="dxa"/>
          </w:tcPr>
          <w:p>
            <w:pPr>
              <w:pStyle w:val="TableParagraph"/>
              <w:spacing w:before="32"/>
              <w:rPr>
                <w:sz w:val="17"/>
              </w:rPr>
            </w:pPr>
            <w:r>
              <w:rPr>
                <w:sz w:val="17"/>
              </w:rPr>
              <w:t>9 and</w:t>
            </w:r>
            <w:r>
              <w:rPr>
                <w:spacing w:val="-1"/>
                <w:sz w:val="17"/>
              </w:rPr>
              <w:t> </w:t>
            </w:r>
            <w:r>
              <w:rPr>
                <w:spacing w:val="-5"/>
                <w:sz w:val="17"/>
              </w:rPr>
              <w:t>15</w:t>
            </w:r>
          </w:p>
        </w:tc>
        <w:tc>
          <w:tcPr>
            <w:tcW w:w="7200" w:type="dxa"/>
          </w:tcPr>
          <w:p>
            <w:pPr>
              <w:pStyle w:val="TableParagraph"/>
              <w:spacing w:before="32"/>
              <w:rPr>
                <w:sz w:val="17"/>
              </w:rPr>
            </w:pPr>
            <w:r>
              <w:rPr>
                <w:sz w:val="17"/>
              </w:rPr>
              <w:t>Ancient</w:t>
            </w:r>
            <w:r>
              <w:rPr>
                <w:spacing w:val="-6"/>
                <w:sz w:val="17"/>
              </w:rPr>
              <w:t> </w:t>
            </w:r>
            <w:r>
              <w:rPr>
                <w:sz w:val="17"/>
              </w:rPr>
              <w:t>Levant</w:t>
            </w:r>
            <w:r>
              <w:rPr>
                <w:spacing w:val="-6"/>
                <w:sz w:val="17"/>
              </w:rPr>
              <w:t> </w:t>
            </w:r>
            <w:r>
              <w:rPr>
                <w:sz w:val="17"/>
              </w:rPr>
              <w:t>positive</w:t>
            </w:r>
            <w:r>
              <w:rPr>
                <w:spacing w:val="-3"/>
                <w:sz w:val="17"/>
              </w:rPr>
              <w:t> </w:t>
            </w:r>
            <w:r>
              <w:rPr>
                <w:spacing w:val="-2"/>
                <w:sz w:val="17"/>
              </w:rPr>
              <w:t>controls.</w:t>
            </w:r>
          </w:p>
        </w:tc>
      </w:tr>
    </w:tbl>
    <w:p>
      <w:pPr>
        <w:spacing w:before="63"/>
        <w:ind w:left="131" w:right="0" w:firstLine="0"/>
        <w:jc w:val="left"/>
        <w:rPr>
          <w:sz w:val="18"/>
        </w:rPr>
      </w:pPr>
      <w:r>
        <w:rPr>
          <w:sz w:val="18"/>
        </w:rPr>
        <w:t>Table</w:t>
      </w:r>
      <w:r>
        <w:rPr>
          <w:spacing w:val="-4"/>
          <w:sz w:val="18"/>
        </w:rPr>
        <w:t> </w:t>
      </w:r>
      <w:r>
        <w:rPr>
          <w:sz w:val="18"/>
        </w:rPr>
        <w:t>2.</w:t>
      </w:r>
      <w:r>
        <w:rPr>
          <w:spacing w:val="-3"/>
          <w:sz w:val="18"/>
        </w:rPr>
        <w:t> </w:t>
      </w:r>
      <w:r>
        <w:rPr>
          <w:sz w:val="18"/>
        </w:rPr>
        <w:t>Organization</w:t>
      </w:r>
      <w:r>
        <w:rPr>
          <w:spacing w:val="-4"/>
          <w:sz w:val="18"/>
        </w:rPr>
        <w:t> </w:t>
      </w:r>
      <w:r>
        <w:rPr>
          <w:sz w:val="18"/>
        </w:rPr>
        <w:t>of</w:t>
      </w:r>
      <w:r>
        <w:rPr>
          <w:spacing w:val="-2"/>
          <w:sz w:val="18"/>
        </w:rPr>
        <w:t> </w:t>
      </w:r>
      <w:r>
        <w:rPr>
          <w:sz w:val="18"/>
        </w:rPr>
        <w:t>the</w:t>
      </w:r>
      <w:r>
        <w:rPr>
          <w:spacing w:val="-4"/>
          <w:sz w:val="18"/>
        </w:rPr>
        <w:t> </w:t>
      </w:r>
      <w:r>
        <w:rPr>
          <w:sz w:val="18"/>
        </w:rPr>
        <w:t>fifteen-experiment</w:t>
      </w:r>
      <w:r>
        <w:rPr>
          <w:spacing w:val="-3"/>
          <w:sz w:val="18"/>
        </w:rPr>
        <w:t> </w:t>
      </w:r>
      <w:r>
        <w:rPr>
          <w:sz w:val="18"/>
        </w:rPr>
        <w:t>sensitivity</w:t>
      </w:r>
      <w:r>
        <w:rPr>
          <w:spacing w:val="-2"/>
          <w:sz w:val="18"/>
        </w:rPr>
        <w:t> </w:t>
      </w:r>
      <w:r>
        <w:rPr>
          <w:sz w:val="18"/>
        </w:rPr>
        <w:t>and</w:t>
      </w:r>
      <w:r>
        <w:rPr>
          <w:spacing w:val="-4"/>
          <w:sz w:val="18"/>
        </w:rPr>
        <w:t> </w:t>
      </w:r>
      <w:r>
        <w:rPr>
          <w:sz w:val="18"/>
        </w:rPr>
        <w:t>validation</w:t>
      </w:r>
      <w:r>
        <w:rPr>
          <w:spacing w:val="-3"/>
          <w:sz w:val="18"/>
        </w:rPr>
        <w:t> </w:t>
      </w:r>
      <w:r>
        <w:rPr>
          <w:spacing w:val="-2"/>
          <w:sz w:val="18"/>
        </w:rPr>
        <w:t>suite.</w:t>
      </w:r>
    </w:p>
    <w:p>
      <w:pPr>
        <w:pStyle w:val="Heading2"/>
        <w:numPr>
          <w:ilvl w:val="1"/>
          <w:numId w:val="1"/>
        </w:numPr>
        <w:tabs>
          <w:tab w:pos="482" w:val="left" w:leader="none"/>
        </w:tabs>
        <w:spacing w:line="240" w:lineRule="auto" w:before="181" w:after="0"/>
        <w:ind w:left="482" w:right="0" w:hanging="351"/>
        <w:jc w:val="both"/>
      </w:pPr>
      <w:r>
        <w:rPr/>
        <w:t>Data</w:t>
      </w:r>
      <w:r>
        <w:rPr>
          <w:spacing w:val="-7"/>
        </w:rPr>
        <w:t> </w:t>
      </w:r>
      <w:r>
        <w:rPr/>
        <w:t>sources,</w:t>
      </w:r>
      <w:r>
        <w:rPr>
          <w:spacing w:val="-4"/>
        </w:rPr>
        <w:t> </w:t>
      </w:r>
      <w:r>
        <w:rPr/>
        <w:t>provenance,</w:t>
      </w:r>
      <w:r>
        <w:rPr>
          <w:spacing w:val="-6"/>
        </w:rPr>
        <w:t> </w:t>
      </w:r>
      <w:r>
        <w:rPr/>
        <w:t>quality</w:t>
      </w:r>
      <w:r>
        <w:rPr>
          <w:spacing w:val="-6"/>
        </w:rPr>
        <w:t> </w:t>
      </w:r>
      <w:r>
        <w:rPr/>
        <w:t>control,</w:t>
      </w:r>
      <w:r>
        <w:rPr>
          <w:spacing w:val="-5"/>
        </w:rPr>
        <w:t> </w:t>
      </w:r>
      <w:r>
        <w:rPr/>
        <w:t>and</w:t>
      </w:r>
      <w:r>
        <w:rPr>
          <w:spacing w:val="-5"/>
        </w:rPr>
        <w:t> </w:t>
      </w:r>
      <w:r>
        <w:rPr/>
        <w:t>linkage</w:t>
      </w:r>
      <w:r>
        <w:rPr>
          <w:spacing w:val="-4"/>
        </w:rPr>
        <w:t> </w:t>
      </w:r>
      <w:r>
        <w:rPr/>
        <w:t>disequilibrium</w:t>
      </w:r>
      <w:r>
        <w:rPr>
          <w:spacing w:val="-4"/>
        </w:rPr>
        <w:t> </w:t>
      </w:r>
      <w:r>
        <w:rPr>
          <w:spacing w:val="-2"/>
        </w:rPr>
        <w:t>considerations</w:t>
      </w:r>
    </w:p>
    <w:p>
      <w:pPr>
        <w:pStyle w:val="BodyText"/>
        <w:spacing w:line="259" w:lineRule="auto" w:before="102"/>
        <w:ind w:right="125"/>
      </w:pPr>
      <w:r>
        <w:rPr/>
        <w:t>All Global25 experiments used scaled population-average coordinates distributed through the declared source files documented in the accompanying Version 1 data package. The coordinate rows were used as distributed. This study did not generate or alter the upstream genotype calls, did not impute missing genotypes, and did not have access to individual-level genotype files for the populations represented by the </w:t>
      </w:r>
      <w:r>
        <w:rPr>
          <w:spacing w:val="-2"/>
        </w:rPr>
        <w:t>coordinates.</w:t>
      </w:r>
    </w:p>
    <w:p>
      <w:pPr>
        <w:pStyle w:val="BodyText"/>
        <w:spacing w:line="259" w:lineRule="auto" w:before="98"/>
        <w:ind w:right="123"/>
      </w:pPr>
      <w:r>
        <w:rPr/>
        <w:t>Marker-level quality filtering, sample exclusion rules, phasing, linkage-disequilibrium treatment, and</w:t>
      </w:r>
      <w:r>
        <w:rPr>
          <w:spacing w:val="80"/>
        </w:rPr>
        <w:t> </w:t>
      </w:r>
      <w:r>
        <w:rPr/>
        <w:t>the construction of the underlying principal-component space were therefore inherited from the upstream datasets and coordinate-generation workflow. They cannot be independently reconstructed from twenty-five-dimensional population averages. This limitation is stated explicitly and is one reason the analysis is framed as a coordinate-space sensitivity study rather than as a raw-genotype demographic reconstruction.</w:t>
      </w:r>
    </w:p>
    <w:p>
      <w:pPr>
        <w:pStyle w:val="BodyText"/>
        <w:spacing w:line="259" w:lineRule="auto"/>
        <w:ind w:right="126"/>
      </w:pPr>
      <w:r>
        <w:rPr/>
        <w:t>Linkage-disequilibrium pruning cannot be applied at the</w:t>
      </w:r>
      <w:r>
        <w:rPr>
          <w:spacing w:val="-1"/>
        </w:rPr>
        <w:t> </w:t>
      </w:r>
      <w:r>
        <w:rPr/>
        <w:t>downstream</w:t>
      </w:r>
      <w:r>
        <w:rPr>
          <w:spacing w:val="-1"/>
        </w:rPr>
        <w:t> </w:t>
      </w:r>
      <w:r>
        <w:rPr/>
        <w:t>Global25 fitting stage because the inputs are</w:t>
      </w:r>
      <w:r>
        <w:rPr>
          <w:spacing w:val="-1"/>
        </w:rPr>
        <w:t> </w:t>
      </w:r>
      <w:r>
        <w:rPr/>
        <w:t>twenty-five</w:t>
      </w:r>
      <w:r>
        <w:rPr>
          <w:spacing w:val="-1"/>
        </w:rPr>
        <w:t> </w:t>
      </w:r>
      <w:r>
        <w:rPr/>
        <w:t>summary</w:t>
      </w:r>
      <w:r>
        <w:rPr>
          <w:spacing w:val="-2"/>
        </w:rPr>
        <w:t> </w:t>
      </w:r>
      <w:r>
        <w:rPr/>
        <w:t>coordinates rather</w:t>
      </w:r>
      <w:r>
        <w:rPr>
          <w:spacing w:val="-2"/>
        </w:rPr>
        <w:t> </w:t>
      </w:r>
      <w:r>
        <w:rPr/>
        <w:t>than</w:t>
      </w:r>
      <w:r>
        <w:rPr>
          <w:spacing w:val="-1"/>
        </w:rPr>
        <w:t> </w:t>
      </w:r>
      <w:r>
        <w:rPr/>
        <w:t>individual SNPs.</w:t>
      </w:r>
      <w:r>
        <w:rPr>
          <w:spacing w:val="-1"/>
        </w:rPr>
        <w:t> </w:t>
      </w:r>
      <w:r>
        <w:rPr/>
        <w:t>The</w:t>
      </w:r>
      <w:r>
        <w:rPr>
          <w:spacing w:val="-1"/>
        </w:rPr>
        <w:t> </w:t>
      </w:r>
      <w:r>
        <w:rPr/>
        <w:t>relevant robustness</w:t>
      </w:r>
      <w:r>
        <w:rPr>
          <w:spacing w:val="-3"/>
        </w:rPr>
        <w:t> </w:t>
      </w:r>
      <w:r>
        <w:rPr/>
        <w:t>checks at this stage are therefore panel-level rather than marker-level: fixed input rows, exact source labels, separation of targets and sources, matched source omissions, unchanged calculator settings, reciprocal targets,</w:t>
      </w:r>
      <w:r>
        <w:rPr>
          <w:spacing w:val="71"/>
        </w:rPr>
        <w:t> </w:t>
      </w:r>
      <w:r>
        <w:rPr/>
        <w:t>regional</w:t>
      </w:r>
      <w:r>
        <w:rPr>
          <w:spacing w:val="71"/>
        </w:rPr>
        <w:t> </w:t>
      </w:r>
      <w:r>
        <w:rPr/>
        <w:t>replication,</w:t>
      </w:r>
      <w:r>
        <w:rPr>
          <w:spacing w:val="71"/>
        </w:rPr>
        <w:t> </w:t>
      </w:r>
      <w:r>
        <w:rPr/>
        <w:t>prehistoric</w:t>
      </w:r>
      <w:r>
        <w:rPr>
          <w:spacing w:val="71"/>
        </w:rPr>
        <w:t> </w:t>
      </w:r>
      <w:r>
        <w:rPr/>
        <w:t>controls,</w:t>
      </w:r>
      <w:r>
        <w:rPr>
          <w:spacing w:val="68"/>
        </w:rPr>
        <w:t> </w:t>
      </w:r>
      <w:r>
        <w:rPr/>
        <w:t>ancient</w:t>
      </w:r>
      <w:r>
        <w:rPr>
          <w:spacing w:val="71"/>
        </w:rPr>
        <w:t> </w:t>
      </w:r>
      <w:r>
        <w:rPr/>
        <w:t>positive</w:t>
      </w:r>
      <w:r>
        <w:rPr>
          <w:spacing w:val="69"/>
        </w:rPr>
        <w:t> </w:t>
      </w:r>
      <w:r>
        <w:rPr/>
        <w:t>controls,</w:t>
      </w:r>
      <w:r>
        <w:rPr>
          <w:spacing w:val="68"/>
        </w:rPr>
        <w:t> </w:t>
      </w:r>
      <w:r>
        <w:rPr/>
        <w:t>full-dimensional</w:t>
      </w:r>
      <w:r>
        <w:rPr>
          <w:spacing w:val="69"/>
        </w:rPr>
        <w:t> </w:t>
      </w:r>
      <w:r>
        <w:rPr/>
        <w:t>distance</w:t>
      </w:r>
    </w:p>
    <w:p>
      <w:pPr>
        <w:pStyle w:val="BodyText"/>
        <w:spacing w:after="0" w:line="259" w:lineRule="auto"/>
        <w:sectPr>
          <w:pgSz w:w="11910" w:h="16840"/>
          <w:pgMar w:header="390" w:footer="444" w:top="940" w:bottom="640" w:left="992" w:right="992"/>
        </w:sectPr>
      </w:pPr>
    </w:p>
    <w:p>
      <w:pPr>
        <w:pStyle w:val="BodyText"/>
        <w:spacing w:line="256" w:lineRule="auto" w:before="92"/>
        <w:ind w:right="126" w:firstLine="0"/>
      </w:pPr>
      <w:r>
        <w:rPr/>
        <w:t>calculations, independent scripts, and file checksums. These controls test whether the reported directional response is reproducible within the declared coordinate system; they do not substitute for future raw-genotype replication.</w:t>
      </w:r>
    </w:p>
    <w:p>
      <w:pPr>
        <w:pStyle w:val="BodyText"/>
        <w:spacing w:line="259" w:lineRule="auto" w:before="108"/>
        <w:ind w:right="124"/>
      </w:pPr>
      <w:r>
        <w:rPr/>
        <w:t>A</w:t>
      </w:r>
      <w:r>
        <w:rPr>
          <w:spacing w:val="-2"/>
        </w:rPr>
        <w:t> </w:t>
      </w:r>
      <w:r>
        <w:rPr/>
        <w:t>small</w:t>
      </w:r>
      <w:r>
        <w:rPr>
          <w:spacing w:val="-2"/>
        </w:rPr>
        <w:t> </w:t>
      </w:r>
      <w:r>
        <w:rPr/>
        <w:t>set</w:t>
      </w:r>
      <w:r>
        <w:rPr>
          <w:spacing w:val="-2"/>
        </w:rPr>
        <w:t> </w:t>
      </w:r>
      <w:r>
        <w:rPr/>
        <w:t>of</w:t>
      </w:r>
      <w:r>
        <w:rPr>
          <w:spacing w:val="-1"/>
        </w:rPr>
        <w:t> </w:t>
      </w:r>
      <w:r>
        <w:rPr/>
        <w:t>pairwise</w:t>
      </w:r>
      <w:r>
        <w:rPr>
          <w:spacing w:val="-2"/>
        </w:rPr>
        <w:t> </w:t>
      </w:r>
      <w:r>
        <w:rPr/>
        <w:t>FST</w:t>
      </w:r>
      <w:r>
        <w:rPr>
          <w:spacing w:val="-3"/>
        </w:rPr>
        <w:t> </w:t>
      </w:r>
      <w:r>
        <w:rPr/>
        <w:t>outputs</w:t>
      </w:r>
      <w:r>
        <w:rPr>
          <w:spacing w:val="-2"/>
        </w:rPr>
        <w:t> </w:t>
      </w:r>
      <w:r>
        <w:rPr/>
        <w:t>obtained</w:t>
      </w:r>
      <w:r>
        <w:rPr>
          <w:spacing w:val="-2"/>
        </w:rPr>
        <w:t> </w:t>
      </w:r>
      <w:r>
        <w:rPr/>
        <w:t>through</w:t>
      </w:r>
      <w:r>
        <w:rPr>
          <w:spacing w:val="-1"/>
        </w:rPr>
        <w:t> </w:t>
      </w:r>
      <w:r>
        <w:rPr/>
        <w:t>the</w:t>
      </w:r>
      <w:r>
        <w:rPr>
          <w:spacing w:val="-2"/>
        </w:rPr>
        <w:t> </w:t>
      </w:r>
      <w:r>
        <w:rPr/>
        <w:t>IllustrativeDNA</w:t>
      </w:r>
      <w:r>
        <w:rPr>
          <w:spacing w:val="-2"/>
        </w:rPr>
        <w:t> </w:t>
      </w:r>
      <w:r>
        <w:rPr/>
        <w:t>Admix</w:t>
      </w:r>
      <w:r>
        <w:rPr>
          <w:spacing w:val="-1"/>
        </w:rPr>
        <w:t> </w:t>
      </w:r>
      <w:r>
        <w:rPr/>
        <w:t>Lab</w:t>
      </w:r>
      <w:r>
        <w:rPr>
          <w:spacing w:val="-3"/>
        </w:rPr>
        <w:t> </w:t>
      </w:r>
      <w:r>
        <w:rPr/>
        <w:t>web</w:t>
      </w:r>
      <w:r>
        <w:rPr>
          <w:spacing w:val="-3"/>
        </w:rPr>
        <w:t> </w:t>
      </w:r>
      <w:r>
        <w:rPr/>
        <w:t>interface</w:t>
      </w:r>
      <w:r>
        <w:rPr>
          <w:spacing w:val="-2"/>
        </w:rPr>
        <w:t> </w:t>
      </w:r>
      <w:r>
        <w:rPr/>
        <w:t>using Human Origins v62.0 is retained only in Supplementary Tables S1 and S2 as a descriptive comparison. The underlying genotype files and complete web-platform filtering pipeline were not available for independent audit. Those outputs are not treated as primary evidence, are not described as a command-line replication, and are not used to establish formal significance, demographic parameters, or admixture proportions. The author-generated qpAdm analysis present in an earlier</w:t>
      </w:r>
      <w:r>
        <w:rPr>
          <w:spacing w:val="-1"/>
        </w:rPr>
        <w:t> </w:t>
      </w:r>
      <w:r>
        <w:rPr/>
        <w:t>manuscript version has been removed entirely</w:t>
      </w:r>
      <w:r>
        <w:rPr>
          <w:spacing w:val="-1"/>
        </w:rPr>
        <w:t> </w:t>
      </w:r>
      <w:r>
        <w:rPr/>
        <w:t>from the present evidentiary framework.</w:t>
      </w:r>
    </w:p>
    <w:p>
      <w:pPr>
        <w:pStyle w:val="Heading2"/>
        <w:numPr>
          <w:ilvl w:val="1"/>
          <w:numId w:val="1"/>
        </w:numPr>
        <w:tabs>
          <w:tab w:pos="482" w:val="left" w:leader="none"/>
        </w:tabs>
        <w:spacing w:line="240" w:lineRule="auto" w:before="176" w:after="0"/>
        <w:ind w:left="482" w:right="0" w:hanging="351"/>
        <w:jc w:val="both"/>
      </w:pPr>
      <w:r>
        <w:rPr/>
        <w:t>Coordinate-space</w:t>
      </w:r>
      <w:r>
        <w:rPr>
          <w:spacing w:val="-6"/>
        </w:rPr>
        <w:t> </w:t>
      </w:r>
      <w:r>
        <w:rPr/>
        <w:t>experimental</w:t>
      </w:r>
      <w:r>
        <w:rPr>
          <w:spacing w:val="-5"/>
        </w:rPr>
        <w:t> </w:t>
      </w:r>
      <w:r>
        <w:rPr>
          <w:spacing w:val="-2"/>
        </w:rPr>
        <w:t>settings</w:t>
      </w:r>
    </w:p>
    <w:p>
      <w:pPr>
        <w:pStyle w:val="BodyText"/>
        <w:spacing w:line="259" w:lineRule="auto" w:before="102"/>
        <w:ind w:right="126"/>
      </w:pPr>
      <w:r>
        <w:rPr/>
        <w:t>Runs</w:t>
      </w:r>
      <w:r>
        <w:rPr>
          <w:spacing w:val="-3"/>
        </w:rPr>
        <w:t> </w:t>
      </w:r>
      <w:r>
        <w:rPr/>
        <w:t>were</w:t>
      </w:r>
      <w:r>
        <w:rPr>
          <w:spacing w:val="-3"/>
        </w:rPr>
        <w:t> </w:t>
      </w:r>
      <w:r>
        <w:rPr/>
        <w:t>recorded</w:t>
      </w:r>
      <w:r>
        <w:rPr>
          <w:spacing w:val="-3"/>
        </w:rPr>
        <w:t> </w:t>
      </w:r>
      <w:r>
        <w:rPr/>
        <w:t>from</w:t>
      </w:r>
      <w:r>
        <w:rPr>
          <w:spacing w:val="-5"/>
        </w:rPr>
        <w:t> </w:t>
      </w:r>
      <w:r>
        <w:rPr/>
        <w:t>Thierry</w:t>
      </w:r>
      <w:r>
        <w:rPr>
          <w:spacing w:val="-4"/>
        </w:rPr>
        <w:t> </w:t>
      </w:r>
      <w:r>
        <w:rPr/>
        <w:t>Kerneur's</w:t>
      </w:r>
      <w:r>
        <w:rPr>
          <w:spacing w:val="-3"/>
        </w:rPr>
        <w:t> </w:t>
      </w:r>
      <w:r>
        <w:rPr/>
        <w:t>ExploreYourDNA</w:t>
      </w:r>
      <w:r>
        <w:rPr>
          <w:spacing w:val="-3"/>
        </w:rPr>
        <w:t> </w:t>
      </w:r>
      <w:r>
        <w:rPr/>
        <w:t>Atlantic</w:t>
      </w:r>
      <w:r>
        <w:rPr>
          <w:spacing w:val="-3"/>
        </w:rPr>
        <w:t> </w:t>
      </w:r>
      <w:r>
        <w:rPr/>
        <w:t>Bronze</w:t>
      </w:r>
      <w:r>
        <w:rPr>
          <w:spacing w:val="-3"/>
        </w:rPr>
        <w:t> </w:t>
      </w:r>
      <w:r>
        <w:rPr/>
        <w:t>Age</w:t>
      </w:r>
      <w:r>
        <w:rPr>
          <w:spacing w:val="-3"/>
        </w:rPr>
        <w:t> </w:t>
      </w:r>
      <w:r>
        <w:rPr/>
        <w:t>calculator</w:t>
      </w:r>
      <w:r>
        <w:rPr>
          <w:spacing w:val="-4"/>
        </w:rPr>
        <w:t> </w:t>
      </w:r>
      <w:r>
        <w:rPr/>
        <w:t>with</w:t>
      </w:r>
      <w:r>
        <w:rPr>
          <w:spacing w:val="-2"/>
        </w:rPr>
        <w:t> </w:t>
      </w:r>
      <w:r>
        <w:rPr/>
        <w:t>cycles set to 0.25X, distance column off, printed zeroes off, fast mode off, and aggregate mode on. The repository retains source and target labels, raw outputs, grouped summaries, screenshots, comparison files, methods notes, validation scripts, and SHA-256 checksums.</w:t>
      </w:r>
    </w:p>
    <w:p>
      <w:pPr>
        <w:pStyle w:val="BodyText"/>
        <w:spacing w:line="259" w:lineRule="auto" w:before="98"/>
        <w:ind w:right="126"/>
      </w:pPr>
      <w:r>
        <w:rPr/>
        <w:t>Displayed coefficients are nonnegative, constrained, source-panel-dependent similarity weights. Correlated sources can substitute for one another, and an unprinted or zero coefficient does not demonstrate historical absence. A modern proxy label is geographic shorthand for sampled coordinate variation</w:t>
      </w:r>
      <w:r>
        <w:rPr>
          <w:spacing w:val="-2"/>
        </w:rPr>
        <w:t> </w:t>
      </w:r>
      <w:r>
        <w:rPr/>
        <w:t>and</w:t>
      </w:r>
      <w:r>
        <w:rPr>
          <w:spacing w:val="-2"/>
        </w:rPr>
        <w:t> </w:t>
      </w:r>
      <w:r>
        <w:rPr/>
        <w:t>is</w:t>
      </w:r>
      <w:r>
        <w:rPr>
          <w:spacing w:val="-2"/>
        </w:rPr>
        <w:t> </w:t>
      </w:r>
      <w:r>
        <w:rPr/>
        <w:t>not</w:t>
      </w:r>
      <w:r>
        <w:rPr>
          <w:spacing w:val="-2"/>
        </w:rPr>
        <w:t> </w:t>
      </w:r>
      <w:r>
        <w:rPr/>
        <w:t>evidence</w:t>
      </w:r>
      <w:r>
        <w:rPr>
          <w:spacing w:val="-2"/>
        </w:rPr>
        <w:t> </w:t>
      </w:r>
      <w:r>
        <w:rPr/>
        <w:t>that</w:t>
      </w:r>
      <w:r>
        <w:rPr>
          <w:spacing w:val="-2"/>
        </w:rPr>
        <w:t> </w:t>
      </w:r>
      <w:r>
        <w:rPr/>
        <w:t>the</w:t>
      </w:r>
      <w:r>
        <w:rPr>
          <w:spacing w:val="-2"/>
        </w:rPr>
        <w:t> </w:t>
      </w:r>
      <w:r>
        <w:rPr/>
        <w:t>named</w:t>
      </w:r>
      <w:r>
        <w:rPr>
          <w:spacing w:val="-2"/>
        </w:rPr>
        <w:t> </w:t>
      </w:r>
      <w:r>
        <w:rPr/>
        <w:t>present-day</w:t>
      </w:r>
      <w:r>
        <w:rPr>
          <w:spacing w:val="-3"/>
        </w:rPr>
        <w:t> </w:t>
      </w:r>
      <w:r>
        <w:rPr/>
        <w:t>population</w:t>
      </w:r>
      <w:r>
        <w:rPr>
          <w:spacing w:val="-2"/>
        </w:rPr>
        <w:t> </w:t>
      </w:r>
      <w:r>
        <w:rPr/>
        <w:t>was</w:t>
      </w:r>
      <w:r>
        <w:rPr>
          <w:spacing w:val="-2"/>
        </w:rPr>
        <w:t> </w:t>
      </w:r>
      <w:r>
        <w:rPr/>
        <w:t>a</w:t>
      </w:r>
      <w:r>
        <w:rPr>
          <w:spacing w:val="-2"/>
        </w:rPr>
        <w:t> </w:t>
      </w:r>
      <w:r>
        <w:rPr/>
        <w:t>literal</w:t>
      </w:r>
      <w:r>
        <w:rPr>
          <w:spacing w:val="-2"/>
        </w:rPr>
        <w:t> </w:t>
      </w:r>
      <w:r>
        <w:rPr/>
        <w:t>ancestral</w:t>
      </w:r>
      <w:r>
        <w:rPr>
          <w:spacing w:val="-2"/>
        </w:rPr>
        <w:t> </w:t>
      </w:r>
      <w:r>
        <w:rPr/>
        <w:t>source.</w:t>
      </w:r>
      <w:r>
        <w:rPr>
          <w:spacing w:val="-2"/>
        </w:rPr>
        <w:t> </w:t>
      </w:r>
      <w:r>
        <w:rPr/>
        <w:t>Regional averages with n=2, ancient averages with n=3 or n=4, and the Italki average with n=9 require additional </w:t>
      </w:r>
      <w:r>
        <w:rPr>
          <w:spacing w:val="-2"/>
        </w:rPr>
        <w:t>caution.</w:t>
      </w:r>
    </w:p>
    <w:p>
      <w:pPr>
        <w:pStyle w:val="BodyText"/>
        <w:spacing w:line="259" w:lineRule="auto"/>
        <w:ind w:right="126"/>
      </w:pPr>
      <w:r>
        <w:rPr/>
        <w:t>For</w:t>
      </w:r>
      <w:r>
        <w:rPr>
          <w:spacing w:val="-3"/>
        </w:rPr>
        <w:t> </w:t>
      </w:r>
      <w:r>
        <w:rPr/>
        <w:t>matched</w:t>
      </w:r>
      <w:r>
        <w:rPr>
          <w:spacing w:val="-2"/>
        </w:rPr>
        <w:t> </w:t>
      </w:r>
      <w:r>
        <w:rPr/>
        <w:t>omission</w:t>
      </w:r>
      <w:r>
        <w:rPr>
          <w:spacing w:val="-2"/>
        </w:rPr>
        <w:t> </w:t>
      </w:r>
      <w:r>
        <w:rPr/>
        <w:t>experiments,</w:t>
      </w:r>
      <w:r>
        <w:rPr>
          <w:spacing w:val="-2"/>
        </w:rPr>
        <w:t> </w:t>
      </w:r>
      <w:r>
        <w:rPr/>
        <w:t>fit</w:t>
      </w:r>
      <w:r>
        <w:rPr>
          <w:spacing w:val="-2"/>
        </w:rPr>
        <w:t> </w:t>
      </w:r>
      <w:r>
        <w:rPr/>
        <w:t>deterioration</w:t>
      </w:r>
      <w:r>
        <w:rPr>
          <w:spacing w:val="-5"/>
        </w:rPr>
        <w:t> </w:t>
      </w:r>
      <w:r>
        <w:rPr/>
        <w:t>was</w:t>
      </w:r>
      <w:r>
        <w:rPr>
          <w:spacing w:val="-2"/>
        </w:rPr>
        <w:t> </w:t>
      </w:r>
      <w:r>
        <w:rPr/>
        <w:t>calculated</w:t>
      </w:r>
      <w:r>
        <w:rPr>
          <w:spacing w:val="-2"/>
        </w:rPr>
        <w:t> </w:t>
      </w:r>
      <w:r>
        <w:rPr/>
        <w:t>as</w:t>
      </w:r>
      <w:r>
        <w:rPr>
          <w:spacing w:val="-2"/>
        </w:rPr>
        <w:t> </w:t>
      </w:r>
      <w:r>
        <w:rPr/>
        <w:t>100</w:t>
      </w:r>
      <w:r>
        <w:rPr>
          <w:spacing w:val="-4"/>
        </w:rPr>
        <w:t> </w:t>
      </w:r>
      <w:r>
        <w:rPr/>
        <w:t>x</w:t>
      </w:r>
      <w:r>
        <w:rPr>
          <w:spacing w:val="-1"/>
        </w:rPr>
        <w:t> </w:t>
      </w:r>
      <w:r>
        <w:rPr/>
        <w:t>(d_reduced</w:t>
      </w:r>
      <w:r>
        <w:rPr>
          <w:spacing w:val="-2"/>
        </w:rPr>
        <w:t> </w:t>
      </w:r>
      <w:r>
        <w:rPr/>
        <w:t>-</w:t>
      </w:r>
      <w:r>
        <w:rPr>
          <w:spacing w:val="-3"/>
        </w:rPr>
        <w:t> </w:t>
      </w:r>
      <w:r>
        <w:rPr/>
        <w:t>d_full)</w:t>
      </w:r>
      <w:r>
        <w:rPr>
          <w:spacing w:val="-1"/>
        </w:rPr>
        <w:t> </w:t>
      </w:r>
      <w:r>
        <w:rPr/>
        <w:t>/</w:t>
      </w:r>
      <w:r>
        <w:rPr>
          <w:spacing w:val="-2"/>
        </w:rPr>
        <w:t> </w:t>
      </w:r>
      <w:r>
        <w:rPr/>
        <w:t>d_full, where d is the displayed residual distance. The primary comparison is therefore not any one coefficient in isolation</w:t>
      </w:r>
      <w:r>
        <w:rPr>
          <w:spacing w:val="-1"/>
        </w:rPr>
        <w:t> </w:t>
      </w:r>
      <w:r>
        <w:rPr/>
        <w:t>but the</w:t>
      </w:r>
      <w:r>
        <w:rPr>
          <w:spacing w:val="-1"/>
        </w:rPr>
        <w:t> </w:t>
      </w:r>
      <w:r>
        <w:rPr/>
        <w:t>joint pattern</w:t>
      </w:r>
      <w:r>
        <w:rPr>
          <w:spacing w:val="-1"/>
        </w:rPr>
        <w:t> </w:t>
      </w:r>
      <w:r>
        <w:rPr/>
        <w:t>of coefficient redistribution</w:t>
      </w:r>
      <w:r>
        <w:rPr>
          <w:spacing w:val="-1"/>
        </w:rPr>
        <w:t> </w:t>
      </w:r>
      <w:r>
        <w:rPr/>
        <w:t>and distance</w:t>
      </w:r>
      <w:r>
        <w:rPr>
          <w:spacing w:val="-1"/>
        </w:rPr>
        <w:t> </w:t>
      </w:r>
      <w:r>
        <w:rPr/>
        <w:t>change</w:t>
      </w:r>
      <w:r>
        <w:rPr>
          <w:spacing w:val="-1"/>
        </w:rPr>
        <w:t> </w:t>
      </w:r>
      <w:r>
        <w:rPr/>
        <w:t>under</w:t>
      </w:r>
      <w:r>
        <w:rPr>
          <w:spacing w:val="-2"/>
        </w:rPr>
        <w:t> </w:t>
      </w:r>
      <w:r>
        <w:rPr/>
        <w:t>a</w:t>
      </w:r>
      <w:r>
        <w:rPr>
          <w:spacing w:val="-1"/>
        </w:rPr>
        <w:t> </w:t>
      </w:r>
      <w:r>
        <w:rPr/>
        <w:t>controlled alteration of the source panel.</w:t>
      </w:r>
    </w:p>
    <w:p>
      <w:pPr>
        <w:pStyle w:val="Heading2"/>
        <w:numPr>
          <w:ilvl w:val="1"/>
          <w:numId w:val="1"/>
        </w:numPr>
        <w:tabs>
          <w:tab w:pos="482" w:val="left" w:leader="none"/>
        </w:tabs>
        <w:spacing w:line="240" w:lineRule="auto" w:before="180" w:after="0"/>
        <w:ind w:left="482" w:right="0" w:hanging="351"/>
        <w:jc w:val="both"/>
      </w:pPr>
      <w:r>
        <w:rPr/>
        <w:t>Full-dimensional</w:t>
      </w:r>
      <w:r>
        <w:rPr>
          <w:spacing w:val="-7"/>
        </w:rPr>
        <w:t> </w:t>
      </w:r>
      <w:r>
        <w:rPr/>
        <w:t>vector</w:t>
      </w:r>
      <w:r>
        <w:rPr>
          <w:spacing w:val="-5"/>
        </w:rPr>
        <w:t> </w:t>
      </w:r>
      <w:r>
        <w:rPr>
          <w:spacing w:val="-2"/>
        </w:rPr>
        <w:t>diagnostic</w:t>
      </w:r>
    </w:p>
    <w:p>
      <w:pPr>
        <w:pStyle w:val="BodyText"/>
        <w:spacing w:line="259" w:lineRule="auto" w:before="100"/>
        <w:ind w:right="123"/>
      </w:pPr>
      <w:r>
        <w:rPr/>
        <w:t>For the Ashkenazi Germany target in Experiment 14, sources retained in the displayed solution were grouped as strict central Mediterranean (Reggio Calabria, Italki, and Maltese), Levantine continuity (Lebanese Arab Christian and Palestinian Arab Christian), and Northern/Eastern European (German and Polish). Within each block,</w:t>
      </w:r>
      <w:r>
        <w:rPr>
          <w:spacing w:val="-1"/>
        </w:rPr>
        <w:t> </w:t>
      </w:r>
      <w:r>
        <w:rPr/>
        <w:t>a coefficient-weighted centroid was calculated after normalizing retained source weights to the block total.</w:t>
      </w:r>
    </w:p>
    <w:p>
      <w:pPr>
        <w:pStyle w:val="BodyText"/>
        <w:spacing w:line="259" w:lineRule="auto" w:before="101"/>
        <w:ind w:right="125"/>
      </w:pPr>
      <w:r>
        <w:rPr/>
        <w:t>Vectors were drawn from the strict central Mediterranean centroid to the Levantine-continuity and Northern/Eastern European centroids in all twenty-five Global25 dimensions. Directional opposition was summarized by cosine similarity. Each vector norm was multiplied by its displayed block coefficient to describe its contribution to the reconstructed displacement. A two-dimensional PCA was used only as an illustration of the same geometry; the full-dimensional calculation is the primary diagnostic, and PCA-axis signs have no historical meaning.</w:t>
      </w:r>
    </w:p>
    <w:p>
      <w:pPr>
        <w:pStyle w:val="Heading2"/>
        <w:numPr>
          <w:ilvl w:val="1"/>
          <w:numId w:val="1"/>
        </w:numPr>
        <w:tabs>
          <w:tab w:pos="482" w:val="left" w:leader="none"/>
        </w:tabs>
        <w:spacing w:line="240" w:lineRule="auto" w:before="176" w:after="0"/>
        <w:ind w:left="482" w:right="0" w:hanging="351"/>
        <w:jc w:val="both"/>
      </w:pPr>
      <w:r>
        <w:rPr/>
        <w:t>Literature</w:t>
      </w:r>
      <w:r>
        <w:rPr>
          <w:spacing w:val="-4"/>
        </w:rPr>
        <w:t> </w:t>
      </w:r>
      <w:r>
        <w:rPr/>
        <w:t>synthesis</w:t>
      </w:r>
      <w:r>
        <w:rPr>
          <w:spacing w:val="-5"/>
        </w:rPr>
        <w:t> </w:t>
      </w:r>
      <w:r>
        <w:rPr/>
        <w:t>and</w:t>
      </w:r>
      <w:r>
        <w:rPr>
          <w:spacing w:val="-5"/>
        </w:rPr>
        <w:t> </w:t>
      </w:r>
      <w:r>
        <w:rPr/>
        <w:t>interpretive</w:t>
      </w:r>
      <w:r>
        <w:rPr>
          <w:spacing w:val="-3"/>
        </w:rPr>
        <w:t> </w:t>
      </w:r>
      <w:r>
        <w:rPr>
          <w:spacing w:val="-4"/>
        </w:rPr>
        <w:t>scope</w:t>
      </w:r>
    </w:p>
    <w:p>
      <w:pPr>
        <w:pStyle w:val="BodyText"/>
        <w:spacing w:line="259" w:lineRule="auto" w:before="102"/>
        <w:ind w:left="130" w:right="124" w:firstLine="317"/>
      </w:pPr>
      <w:r>
        <w:rPr/>
        <w:t>Published PCA, genetic-distance, identity-by-descent, local-ancestry, ancient-DNA, uniparental, and historical studies were reviewed as external constraints. Genome-wide autosomal evidence was given greater interpretive weight than Y-chromosomal or single-locus observations because uniparental markers and founder-associated alleles represent limited portions of the genome and can be strongly affected by drift and endogamy.</w:t>
      </w:r>
    </w:p>
    <w:p>
      <w:pPr>
        <w:pStyle w:val="BodyText"/>
        <w:spacing w:line="259" w:lineRule="auto"/>
        <w:ind w:right="124"/>
      </w:pPr>
      <w:r>
        <w:rPr/>
        <w:t>The fifteen Global25 experiments form one linked sensitivity suite, not fifteen independent hypothesis tests. No p-values, confidence intervals, admixture dates, or multiple-testing claims are derived from the calculator outputs. The strongest inference is the repeated directional response to pre-specified panel changes, particularly Experiments 10-12, supported by reciprocal, regional, geometric, and positive</w:t>
      </w:r>
      <w:r>
        <w:rPr>
          <w:spacing w:val="40"/>
        </w:rPr>
        <w:t> </w:t>
      </w:r>
      <w:r>
        <w:rPr>
          <w:spacing w:val="-2"/>
        </w:rPr>
        <w:t>controls.</w:t>
      </w:r>
    </w:p>
    <w:p>
      <w:pPr>
        <w:pStyle w:val="BodyText"/>
        <w:spacing w:after="0" w:line="259" w:lineRule="auto"/>
        <w:sectPr>
          <w:pgSz w:w="11910" w:h="16840"/>
          <w:pgMar w:header="390" w:footer="444" w:top="940" w:bottom="640" w:left="992" w:right="992"/>
        </w:sectPr>
      </w:pPr>
    </w:p>
    <w:p>
      <w:pPr>
        <w:pStyle w:val="Heading1"/>
        <w:numPr>
          <w:ilvl w:val="0"/>
          <w:numId w:val="1"/>
        </w:numPr>
        <w:tabs>
          <w:tab w:pos="384" w:val="left" w:leader="none"/>
        </w:tabs>
        <w:spacing w:line="240" w:lineRule="auto" w:before="90" w:after="0"/>
        <w:ind w:left="384" w:right="0" w:hanging="253"/>
        <w:jc w:val="both"/>
      </w:pPr>
      <w:r>
        <w:rPr>
          <w:spacing w:val="-2"/>
        </w:rPr>
        <w:t>Results</w:t>
      </w:r>
    </w:p>
    <w:p>
      <w:pPr>
        <w:pStyle w:val="Heading2"/>
        <w:numPr>
          <w:ilvl w:val="1"/>
          <w:numId w:val="1"/>
        </w:numPr>
        <w:tabs>
          <w:tab w:pos="482" w:val="left" w:leader="none"/>
        </w:tabs>
        <w:spacing w:line="240" w:lineRule="auto" w:before="228" w:after="0"/>
        <w:ind w:left="482" w:right="0" w:hanging="351"/>
        <w:jc w:val="both"/>
      </w:pPr>
      <w:r>
        <w:rPr/>
        <w:t>Full</w:t>
      </w:r>
      <w:r>
        <w:rPr>
          <w:spacing w:val="-4"/>
        </w:rPr>
        <w:t> </w:t>
      </w:r>
      <w:r>
        <w:rPr/>
        <w:t>modern</w:t>
      </w:r>
      <w:r>
        <w:rPr>
          <w:spacing w:val="-3"/>
        </w:rPr>
        <w:t> </w:t>
      </w:r>
      <w:r>
        <w:rPr/>
        <w:t>competition</w:t>
      </w:r>
      <w:r>
        <w:rPr>
          <w:spacing w:val="-3"/>
        </w:rPr>
        <w:t> </w:t>
      </w:r>
      <w:r>
        <w:rPr/>
        <w:t>and</w:t>
      </w:r>
      <w:r>
        <w:rPr>
          <w:spacing w:val="-4"/>
        </w:rPr>
        <w:t> </w:t>
      </w:r>
      <w:r>
        <w:rPr/>
        <w:t>matched</w:t>
      </w:r>
      <w:r>
        <w:rPr>
          <w:spacing w:val="-3"/>
        </w:rPr>
        <w:t> </w:t>
      </w:r>
      <w:r>
        <w:rPr>
          <w:spacing w:val="-2"/>
        </w:rPr>
        <w:t>omissions</w:t>
      </w:r>
    </w:p>
    <w:p>
      <w:pPr>
        <w:pStyle w:val="BodyText"/>
        <w:spacing w:line="259" w:lineRule="auto" w:before="100"/>
        <w:ind w:right="125"/>
      </w:pPr>
      <w:r>
        <w:rPr/>
        <w:t>Experiment 10 provides the main full-panel comparison. At distance 0.00819655, the source labeled Italki</w:t>
      </w:r>
      <w:r>
        <w:rPr>
          <w:spacing w:val="-1"/>
        </w:rPr>
        <w:t> </w:t>
      </w:r>
      <w:r>
        <w:rPr/>
        <w:t>is the largest individual</w:t>
      </w:r>
      <w:r>
        <w:rPr>
          <w:spacing w:val="-2"/>
        </w:rPr>
        <w:t> </w:t>
      </w:r>
      <w:r>
        <w:rPr/>
        <w:t>fitted source at</w:t>
      </w:r>
      <w:r>
        <w:rPr>
          <w:spacing w:val="-2"/>
        </w:rPr>
        <w:t> </w:t>
      </w:r>
      <w:r>
        <w:rPr/>
        <w:t>40.8. The strict</w:t>
      </w:r>
      <w:r>
        <w:rPr>
          <w:spacing w:val="-2"/>
        </w:rPr>
        <w:t> </w:t>
      </w:r>
      <w:r>
        <w:rPr/>
        <w:t>Italian Jewish and central</w:t>
      </w:r>
      <w:r>
        <w:rPr>
          <w:spacing w:val="-2"/>
        </w:rPr>
        <w:t> </w:t>
      </w:r>
      <w:r>
        <w:rPr/>
        <w:t>Mediterranean block totals</w:t>
      </w:r>
      <w:r>
        <w:rPr>
          <w:spacing w:val="-2"/>
        </w:rPr>
        <w:t> </w:t>
      </w:r>
      <w:r>
        <w:rPr/>
        <w:t>54.6, with Lombardy</w:t>
      </w:r>
      <w:r>
        <w:rPr>
          <w:spacing w:val="-3"/>
        </w:rPr>
        <w:t> </w:t>
      </w:r>
      <w:r>
        <w:rPr/>
        <w:t>at 9.8, Levantine</w:t>
      </w:r>
      <w:r>
        <w:rPr>
          <w:spacing w:val="-2"/>
        </w:rPr>
        <w:t> </w:t>
      </w:r>
      <w:r>
        <w:rPr/>
        <w:t>continuity</w:t>
      </w:r>
      <w:r>
        <w:rPr>
          <w:spacing w:val="-1"/>
        </w:rPr>
        <w:t> </w:t>
      </w:r>
      <w:r>
        <w:rPr/>
        <w:t>at 22.8,</w:t>
      </w:r>
      <w:r>
        <w:rPr>
          <w:spacing w:val="-2"/>
        </w:rPr>
        <w:t> </w:t>
      </w:r>
      <w:r>
        <w:rPr/>
        <w:t>and</w:t>
      </w:r>
      <w:r>
        <w:rPr>
          <w:spacing w:val="-2"/>
        </w:rPr>
        <w:t> </w:t>
      </w:r>
      <w:r>
        <w:rPr/>
        <w:t>Northern/Eastern</w:t>
      </w:r>
      <w:r>
        <w:rPr>
          <w:spacing w:val="-2"/>
        </w:rPr>
        <w:t> </w:t>
      </w:r>
      <w:r>
        <w:rPr/>
        <w:t>Europe</w:t>
      </w:r>
      <w:r>
        <w:rPr>
          <w:spacing w:val="-2"/>
        </w:rPr>
        <w:t> </w:t>
      </w:r>
      <w:r>
        <w:rPr/>
        <w:t>at</w:t>
      </w:r>
      <w:r>
        <w:rPr>
          <w:spacing w:val="-2"/>
        </w:rPr>
        <w:t> </w:t>
      </w:r>
      <w:r>
        <w:rPr/>
        <w:t>12.8. These values establish</w:t>
      </w:r>
      <w:r>
        <w:rPr>
          <w:spacing w:val="-2"/>
        </w:rPr>
        <w:t> </w:t>
      </w:r>
      <w:r>
        <w:rPr/>
        <w:t>the</w:t>
      </w:r>
      <w:r>
        <w:rPr>
          <w:spacing w:val="-1"/>
        </w:rPr>
        <w:t> </w:t>
      </w:r>
      <w:r>
        <w:rPr/>
        <w:t>baseline</w:t>
      </w:r>
      <w:r>
        <w:rPr>
          <w:spacing w:val="-1"/>
        </w:rPr>
        <w:t> </w:t>
      </w:r>
      <w:r>
        <w:rPr/>
        <w:t>response</w:t>
      </w:r>
      <w:r>
        <w:rPr>
          <w:spacing w:val="-1"/>
        </w:rPr>
        <w:t> </w:t>
      </w:r>
      <w:r>
        <w:rPr/>
        <w:t>when</w:t>
      </w:r>
      <w:r>
        <w:rPr>
          <w:spacing w:val="-1"/>
        </w:rPr>
        <w:t> </w:t>
      </w:r>
      <w:r>
        <w:rPr/>
        <w:t>all</w:t>
      </w:r>
      <w:r>
        <w:rPr>
          <w:spacing w:val="-3"/>
        </w:rPr>
        <w:t> </w:t>
      </w:r>
      <w:r>
        <w:rPr/>
        <w:t>declared source</w:t>
      </w:r>
      <w:r>
        <w:rPr>
          <w:spacing w:val="-1"/>
        </w:rPr>
        <w:t> </w:t>
      </w:r>
      <w:r>
        <w:rPr/>
        <w:t>categories are</w:t>
      </w:r>
      <w:r>
        <w:rPr>
          <w:spacing w:val="-1"/>
        </w:rPr>
        <w:t> </w:t>
      </w:r>
      <w:r>
        <w:rPr/>
        <w:t>allowed to</w:t>
      </w:r>
      <w:r>
        <w:rPr>
          <w:spacing w:val="-2"/>
        </w:rPr>
        <w:t> </w:t>
      </w:r>
      <w:r>
        <w:rPr/>
        <w:t>compete;</w:t>
      </w:r>
      <w:r>
        <w:rPr>
          <w:spacing w:val="-1"/>
        </w:rPr>
        <w:t> </w:t>
      </w:r>
      <w:r>
        <w:rPr/>
        <w:t>they</w:t>
      </w:r>
      <w:r>
        <w:rPr>
          <w:spacing w:val="-2"/>
        </w:rPr>
        <w:t> </w:t>
      </w:r>
      <w:r>
        <w:rPr/>
        <w:t>are not treated as ancestry percentages.</w:t>
      </w:r>
    </w:p>
    <w:p>
      <w:pPr>
        <w:pStyle w:val="BodyText"/>
        <w:spacing w:line="259" w:lineRule="auto" w:before="101"/>
        <w:ind w:right="125"/>
      </w:pPr>
      <w:r>
        <w:rPr/>
        <w:t>Experiment 11 removes only Italki. Distance increases to 0.00922012, a deterioration of 12.49 percent. The strict central Mediterranean block remains 43.6 because related Mediterranean sources absorb much</w:t>
      </w:r>
      <w:r>
        <w:rPr>
          <w:spacing w:val="40"/>
        </w:rPr>
        <w:t> </w:t>
      </w:r>
      <w:r>
        <w:rPr/>
        <w:t>of the displaced coefficient. Lombardy rises to 14.4, Levantine continuity rises to 32.6, and Northern/Eastern Europe declines to 9.4. The result is consistent with source substitution among</w:t>
      </w:r>
      <w:r>
        <w:rPr>
          <w:spacing w:val="40"/>
        </w:rPr>
        <w:t> </w:t>
      </w:r>
      <w:r>
        <w:rPr/>
        <w:t>correlated Mediterranean populations rather than with a unique, literal contribution from one modern </w:t>
      </w:r>
      <w:r>
        <w:rPr>
          <w:spacing w:val="-2"/>
        </w:rPr>
        <w:t>group.</w:t>
      </w:r>
    </w:p>
    <w:p>
      <w:pPr>
        <w:pStyle w:val="BodyText"/>
        <w:spacing w:line="259" w:lineRule="auto" w:before="96"/>
        <w:ind w:right="123"/>
      </w:pPr>
      <w:r>
        <w:rPr/>
        <w:t>Experiment 12 removes Italki together with Southern Italian, Sicilian, Maltese, and Aegean sources. Distance rises to 0.01206331, a deterioration of 47.18 percent relative to the full panel. The strict central Mediterranean block is no longer available; Lombardy rises from 9.8 to 38.0 and Levantine continuity rises from 22.8 to 52.0. The more pronounced Northern Italian-Levantine solution therefore appears only after the nearer central Mediterranean source space has been removed, and it explains the target substantially less well within the declared coordinate system.</w:t>
      </w:r>
    </w:p>
    <w:p>
      <w:pPr>
        <w:pStyle w:val="BodyText"/>
        <w:spacing w:before="1"/>
        <w:ind w:left="0" w:firstLine="0"/>
        <w:jc w:val="left"/>
        <w:rPr>
          <w:sz w:val="17"/>
        </w:rPr>
      </w:pPr>
      <w:r>
        <w:rPr>
          <w:sz w:val="17"/>
        </w:rPr>
        <w:drawing>
          <wp:anchor distT="0" distB="0" distL="0" distR="0" allowOverlap="1" layoutInCell="1" locked="0" behindDoc="1" simplePos="0" relativeHeight="487588352">
            <wp:simplePos x="0" y="0"/>
            <wp:positionH relativeFrom="page">
              <wp:posOffset>911054</wp:posOffset>
            </wp:positionH>
            <wp:positionV relativeFrom="paragraph">
              <wp:posOffset>142426</wp:posOffset>
            </wp:positionV>
            <wp:extent cx="5752158" cy="3800475"/>
            <wp:effectExtent l="0" t="0" r="0" b="0"/>
            <wp:wrapTopAndBottom/>
            <wp:docPr id="4" name="Image 4" descr="Stacked bar chart comparing Experiments 10, 11, and 12, showing coefficient redistribution and worsening fit after omission of Italki and wider central Mediterranean sources." title="Figure 2"/>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752158" cy="3800475"/>
                    </a:xfrm>
                    <a:prstGeom prst="rect">
                      <a:avLst/>
                    </a:prstGeom>
                  </pic:spPr>
                </pic:pic>
              </a:graphicData>
            </a:graphic>
          </wp:anchor>
        </w:drawing>
      </w:r>
    </w:p>
    <w:p>
      <w:pPr>
        <w:pStyle w:val="BodyText"/>
        <w:spacing w:before="25"/>
        <w:ind w:left="0" w:firstLine="0"/>
        <w:jc w:val="left"/>
      </w:pPr>
    </w:p>
    <w:p>
      <w:pPr>
        <w:spacing w:before="0"/>
        <w:ind w:left="131" w:right="148" w:firstLine="0"/>
        <w:jc w:val="left"/>
        <w:rPr>
          <w:sz w:val="18"/>
        </w:rPr>
      </w:pPr>
      <w:r>
        <w:rPr>
          <w:sz w:val="18"/>
        </w:rPr>
        <w:t>Figure 2. Matched source-panel comparison for Experiments 10-12. Removing only Italki transfers much of the fitted weight</w:t>
      </w:r>
      <w:r>
        <w:rPr>
          <w:spacing w:val="40"/>
          <w:sz w:val="18"/>
        </w:rPr>
        <w:t> </w:t>
      </w:r>
      <w:r>
        <w:rPr>
          <w:sz w:val="18"/>
        </w:rPr>
        <w:t>to</w:t>
      </w:r>
      <w:r>
        <w:rPr>
          <w:spacing w:val="-2"/>
          <w:sz w:val="18"/>
        </w:rPr>
        <w:t> </w:t>
      </w:r>
      <w:r>
        <w:rPr>
          <w:sz w:val="18"/>
        </w:rPr>
        <w:t>related</w:t>
      </w:r>
      <w:r>
        <w:rPr>
          <w:spacing w:val="-4"/>
          <w:sz w:val="18"/>
        </w:rPr>
        <w:t> </w:t>
      </w:r>
      <w:r>
        <w:rPr>
          <w:sz w:val="18"/>
        </w:rPr>
        <w:t>Mediterranean</w:t>
      </w:r>
      <w:r>
        <w:rPr>
          <w:spacing w:val="-2"/>
          <w:sz w:val="18"/>
        </w:rPr>
        <w:t> </w:t>
      </w:r>
      <w:r>
        <w:rPr>
          <w:sz w:val="18"/>
        </w:rPr>
        <w:t>sources</w:t>
      </w:r>
      <w:r>
        <w:rPr>
          <w:spacing w:val="-3"/>
          <w:sz w:val="18"/>
        </w:rPr>
        <w:t> </w:t>
      </w:r>
      <w:r>
        <w:rPr>
          <w:sz w:val="18"/>
        </w:rPr>
        <w:t>and</w:t>
      </w:r>
      <w:r>
        <w:rPr>
          <w:spacing w:val="-1"/>
          <w:sz w:val="18"/>
        </w:rPr>
        <w:t> </w:t>
      </w:r>
      <w:r>
        <w:rPr>
          <w:sz w:val="18"/>
        </w:rPr>
        <w:t>moderately</w:t>
      </w:r>
      <w:r>
        <w:rPr>
          <w:spacing w:val="-2"/>
          <w:sz w:val="18"/>
        </w:rPr>
        <w:t> </w:t>
      </w:r>
      <w:r>
        <w:rPr>
          <w:sz w:val="18"/>
        </w:rPr>
        <w:t>worsens</w:t>
      </w:r>
      <w:r>
        <w:rPr>
          <w:spacing w:val="-3"/>
          <w:sz w:val="18"/>
        </w:rPr>
        <w:t> </w:t>
      </w:r>
      <w:r>
        <w:rPr>
          <w:sz w:val="18"/>
        </w:rPr>
        <w:t>distance.</w:t>
      </w:r>
      <w:r>
        <w:rPr>
          <w:spacing w:val="-3"/>
          <w:sz w:val="18"/>
        </w:rPr>
        <w:t> </w:t>
      </w:r>
      <w:r>
        <w:rPr>
          <w:sz w:val="18"/>
        </w:rPr>
        <w:t>Removing</w:t>
      </w:r>
      <w:r>
        <w:rPr>
          <w:spacing w:val="-2"/>
          <w:sz w:val="18"/>
        </w:rPr>
        <w:t> </w:t>
      </w:r>
      <w:r>
        <w:rPr>
          <w:sz w:val="18"/>
        </w:rPr>
        <w:t>the</w:t>
      </w:r>
      <w:r>
        <w:rPr>
          <w:spacing w:val="-4"/>
          <w:sz w:val="18"/>
        </w:rPr>
        <w:t> </w:t>
      </w:r>
      <w:r>
        <w:rPr>
          <w:sz w:val="18"/>
        </w:rPr>
        <w:t>wider</w:t>
      </w:r>
      <w:r>
        <w:rPr>
          <w:spacing w:val="-2"/>
          <w:sz w:val="18"/>
        </w:rPr>
        <w:t> </w:t>
      </w:r>
      <w:r>
        <w:rPr>
          <w:sz w:val="18"/>
        </w:rPr>
        <w:t>central</w:t>
      </w:r>
      <w:r>
        <w:rPr>
          <w:spacing w:val="-3"/>
          <w:sz w:val="18"/>
        </w:rPr>
        <w:t> </w:t>
      </w:r>
      <w:r>
        <w:rPr>
          <w:sz w:val="18"/>
        </w:rPr>
        <w:t>Mediterranean</w:t>
      </w:r>
      <w:r>
        <w:rPr>
          <w:spacing w:val="-2"/>
          <w:sz w:val="18"/>
        </w:rPr>
        <w:t> </w:t>
      </w:r>
      <w:r>
        <w:rPr>
          <w:sz w:val="18"/>
        </w:rPr>
        <w:t>source</w:t>
      </w:r>
      <w:r>
        <w:rPr>
          <w:spacing w:val="-4"/>
          <w:sz w:val="18"/>
        </w:rPr>
        <w:t> </w:t>
      </w:r>
      <w:r>
        <w:rPr>
          <w:sz w:val="18"/>
        </w:rPr>
        <w:t>space</w:t>
      </w:r>
      <w:r>
        <w:rPr>
          <w:spacing w:val="40"/>
          <w:sz w:val="18"/>
        </w:rPr>
        <w:t> </w:t>
      </w:r>
      <w:r>
        <w:rPr>
          <w:sz w:val="18"/>
        </w:rPr>
        <w:t>produces larger Lombardy and Levantine-continuity weights together with a 47.18 percent deterioration in distance. Values</w:t>
      </w:r>
      <w:r>
        <w:rPr>
          <w:spacing w:val="40"/>
          <w:sz w:val="18"/>
        </w:rPr>
        <w:t> </w:t>
      </w:r>
      <w:r>
        <w:rPr>
          <w:sz w:val="18"/>
        </w:rPr>
        <w:t>are descriptive panel allocations, not literal ancestry percentages.</w:t>
      </w:r>
    </w:p>
    <w:p>
      <w:pPr>
        <w:pStyle w:val="Heading2"/>
        <w:numPr>
          <w:ilvl w:val="1"/>
          <w:numId w:val="1"/>
        </w:numPr>
        <w:tabs>
          <w:tab w:pos="482" w:val="left" w:leader="none"/>
        </w:tabs>
        <w:spacing w:line="240" w:lineRule="auto" w:before="184" w:after="0"/>
        <w:ind w:left="482" w:right="0" w:hanging="351"/>
        <w:jc w:val="both"/>
      </w:pPr>
      <w:r>
        <w:rPr/>
        <w:t>Reciprocal</w:t>
      </w:r>
      <w:r>
        <w:rPr>
          <w:spacing w:val="-6"/>
        </w:rPr>
        <w:t> </w:t>
      </w:r>
      <w:r>
        <w:rPr/>
        <w:t>Italian</w:t>
      </w:r>
      <w:r>
        <w:rPr>
          <w:spacing w:val="-4"/>
        </w:rPr>
        <w:t> </w:t>
      </w:r>
      <w:r>
        <w:rPr/>
        <w:t>Jewish</w:t>
      </w:r>
      <w:r>
        <w:rPr>
          <w:spacing w:val="-6"/>
        </w:rPr>
        <w:t> </w:t>
      </w:r>
      <w:r>
        <w:rPr/>
        <w:t>comparator</w:t>
      </w:r>
      <w:r>
        <w:rPr>
          <w:spacing w:val="-4"/>
        </w:rPr>
        <w:t> tests</w:t>
      </w:r>
    </w:p>
    <w:p>
      <w:pPr>
        <w:pStyle w:val="BodyText"/>
        <w:spacing w:line="259" w:lineRule="auto" w:before="100"/>
        <w:ind w:right="123"/>
      </w:pPr>
      <w:r>
        <w:rPr/>
        <w:t>Experiment 6 reverses the target and models Italki without using Ashkenazi Jews as a source. At</w:t>
      </w:r>
      <w:r>
        <w:rPr>
          <w:spacing w:val="40"/>
        </w:rPr>
        <w:t> </w:t>
      </w:r>
      <w:r>
        <w:rPr/>
        <w:t>distance 0.01732664, the displayed solution resolves through Maltese, Rhodian Greek, eastern Sicilian, and Reggio</w:t>
      </w:r>
      <w:r>
        <w:rPr>
          <w:spacing w:val="24"/>
        </w:rPr>
        <w:t> </w:t>
      </w:r>
      <w:r>
        <w:rPr/>
        <w:t>Calabria</w:t>
      </w:r>
      <w:r>
        <w:rPr>
          <w:spacing w:val="25"/>
        </w:rPr>
        <w:t> </w:t>
      </w:r>
      <w:r>
        <w:rPr/>
        <w:t>sources.</w:t>
      </w:r>
      <w:r>
        <w:rPr>
          <w:spacing w:val="23"/>
        </w:rPr>
        <w:t> </w:t>
      </w:r>
      <w:r>
        <w:rPr/>
        <w:t>No</w:t>
      </w:r>
      <w:r>
        <w:rPr>
          <w:spacing w:val="26"/>
        </w:rPr>
        <w:t> </w:t>
      </w:r>
      <w:r>
        <w:rPr/>
        <w:t>Northern</w:t>
      </w:r>
      <w:r>
        <w:rPr>
          <w:spacing w:val="23"/>
        </w:rPr>
        <w:t> </w:t>
      </w:r>
      <w:r>
        <w:rPr/>
        <w:t>Italian,</w:t>
      </w:r>
      <w:r>
        <w:rPr>
          <w:spacing w:val="25"/>
        </w:rPr>
        <w:t> </w:t>
      </w:r>
      <w:r>
        <w:rPr/>
        <w:t>Tuscan,</w:t>
      </w:r>
      <w:r>
        <w:rPr>
          <w:spacing w:val="25"/>
        </w:rPr>
        <w:t> </w:t>
      </w:r>
      <w:r>
        <w:rPr/>
        <w:t>German,</w:t>
      </w:r>
      <w:r>
        <w:rPr>
          <w:spacing w:val="25"/>
        </w:rPr>
        <w:t> </w:t>
      </w:r>
      <w:r>
        <w:rPr/>
        <w:t>Polish,</w:t>
      </w:r>
      <w:r>
        <w:rPr>
          <w:spacing w:val="25"/>
        </w:rPr>
        <w:t> </w:t>
      </w:r>
      <w:r>
        <w:rPr/>
        <w:t>or</w:t>
      </w:r>
      <w:r>
        <w:rPr>
          <w:spacing w:val="23"/>
        </w:rPr>
        <w:t> </w:t>
      </w:r>
      <w:r>
        <w:rPr/>
        <w:t>Russian</w:t>
      </w:r>
      <w:r>
        <w:rPr>
          <w:spacing w:val="25"/>
        </w:rPr>
        <w:t> </w:t>
      </w:r>
      <w:r>
        <w:rPr/>
        <w:t>source</w:t>
      </w:r>
      <w:r>
        <w:rPr>
          <w:spacing w:val="26"/>
        </w:rPr>
        <w:t> </w:t>
      </w:r>
      <w:r>
        <w:rPr/>
        <w:t>is</w:t>
      </w:r>
      <w:r>
        <w:rPr>
          <w:spacing w:val="26"/>
        </w:rPr>
        <w:t> </w:t>
      </w:r>
      <w:r>
        <w:rPr/>
        <w:t>retained.</w:t>
      </w:r>
      <w:r>
        <w:rPr>
          <w:spacing w:val="25"/>
        </w:rPr>
        <w:t> </w:t>
      </w:r>
      <w:r>
        <w:rPr/>
        <w:t>The</w:t>
      </w:r>
    </w:p>
    <w:p>
      <w:pPr>
        <w:pStyle w:val="BodyText"/>
        <w:spacing w:after="0" w:line="259" w:lineRule="auto"/>
        <w:sectPr>
          <w:pgSz w:w="11910" w:h="16840"/>
          <w:pgMar w:header="390" w:footer="444" w:top="940" w:bottom="640" w:left="992" w:right="992"/>
        </w:sectPr>
      </w:pPr>
    </w:p>
    <w:p>
      <w:pPr>
        <w:pStyle w:val="BodyText"/>
        <w:spacing w:line="256" w:lineRule="auto" w:before="92"/>
        <w:ind w:right="127" w:firstLine="0"/>
      </w:pPr>
      <w:r>
        <w:rPr/>
        <w:t>result shows that the</w:t>
      </w:r>
      <w:r>
        <w:rPr>
          <w:spacing w:val="-3"/>
        </w:rPr>
        <w:t> </w:t>
      </w:r>
      <w:r>
        <w:rPr/>
        <w:t>central</w:t>
      </w:r>
      <w:r>
        <w:rPr>
          <w:spacing w:val="-1"/>
        </w:rPr>
        <w:t> </w:t>
      </w:r>
      <w:r>
        <w:rPr/>
        <w:t>Mediterranean</w:t>
      </w:r>
      <w:r>
        <w:rPr>
          <w:spacing w:val="-1"/>
        </w:rPr>
        <w:t> </w:t>
      </w:r>
      <w:r>
        <w:rPr/>
        <w:t>direction</w:t>
      </w:r>
      <w:r>
        <w:rPr>
          <w:spacing w:val="-3"/>
        </w:rPr>
        <w:t> </w:t>
      </w:r>
      <w:r>
        <w:rPr/>
        <w:t>is present in</w:t>
      </w:r>
      <w:r>
        <w:rPr>
          <w:spacing w:val="-1"/>
        </w:rPr>
        <w:t> </w:t>
      </w:r>
      <w:r>
        <w:rPr/>
        <w:t>an</w:t>
      </w:r>
      <w:r>
        <w:rPr>
          <w:spacing w:val="-1"/>
        </w:rPr>
        <w:t> </w:t>
      </w:r>
      <w:r>
        <w:rPr/>
        <w:t>Italian</w:t>
      </w:r>
      <w:r>
        <w:rPr>
          <w:spacing w:val="-3"/>
        </w:rPr>
        <w:t> </w:t>
      </w:r>
      <w:r>
        <w:rPr/>
        <w:t>Jewish target independently</w:t>
      </w:r>
      <w:r>
        <w:rPr>
          <w:spacing w:val="-2"/>
        </w:rPr>
        <w:t> </w:t>
      </w:r>
      <w:r>
        <w:rPr/>
        <w:t>of later Ashkenazi residence north of the Alps.</w:t>
      </w:r>
    </w:p>
    <w:p>
      <w:pPr>
        <w:pStyle w:val="BodyText"/>
        <w:spacing w:line="259" w:lineRule="auto" w:before="105"/>
        <w:ind w:right="126"/>
      </w:pPr>
      <w:r>
        <w:rPr/>
        <w:t>Experiment 13 expands the reciprocal panel by adding modern Levantine-continuity controls while continuing</w:t>
      </w:r>
      <w:r>
        <w:rPr>
          <w:spacing w:val="32"/>
        </w:rPr>
        <w:t> </w:t>
      </w:r>
      <w:r>
        <w:rPr/>
        <w:t>to</w:t>
      </w:r>
      <w:r>
        <w:rPr>
          <w:spacing w:val="32"/>
        </w:rPr>
        <w:t> </w:t>
      </w:r>
      <w:r>
        <w:rPr/>
        <w:t>exclude</w:t>
      </w:r>
      <w:r>
        <w:rPr>
          <w:spacing w:val="31"/>
        </w:rPr>
        <w:t> </w:t>
      </w:r>
      <w:r>
        <w:rPr/>
        <w:t>Ashkenazi</w:t>
      </w:r>
      <w:r>
        <w:rPr>
          <w:spacing w:val="30"/>
        </w:rPr>
        <w:t> </w:t>
      </w:r>
      <w:r>
        <w:rPr/>
        <w:t>sources.</w:t>
      </w:r>
      <w:r>
        <w:rPr>
          <w:spacing w:val="31"/>
        </w:rPr>
        <w:t> </w:t>
      </w:r>
      <w:r>
        <w:rPr/>
        <w:t>At</w:t>
      </w:r>
      <w:r>
        <w:rPr>
          <w:spacing w:val="32"/>
        </w:rPr>
        <w:t> </w:t>
      </w:r>
      <w:r>
        <w:rPr/>
        <w:t>distance</w:t>
      </w:r>
      <w:r>
        <w:rPr>
          <w:spacing w:val="31"/>
        </w:rPr>
        <w:t> </w:t>
      </w:r>
      <w:r>
        <w:rPr/>
        <w:t>0.00984550,</w:t>
      </w:r>
      <w:r>
        <w:rPr>
          <w:spacing w:val="31"/>
        </w:rPr>
        <w:t> </w:t>
      </w:r>
      <w:r>
        <w:rPr/>
        <w:t>the</w:t>
      </w:r>
      <w:r>
        <w:rPr>
          <w:spacing w:val="31"/>
        </w:rPr>
        <w:t> </w:t>
      </w:r>
      <w:r>
        <w:rPr/>
        <w:t>displayed</w:t>
      </w:r>
      <w:r>
        <w:rPr>
          <w:spacing w:val="32"/>
        </w:rPr>
        <w:t> </w:t>
      </w:r>
      <w:r>
        <w:rPr/>
        <w:t>Italki</w:t>
      </w:r>
      <w:r>
        <w:rPr>
          <w:spacing w:val="30"/>
        </w:rPr>
        <w:t> </w:t>
      </w:r>
      <w:r>
        <w:rPr/>
        <w:t>solution</w:t>
      </w:r>
      <w:r>
        <w:rPr>
          <w:spacing w:val="31"/>
        </w:rPr>
        <w:t> </w:t>
      </w:r>
      <w:r>
        <w:rPr/>
        <w:t>contains</w:t>
      </w:r>
    </w:p>
    <w:p>
      <w:pPr>
        <w:pStyle w:val="BodyText"/>
        <w:spacing w:line="259" w:lineRule="auto" w:before="1"/>
        <w:ind w:right="122" w:firstLine="0"/>
      </w:pPr>
      <w:r>
        <w:rPr/>
        <w:t>70.6 strict central Mediterranean, 4.2 Lombardy, and 25.2 Levantine continuity, with no Northern/Eastern European coefficient retained. A zero displayed coefficient does not prove historical absence, but it does show</w:t>
      </w:r>
      <w:r>
        <w:rPr>
          <w:spacing w:val="-2"/>
        </w:rPr>
        <w:t> </w:t>
      </w:r>
      <w:r>
        <w:rPr/>
        <w:t>that</w:t>
      </w:r>
      <w:r>
        <w:rPr>
          <w:spacing w:val="-2"/>
        </w:rPr>
        <w:t> </w:t>
      </w:r>
      <w:r>
        <w:rPr/>
        <w:t>later</w:t>
      </w:r>
      <w:r>
        <w:rPr>
          <w:spacing w:val="-3"/>
        </w:rPr>
        <w:t> </w:t>
      </w:r>
      <w:r>
        <w:rPr/>
        <w:t>northern</w:t>
      </w:r>
      <w:r>
        <w:rPr>
          <w:spacing w:val="-2"/>
        </w:rPr>
        <w:t> </w:t>
      </w:r>
      <w:r>
        <w:rPr/>
        <w:t>host</w:t>
      </w:r>
      <w:r>
        <w:rPr>
          <w:spacing w:val="-2"/>
        </w:rPr>
        <w:t> </w:t>
      </w:r>
      <w:r>
        <w:rPr/>
        <w:t>populations</w:t>
      </w:r>
      <w:r>
        <w:rPr>
          <w:spacing w:val="-2"/>
        </w:rPr>
        <w:t> </w:t>
      </w:r>
      <w:r>
        <w:rPr/>
        <w:t>were</w:t>
      </w:r>
      <w:r>
        <w:rPr>
          <w:spacing w:val="-2"/>
        </w:rPr>
        <w:t> </w:t>
      </w:r>
      <w:r>
        <w:rPr/>
        <w:t>available</w:t>
      </w:r>
      <w:r>
        <w:rPr>
          <w:spacing w:val="-2"/>
        </w:rPr>
        <w:t> </w:t>
      </w:r>
      <w:r>
        <w:rPr/>
        <w:t>to</w:t>
      </w:r>
      <w:r>
        <w:rPr>
          <w:spacing w:val="-1"/>
        </w:rPr>
        <w:t> </w:t>
      </w:r>
      <w:r>
        <w:rPr/>
        <w:t>the</w:t>
      </w:r>
      <w:r>
        <w:rPr>
          <w:spacing w:val="-2"/>
        </w:rPr>
        <w:t> </w:t>
      </w:r>
      <w:r>
        <w:rPr/>
        <w:t>model</w:t>
      </w:r>
      <w:r>
        <w:rPr>
          <w:spacing w:val="-2"/>
        </w:rPr>
        <w:t> </w:t>
      </w:r>
      <w:r>
        <w:rPr/>
        <w:t>and</w:t>
      </w:r>
      <w:r>
        <w:rPr>
          <w:spacing w:val="-2"/>
        </w:rPr>
        <w:t> </w:t>
      </w:r>
      <w:r>
        <w:rPr/>
        <w:t>were</w:t>
      </w:r>
      <w:r>
        <w:rPr>
          <w:spacing w:val="-4"/>
        </w:rPr>
        <w:t> </w:t>
      </w:r>
      <w:r>
        <w:rPr/>
        <w:t>not</w:t>
      </w:r>
      <w:r>
        <w:rPr>
          <w:spacing w:val="-2"/>
        </w:rPr>
        <w:t> </w:t>
      </w:r>
      <w:r>
        <w:rPr/>
        <w:t>required</w:t>
      </w:r>
      <w:r>
        <w:rPr>
          <w:spacing w:val="-2"/>
        </w:rPr>
        <w:t> </w:t>
      </w:r>
      <w:r>
        <w:rPr/>
        <w:t>to</w:t>
      </w:r>
      <w:r>
        <w:rPr>
          <w:spacing w:val="-1"/>
        </w:rPr>
        <w:t> </w:t>
      </w:r>
      <w:r>
        <w:rPr/>
        <w:t>reconstruct the target under this panel.</w:t>
      </w:r>
    </w:p>
    <w:p>
      <w:pPr>
        <w:pStyle w:val="BodyText"/>
        <w:spacing w:before="8"/>
        <w:ind w:left="0" w:firstLine="0"/>
        <w:jc w:val="left"/>
        <w:rPr>
          <w:sz w:val="16"/>
        </w:rPr>
      </w:pPr>
      <w:r>
        <w:rPr>
          <w:sz w:val="16"/>
        </w:rPr>
        <w:drawing>
          <wp:anchor distT="0" distB="0" distL="0" distR="0" allowOverlap="1" layoutInCell="1" locked="0" behindDoc="1" simplePos="0" relativeHeight="487588864">
            <wp:simplePos x="0" y="0"/>
            <wp:positionH relativeFrom="page">
              <wp:posOffset>924190</wp:posOffset>
            </wp:positionH>
            <wp:positionV relativeFrom="paragraph">
              <wp:posOffset>139965</wp:posOffset>
            </wp:positionV>
            <wp:extent cx="5792163" cy="2426017"/>
            <wp:effectExtent l="0" t="0" r="0" b="0"/>
            <wp:wrapTopAndBottom/>
            <wp:docPr id="5" name="Image 5" descr="Horizontal stacked bars for reciprocal Italki models in Experiments 6 and 13, showing central Mediterranean, Lombardy, Levantine-continuity, and Northern or Eastern European fitted blocks." title="Figure 3"/>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792163" cy="2426017"/>
                    </a:xfrm>
                    <a:prstGeom prst="rect">
                      <a:avLst/>
                    </a:prstGeom>
                  </pic:spPr>
                </pic:pic>
              </a:graphicData>
            </a:graphic>
          </wp:anchor>
        </w:drawing>
      </w:r>
    </w:p>
    <w:p>
      <w:pPr>
        <w:spacing w:line="242" w:lineRule="auto" w:before="242"/>
        <w:ind w:left="131" w:right="181" w:firstLine="0"/>
        <w:jc w:val="left"/>
        <w:rPr>
          <w:sz w:val="18"/>
        </w:rPr>
      </w:pPr>
      <w:r>
        <w:rPr>
          <w:sz w:val="18"/>
        </w:rPr>
        <w:t>Figure 3. Reciprocal Italki models in Experiments 6 and 13. The original panel resolves entirely through central</w:t>
      </w:r>
      <w:r>
        <w:rPr>
          <w:spacing w:val="40"/>
          <w:sz w:val="18"/>
        </w:rPr>
        <w:t> </w:t>
      </w:r>
      <w:r>
        <w:rPr>
          <w:sz w:val="18"/>
        </w:rPr>
        <w:t>Mediterranean</w:t>
      </w:r>
      <w:r>
        <w:rPr>
          <w:spacing w:val="-4"/>
          <w:sz w:val="18"/>
        </w:rPr>
        <w:t> </w:t>
      </w:r>
      <w:r>
        <w:rPr>
          <w:sz w:val="18"/>
        </w:rPr>
        <w:t>and</w:t>
      </w:r>
      <w:r>
        <w:rPr>
          <w:spacing w:val="-1"/>
          <w:sz w:val="18"/>
        </w:rPr>
        <w:t> </w:t>
      </w:r>
      <w:r>
        <w:rPr>
          <w:sz w:val="18"/>
        </w:rPr>
        <w:t>Aegean</w:t>
      </w:r>
      <w:r>
        <w:rPr>
          <w:spacing w:val="-2"/>
          <w:sz w:val="18"/>
        </w:rPr>
        <w:t> </w:t>
      </w:r>
      <w:r>
        <w:rPr>
          <w:sz w:val="18"/>
        </w:rPr>
        <w:t>sources.</w:t>
      </w:r>
      <w:r>
        <w:rPr>
          <w:spacing w:val="-3"/>
          <w:sz w:val="18"/>
        </w:rPr>
        <w:t> </w:t>
      </w:r>
      <w:r>
        <w:rPr>
          <w:sz w:val="18"/>
        </w:rPr>
        <w:t>The</w:t>
      </w:r>
      <w:r>
        <w:rPr>
          <w:spacing w:val="-1"/>
          <w:sz w:val="18"/>
        </w:rPr>
        <w:t> </w:t>
      </w:r>
      <w:r>
        <w:rPr>
          <w:sz w:val="18"/>
        </w:rPr>
        <w:t>expanded</w:t>
      </w:r>
      <w:r>
        <w:rPr>
          <w:spacing w:val="-4"/>
          <w:sz w:val="18"/>
        </w:rPr>
        <w:t> </w:t>
      </w:r>
      <w:r>
        <w:rPr>
          <w:sz w:val="18"/>
        </w:rPr>
        <w:t>panel</w:t>
      </w:r>
      <w:r>
        <w:rPr>
          <w:spacing w:val="-3"/>
          <w:sz w:val="18"/>
        </w:rPr>
        <w:t> </w:t>
      </w:r>
      <w:r>
        <w:rPr>
          <w:sz w:val="18"/>
        </w:rPr>
        <w:t>retains</w:t>
      </w:r>
      <w:r>
        <w:rPr>
          <w:spacing w:val="-3"/>
          <w:sz w:val="18"/>
        </w:rPr>
        <w:t> </w:t>
      </w:r>
      <w:r>
        <w:rPr>
          <w:sz w:val="18"/>
        </w:rPr>
        <w:t>a</w:t>
      </w:r>
      <w:r>
        <w:rPr>
          <w:spacing w:val="-1"/>
          <w:sz w:val="18"/>
        </w:rPr>
        <w:t> </w:t>
      </w:r>
      <w:r>
        <w:rPr>
          <w:sz w:val="18"/>
        </w:rPr>
        <w:t>large</w:t>
      </w:r>
      <w:r>
        <w:rPr>
          <w:spacing w:val="-4"/>
          <w:sz w:val="18"/>
        </w:rPr>
        <w:t> </w:t>
      </w:r>
      <w:r>
        <w:rPr>
          <w:sz w:val="18"/>
        </w:rPr>
        <w:t>strict</w:t>
      </w:r>
      <w:r>
        <w:rPr>
          <w:spacing w:val="-3"/>
          <w:sz w:val="18"/>
        </w:rPr>
        <w:t> </w:t>
      </w:r>
      <w:r>
        <w:rPr>
          <w:sz w:val="18"/>
        </w:rPr>
        <w:t>central</w:t>
      </w:r>
      <w:r>
        <w:rPr>
          <w:spacing w:val="-3"/>
          <w:sz w:val="18"/>
        </w:rPr>
        <w:t> </w:t>
      </w:r>
      <w:r>
        <w:rPr>
          <w:sz w:val="18"/>
        </w:rPr>
        <w:t>Mediterranean</w:t>
      </w:r>
      <w:r>
        <w:rPr>
          <w:spacing w:val="-4"/>
          <w:sz w:val="18"/>
        </w:rPr>
        <w:t> </w:t>
      </w:r>
      <w:r>
        <w:rPr>
          <w:sz w:val="18"/>
        </w:rPr>
        <w:t>block,</w:t>
      </w:r>
      <w:r>
        <w:rPr>
          <w:spacing w:val="-3"/>
          <w:sz w:val="18"/>
        </w:rPr>
        <w:t> </w:t>
      </w:r>
      <w:r>
        <w:rPr>
          <w:sz w:val="18"/>
        </w:rPr>
        <w:t>a</w:t>
      </w:r>
      <w:r>
        <w:rPr>
          <w:spacing w:val="-1"/>
          <w:sz w:val="18"/>
        </w:rPr>
        <w:t> </w:t>
      </w:r>
      <w:r>
        <w:rPr>
          <w:sz w:val="18"/>
        </w:rPr>
        <w:t>small</w:t>
      </w:r>
      <w:r>
        <w:rPr>
          <w:spacing w:val="-3"/>
          <w:sz w:val="18"/>
        </w:rPr>
        <w:t> </w:t>
      </w:r>
      <w:r>
        <w:rPr>
          <w:sz w:val="18"/>
        </w:rPr>
        <w:t>Lombardy</w:t>
      </w:r>
      <w:r>
        <w:rPr>
          <w:spacing w:val="40"/>
          <w:sz w:val="18"/>
        </w:rPr>
        <w:t> </w:t>
      </w:r>
      <w:r>
        <w:rPr>
          <w:sz w:val="18"/>
        </w:rPr>
        <w:t>proxy, and a Levantine-continuity block, while Northern/Eastern European sources remain unretained.</w:t>
      </w:r>
    </w:p>
    <w:p>
      <w:pPr>
        <w:pStyle w:val="Heading2"/>
        <w:numPr>
          <w:ilvl w:val="1"/>
          <w:numId w:val="1"/>
        </w:numPr>
        <w:tabs>
          <w:tab w:pos="482" w:val="left" w:leader="none"/>
        </w:tabs>
        <w:spacing w:line="240" w:lineRule="auto" w:before="177" w:after="0"/>
        <w:ind w:left="482" w:right="0" w:hanging="351"/>
        <w:jc w:val="both"/>
      </w:pPr>
      <w:r>
        <w:rPr/>
        <w:t>Regional</w:t>
      </w:r>
      <w:r>
        <w:rPr>
          <w:spacing w:val="-6"/>
        </w:rPr>
        <w:t> </w:t>
      </w:r>
      <w:r>
        <w:rPr/>
        <w:t>stability</w:t>
      </w:r>
      <w:r>
        <w:rPr>
          <w:spacing w:val="-6"/>
        </w:rPr>
        <w:t> </w:t>
      </w:r>
      <w:r>
        <w:rPr/>
        <w:t>and</w:t>
      </w:r>
      <w:r>
        <w:rPr>
          <w:spacing w:val="-5"/>
        </w:rPr>
        <w:t> </w:t>
      </w:r>
      <w:r>
        <w:rPr/>
        <w:t>full-dimensional</w:t>
      </w:r>
      <w:r>
        <w:rPr>
          <w:spacing w:val="-5"/>
        </w:rPr>
        <w:t> </w:t>
      </w:r>
      <w:r>
        <w:rPr>
          <w:spacing w:val="-2"/>
        </w:rPr>
        <w:t>geometry</w:t>
      </w:r>
    </w:p>
    <w:p>
      <w:pPr>
        <w:pStyle w:val="BodyText"/>
        <w:spacing w:line="259" w:lineRule="auto" w:before="102"/>
        <w:ind w:right="122"/>
      </w:pPr>
      <w:r>
        <w:rPr/>
        <w:t>Experiments 7 and 14 apply the modern panel to ten named regional Ashkenazi population averages. In Experiment 14, the strict central Mediterranean block exceeds 50 in every region and ranges from 50.8 in Latvia to 76.4 in France, with an unweighted average of 58.6. Adding Lombardy produces a broader Italian and central Mediterranean average of 62.5. Levantine continuity averages 23.5 and Northern/Eastern Europe averages 14.0. Some regional targets have small sample sizes, but the category-level ordering also appears in the larger Polish, Ukrainian, Belarusian, Lithuanian, German, and Russian averages.</w:t>
      </w:r>
    </w:p>
    <w:p>
      <w:pPr>
        <w:pStyle w:val="BodyText"/>
        <w:spacing w:line="256" w:lineRule="auto"/>
        <w:ind w:right="121"/>
      </w:pPr>
      <w:r>
        <w:rPr/>
        <w:t>The regional distributions constrain a simple host-population explanation. Ashkenazi Poland retains a large Italki component while Polish is small or absent in the displayed solution; comparable behavior</w:t>
      </w:r>
      <w:r>
        <w:rPr>
          <w:spacing w:val="80"/>
        </w:rPr>
        <w:t> </w:t>
      </w:r>
      <w:r>
        <w:rPr/>
        <w:t>occurs for Ukrainian, Russian, and German targets. Exact source coefficients fluctuate because correlated Mediterranean sources substitute for one another. The stable result is the category-level majority of the strict central Mediterranean block, not the identity of one source row.</w:t>
      </w:r>
    </w:p>
    <w:p>
      <w:pPr>
        <w:pStyle w:val="BodyText"/>
        <w:spacing w:line="259" w:lineRule="auto" w:before="111"/>
        <w:ind w:right="123"/>
      </w:pPr>
      <w:r>
        <w:rPr/>
        <w:t>For the German target, the displayed solution is 75.4 strict central Mediterranean, 16.6 Levantine continuity, and 8.0 Northern/Eastern Europe. The Levantine and northern displacement vectors from the central Mediterranean centroid have cosine similarity -0.786 and therefore point in strongly opposing directions. Their coefficient-weighted magnitudes are 0.01024 and 0.01098, respectively. Combining them leaves a</w:t>
      </w:r>
      <w:r>
        <w:rPr>
          <w:spacing w:val="-2"/>
        </w:rPr>
        <w:t> </w:t>
      </w:r>
      <w:r>
        <w:rPr/>
        <w:t>displacement</w:t>
      </w:r>
      <w:r>
        <w:rPr>
          <w:spacing w:val="-2"/>
        </w:rPr>
        <w:t> </w:t>
      </w:r>
      <w:r>
        <w:rPr/>
        <w:t>of 0.00697 from</w:t>
      </w:r>
      <w:r>
        <w:rPr>
          <w:spacing w:val="-3"/>
        </w:rPr>
        <w:t> </w:t>
      </w:r>
      <w:r>
        <w:rPr/>
        <w:t>the central Mediterranean centroid. The smaller</w:t>
      </w:r>
      <w:r>
        <w:rPr>
          <w:spacing w:val="-1"/>
        </w:rPr>
        <w:t> </w:t>
      </w:r>
      <w:r>
        <w:rPr/>
        <w:t>northern coefficient produces a similar displacement because its centroid is farther from the central Mediterranean centroid.</w:t>
      </w:r>
    </w:p>
    <w:p>
      <w:pPr>
        <w:pStyle w:val="BodyText"/>
        <w:spacing w:line="259" w:lineRule="auto"/>
        <w:ind w:right="124"/>
      </w:pPr>
      <w:r>
        <w:rPr/>
        <w:t>Direct distances provide an additional constraint. Ashkenazi Germany is 0.01470 from Reggio Calabria, 0.01588 from Italki, 0.01801 from Maltese, and 0.01978 from western Sicily. It is 0.05331 from Druze, 0.05875 from Lebanese Arab Christians, 0.06385 from Palestinian Arab Christians, and 0.07521 from Samaritans. Distances do not identify a unique ancestral source, but they show that the target position is much closer to the retained central Mediterranean references than to the retained Levantine-continuity </w:t>
      </w:r>
      <w:r>
        <w:rPr>
          <w:spacing w:val="-2"/>
        </w:rPr>
        <w:t>references.</w:t>
      </w:r>
    </w:p>
    <w:p>
      <w:pPr>
        <w:pStyle w:val="BodyText"/>
        <w:spacing w:after="0" w:line="259" w:lineRule="auto"/>
        <w:sectPr>
          <w:pgSz w:w="11910" w:h="16840"/>
          <w:pgMar w:header="390" w:footer="444" w:top="940" w:bottom="640" w:left="992" w:right="992"/>
        </w:sectPr>
      </w:pPr>
    </w:p>
    <w:p>
      <w:pPr>
        <w:pStyle w:val="BodyText"/>
        <w:spacing w:before="0" w:after="1"/>
        <w:ind w:left="0" w:firstLine="0"/>
        <w:jc w:val="left"/>
        <w:rPr>
          <w:sz w:val="16"/>
        </w:rPr>
      </w:pPr>
    </w:p>
    <w:p>
      <w:pPr>
        <w:spacing w:line="240" w:lineRule="auto"/>
        <w:ind w:left="1230" w:right="0" w:firstLine="0"/>
        <w:rPr>
          <w:sz w:val="20"/>
        </w:rPr>
      </w:pPr>
      <w:r>
        <w:rPr>
          <w:sz w:val="20"/>
        </w:rPr>
        <w:drawing>
          <wp:inline distT="0" distB="0" distL="0" distR="0">
            <wp:extent cx="4716014" cy="4030217"/>
            <wp:effectExtent l="0" t="0" r="0" b="0"/>
            <wp:docPr id="6" name="Image 6" descr="Horizontal stacked bar chart for ten regional Ashkenazi targets in Experiment 14, showing strict central Mediterranean as the largest fitted block in every region." title="Figure 4"/>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716014" cy="4030217"/>
                    </a:xfrm>
                    <a:prstGeom prst="rect">
                      <a:avLst/>
                    </a:prstGeom>
                  </pic:spPr>
                </pic:pic>
              </a:graphicData>
            </a:graphic>
          </wp:inline>
        </w:drawing>
      </w:r>
      <w:r>
        <w:rPr>
          <w:sz w:val="20"/>
        </w:rPr>
      </w:r>
    </w:p>
    <w:p>
      <w:pPr>
        <w:pStyle w:val="BodyText"/>
        <w:spacing w:before="65"/>
        <w:ind w:left="0" w:firstLine="0"/>
        <w:jc w:val="left"/>
        <w:rPr>
          <w:sz w:val="18"/>
        </w:rPr>
      </w:pPr>
    </w:p>
    <w:p>
      <w:pPr>
        <w:spacing w:before="1"/>
        <w:ind w:left="131" w:right="457" w:firstLine="0"/>
        <w:jc w:val="both"/>
        <w:rPr>
          <w:sz w:val="18"/>
        </w:rPr>
      </w:pPr>
      <w:r>
        <w:rPr>
          <w:sz w:val="18"/>
        </w:rPr>
        <w:t>Figure</w:t>
      </w:r>
      <w:r>
        <w:rPr>
          <w:spacing w:val="-1"/>
          <w:sz w:val="18"/>
        </w:rPr>
        <w:t> </w:t>
      </w:r>
      <w:r>
        <w:rPr>
          <w:sz w:val="18"/>
        </w:rPr>
        <w:t>4.</w:t>
      </w:r>
      <w:r>
        <w:rPr>
          <w:spacing w:val="-2"/>
          <w:sz w:val="18"/>
        </w:rPr>
        <w:t> </w:t>
      </w:r>
      <w:r>
        <w:rPr>
          <w:sz w:val="18"/>
        </w:rPr>
        <w:t>Experiment</w:t>
      </w:r>
      <w:r>
        <w:rPr>
          <w:spacing w:val="-5"/>
          <w:sz w:val="18"/>
        </w:rPr>
        <w:t> </w:t>
      </w:r>
      <w:r>
        <w:rPr>
          <w:sz w:val="18"/>
        </w:rPr>
        <w:t>14</w:t>
      </w:r>
      <w:r>
        <w:rPr>
          <w:spacing w:val="-3"/>
          <w:sz w:val="18"/>
        </w:rPr>
        <w:t> </w:t>
      </w:r>
      <w:r>
        <w:rPr>
          <w:sz w:val="18"/>
        </w:rPr>
        <w:t>regional</w:t>
      </w:r>
      <w:r>
        <w:rPr>
          <w:spacing w:val="-2"/>
          <w:sz w:val="18"/>
        </w:rPr>
        <w:t> </w:t>
      </w:r>
      <w:r>
        <w:rPr>
          <w:sz w:val="18"/>
        </w:rPr>
        <w:t>stability.</w:t>
      </w:r>
      <w:r>
        <w:rPr>
          <w:spacing w:val="-2"/>
          <w:sz w:val="18"/>
        </w:rPr>
        <w:t> </w:t>
      </w:r>
      <w:r>
        <w:rPr>
          <w:sz w:val="18"/>
        </w:rPr>
        <w:t>The</w:t>
      </w:r>
      <w:r>
        <w:rPr>
          <w:spacing w:val="-1"/>
          <w:sz w:val="18"/>
        </w:rPr>
        <w:t> </w:t>
      </w:r>
      <w:r>
        <w:rPr>
          <w:sz w:val="18"/>
        </w:rPr>
        <w:t>strict</w:t>
      </w:r>
      <w:r>
        <w:rPr>
          <w:spacing w:val="-2"/>
          <w:sz w:val="18"/>
        </w:rPr>
        <w:t> </w:t>
      </w:r>
      <w:r>
        <w:rPr>
          <w:sz w:val="18"/>
        </w:rPr>
        <w:t>central</w:t>
      </w:r>
      <w:r>
        <w:rPr>
          <w:spacing w:val="-2"/>
          <w:sz w:val="18"/>
        </w:rPr>
        <w:t> </w:t>
      </w:r>
      <w:r>
        <w:rPr>
          <w:sz w:val="18"/>
        </w:rPr>
        <w:t>Mediterranean</w:t>
      </w:r>
      <w:r>
        <w:rPr>
          <w:spacing w:val="-3"/>
          <w:sz w:val="18"/>
        </w:rPr>
        <w:t> </w:t>
      </w:r>
      <w:r>
        <w:rPr>
          <w:sz w:val="18"/>
        </w:rPr>
        <w:t>block</w:t>
      </w:r>
      <w:r>
        <w:rPr>
          <w:spacing w:val="-2"/>
          <w:sz w:val="18"/>
        </w:rPr>
        <w:t> </w:t>
      </w:r>
      <w:r>
        <w:rPr>
          <w:sz w:val="18"/>
        </w:rPr>
        <w:t>is</w:t>
      </w:r>
      <w:r>
        <w:rPr>
          <w:spacing w:val="-2"/>
          <w:sz w:val="18"/>
        </w:rPr>
        <w:t> </w:t>
      </w:r>
      <w:r>
        <w:rPr>
          <w:sz w:val="18"/>
        </w:rPr>
        <w:t>the</w:t>
      </w:r>
      <w:r>
        <w:rPr>
          <w:spacing w:val="-1"/>
          <w:sz w:val="18"/>
        </w:rPr>
        <w:t> </w:t>
      </w:r>
      <w:r>
        <w:rPr>
          <w:sz w:val="18"/>
        </w:rPr>
        <w:t>largest</w:t>
      </w:r>
      <w:r>
        <w:rPr>
          <w:spacing w:val="-2"/>
          <w:sz w:val="18"/>
        </w:rPr>
        <w:t> </w:t>
      </w:r>
      <w:r>
        <w:rPr>
          <w:sz w:val="18"/>
        </w:rPr>
        <w:t>category</w:t>
      </w:r>
      <w:r>
        <w:rPr>
          <w:spacing w:val="-1"/>
          <w:sz w:val="18"/>
        </w:rPr>
        <w:t> </w:t>
      </w:r>
      <w:r>
        <w:rPr>
          <w:sz w:val="18"/>
        </w:rPr>
        <w:t>in</w:t>
      </w:r>
      <w:r>
        <w:rPr>
          <w:spacing w:val="-1"/>
          <w:sz w:val="18"/>
        </w:rPr>
        <w:t> </w:t>
      </w:r>
      <w:r>
        <w:rPr>
          <w:sz w:val="18"/>
        </w:rPr>
        <w:t>all</w:t>
      </w:r>
      <w:r>
        <w:rPr>
          <w:spacing w:val="-2"/>
          <w:sz w:val="18"/>
        </w:rPr>
        <w:t> </w:t>
      </w:r>
      <w:r>
        <w:rPr>
          <w:sz w:val="18"/>
        </w:rPr>
        <w:t>ten</w:t>
      </w:r>
      <w:r>
        <w:rPr>
          <w:spacing w:val="-3"/>
          <w:sz w:val="18"/>
        </w:rPr>
        <w:t> </w:t>
      </w:r>
      <w:r>
        <w:rPr>
          <w:sz w:val="18"/>
        </w:rPr>
        <w:t>regional</w:t>
      </w:r>
      <w:r>
        <w:rPr>
          <w:spacing w:val="40"/>
          <w:sz w:val="18"/>
        </w:rPr>
        <w:t> </w:t>
      </w:r>
      <w:r>
        <w:rPr>
          <w:sz w:val="18"/>
        </w:rPr>
        <w:t>targets.</w:t>
      </w:r>
      <w:r>
        <w:rPr>
          <w:spacing w:val="-1"/>
          <w:sz w:val="18"/>
        </w:rPr>
        <w:t> </w:t>
      </w:r>
      <w:r>
        <w:rPr>
          <w:sz w:val="18"/>
        </w:rPr>
        <w:t>Lombardy is</w:t>
      </w:r>
      <w:r>
        <w:rPr>
          <w:spacing w:val="-1"/>
          <w:sz w:val="18"/>
        </w:rPr>
        <w:t> </w:t>
      </w:r>
      <w:r>
        <w:rPr>
          <w:sz w:val="18"/>
        </w:rPr>
        <w:t>shown separately rather</w:t>
      </w:r>
      <w:r>
        <w:rPr>
          <w:spacing w:val="-3"/>
          <w:sz w:val="18"/>
        </w:rPr>
        <w:t> </w:t>
      </w:r>
      <w:r>
        <w:rPr>
          <w:sz w:val="18"/>
        </w:rPr>
        <w:t>than being</w:t>
      </w:r>
      <w:r>
        <w:rPr>
          <w:spacing w:val="-3"/>
          <w:sz w:val="18"/>
        </w:rPr>
        <w:t> </w:t>
      </w:r>
      <w:r>
        <w:rPr>
          <w:sz w:val="18"/>
        </w:rPr>
        <w:t>classified</w:t>
      </w:r>
      <w:r>
        <w:rPr>
          <w:spacing w:val="-2"/>
          <w:sz w:val="18"/>
        </w:rPr>
        <w:t> </w:t>
      </w:r>
      <w:r>
        <w:rPr>
          <w:sz w:val="18"/>
        </w:rPr>
        <w:t>as</w:t>
      </w:r>
      <w:r>
        <w:rPr>
          <w:spacing w:val="-1"/>
          <w:sz w:val="18"/>
        </w:rPr>
        <w:t> </w:t>
      </w:r>
      <w:r>
        <w:rPr>
          <w:sz w:val="18"/>
        </w:rPr>
        <w:t>Southern Italian.</w:t>
      </w:r>
      <w:r>
        <w:rPr>
          <w:spacing w:val="-1"/>
          <w:sz w:val="18"/>
        </w:rPr>
        <w:t> </w:t>
      </w:r>
      <w:r>
        <w:rPr>
          <w:sz w:val="18"/>
        </w:rPr>
        <w:t>Regional</w:t>
      </w:r>
      <w:r>
        <w:rPr>
          <w:spacing w:val="-1"/>
          <w:sz w:val="18"/>
        </w:rPr>
        <w:t> </w:t>
      </w:r>
      <w:r>
        <w:rPr>
          <w:sz w:val="18"/>
        </w:rPr>
        <w:t>averages</w:t>
      </w:r>
      <w:r>
        <w:rPr>
          <w:spacing w:val="-1"/>
          <w:sz w:val="18"/>
        </w:rPr>
        <w:t> </w:t>
      </w:r>
      <w:r>
        <w:rPr>
          <w:sz w:val="18"/>
        </w:rPr>
        <w:t>differ in</w:t>
      </w:r>
      <w:r>
        <w:rPr>
          <w:spacing w:val="-2"/>
          <w:sz w:val="18"/>
        </w:rPr>
        <w:t> </w:t>
      </w:r>
      <w:r>
        <w:rPr>
          <w:sz w:val="18"/>
        </w:rPr>
        <w:t>sample</w:t>
      </w:r>
      <w:r>
        <w:rPr>
          <w:spacing w:val="40"/>
          <w:sz w:val="18"/>
        </w:rPr>
        <w:t> </w:t>
      </w:r>
      <w:r>
        <w:rPr>
          <w:sz w:val="18"/>
        </w:rPr>
        <w:t>size, and the coefficients are descriptive panel allocations.</w:t>
      </w:r>
    </w:p>
    <w:p>
      <w:pPr>
        <w:pStyle w:val="BodyText"/>
        <w:spacing w:before="2"/>
        <w:ind w:left="0" w:firstLine="0"/>
        <w:jc w:val="left"/>
        <w:rPr>
          <w:sz w:val="20"/>
        </w:rPr>
      </w:pPr>
      <w:r>
        <w:rPr>
          <w:sz w:val="20"/>
        </w:rPr>
        <w:drawing>
          <wp:anchor distT="0" distB="0" distL="0" distR="0" allowOverlap="1" layoutInCell="1" locked="0" behindDoc="1" simplePos="0" relativeHeight="487589376">
            <wp:simplePos x="0" y="0"/>
            <wp:positionH relativeFrom="page">
              <wp:posOffset>1223327</wp:posOffset>
            </wp:positionH>
            <wp:positionV relativeFrom="paragraph">
              <wp:posOffset>165597</wp:posOffset>
            </wp:positionV>
            <wp:extent cx="5182106" cy="1939099"/>
            <wp:effectExtent l="0" t="0" r="0" b="0"/>
            <wp:wrapTopAndBottom/>
            <wp:docPr id="7" name="Image 7" descr="Schematic of opposing Levantine-continuity and Northern or Eastern European weighted displacement vectors around the central Mediterranean centroid for the German regional model." title="Figure 5"/>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182106" cy="1939099"/>
                    </a:xfrm>
                    <a:prstGeom prst="rect">
                      <a:avLst/>
                    </a:prstGeom>
                  </pic:spPr>
                </pic:pic>
              </a:graphicData>
            </a:graphic>
          </wp:anchor>
        </w:drawing>
      </w:r>
    </w:p>
    <w:p>
      <w:pPr>
        <w:spacing w:before="175"/>
        <w:ind w:left="131" w:right="282" w:firstLine="0"/>
        <w:jc w:val="both"/>
        <w:rPr>
          <w:sz w:val="18"/>
        </w:rPr>
      </w:pPr>
      <w:r>
        <w:rPr>
          <w:sz w:val="18"/>
        </w:rPr>
        <w:t>Figure 5. Schematic of</w:t>
      </w:r>
      <w:r>
        <w:rPr>
          <w:spacing w:val="-1"/>
          <w:sz w:val="18"/>
        </w:rPr>
        <w:t> </w:t>
      </w:r>
      <w:r>
        <w:rPr>
          <w:sz w:val="18"/>
        </w:rPr>
        <w:t>the opposing weighted</w:t>
      </w:r>
      <w:r>
        <w:rPr>
          <w:spacing w:val="-1"/>
          <w:sz w:val="18"/>
        </w:rPr>
        <w:t> </w:t>
      </w:r>
      <w:r>
        <w:rPr>
          <w:sz w:val="18"/>
        </w:rPr>
        <w:t>displacements in</w:t>
      </w:r>
      <w:r>
        <w:rPr>
          <w:spacing w:val="-1"/>
          <w:sz w:val="18"/>
        </w:rPr>
        <w:t> </w:t>
      </w:r>
      <w:r>
        <w:rPr>
          <w:sz w:val="18"/>
        </w:rPr>
        <w:t>the German regional</w:t>
      </w:r>
      <w:r>
        <w:rPr>
          <w:spacing w:val="-3"/>
          <w:sz w:val="18"/>
        </w:rPr>
        <w:t> </w:t>
      </w:r>
      <w:r>
        <w:rPr>
          <w:sz w:val="18"/>
        </w:rPr>
        <w:t>model. The primary</w:t>
      </w:r>
      <w:r>
        <w:rPr>
          <w:spacing w:val="-1"/>
          <w:sz w:val="18"/>
        </w:rPr>
        <w:t> </w:t>
      </w:r>
      <w:r>
        <w:rPr>
          <w:sz w:val="18"/>
        </w:rPr>
        <w:t>calculation uses all</w:t>
      </w:r>
      <w:r>
        <w:rPr>
          <w:spacing w:val="40"/>
          <w:sz w:val="18"/>
        </w:rPr>
        <w:t> </w:t>
      </w:r>
      <w:r>
        <w:rPr>
          <w:sz w:val="18"/>
        </w:rPr>
        <w:t>twenty-five</w:t>
      </w:r>
      <w:r>
        <w:rPr>
          <w:spacing w:val="-4"/>
          <w:sz w:val="18"/>
        </w:rPr>
        <w:t> </w:t>
      </w:r>
      <w:r>
        <w:rPr>
          <w:sz w:val="18"/>
        </w:rPr>
        <w:t>Global25</w:t>
      </w:r>
      <w:r>
        <w:rPr>
          <w:spacing w:val="-4"/>
          <w:sz w:val="18"/>
        </w:rPr>
        <w:t> </w:t>
      </w:r>
      <w:r>
        <w:rPr>
          <w:sz w:val="18"/>
        </w:rPr>
        <w:t>dimensions;</w:t>
      </w:r>
      <w:r>
        <w:rPr>
          <w:spacing w:val="-2"/>
          <w:sz w:val="18"/>
        </w:rPr>
        <w:t> </w:t>
      </w:r>
      <w:r>
        <w:rPr>
          <w:sz w:val="18"/>
        </w:rPr>
        <w:t>the</w:t>
      </w:r>
      <w:r>
        <w:rPr>
          <w:spacing w:val="-1"/>
          <w:sz w:val="18"/>
        </w:rPr>
        <w:t> </w:t>
      </w:r>
      <w:r>
        <w:rPr>
          <w:sz w:val="18"/>
        </w:rPr>
        <w:t>horizontal</w:t>
      </w:r>
      <w:r>
        <w:rPr>
          <w:spacing w:val="-3"/>
          <w:sz w:val="18"/>
        </w:rPr>
        <w:t> </w:t>
      </w:r>
      <w:r>
        <w:rPr>
          <w:sz w:val="18"/>
        </w:rPr>
        <w:t>display</w:t>
      </w:r>
      <w:r>
        <w:rPr>
          <w:spacing w:val="-2"/>
          <w:sz w:val="18"/>
        </w:rPr>
        <w:t> </w:t>
      </w:r>
      <w:r>
        <w:rPr>
          <w:sz w:val="18"/>
        </w:rPr>
        <w:t>shows</w:t>
      </w:r>
      <w:r>
        <w:rPr>
          <w:spacing w:val="-3"/>
          <w:sz w:val="18"/>
        </w:rPr>
        <w:t> </w:t>
      </w:r>
      <w:r>
        <w:rPr>
          <w:sz w:val="18"/>
        </w:rPr>
        <w:t>only</w:t>
      </w:r>
      <w:r>
        <w:rPr>
          <w:spacing w:val="-2"/>
          <w:sz w:val="18"/>
        </w:rPr>
        <w:t> </w:t>
      </w:r>
      <w:r>
        <w:rPr>
          <w:sz w:val="18"/>
        </w:rPr>
        <w:t>the</w:t>
      </w:r>
      <w:r>
        <w:rPr>
          <w:spacing w:val="-1"/>
          <w:sz w:val="18"/>
        </w:rPr>
        <w:t> </w:t>
      </w:r>
      <w:r>
        <w:rPr>
          <w:sz w:val="18"/>
        </w:rPr>
        <w:t>opposing</w:t>
      </w:r>
      <w:r>
        <w:rPr>
          <w:spacing w:val="-5"/>
          <w:sz w:val="18"/>
        </w:rPr>
        <w:t> </w:t>
      </w:r>
      <w:r>
        <w:rPr>
          <w:sz w:val="18"/>
        </w:rPr>
        <w:t>direction</w:t>
      </w:r>
      <w:r>
        <w:rPr>
          <w:spacing w:val="-4"/>
          <w:sz w:val="18"/>
        </w:rPr>
        <w:t> </w:t>
      </w:r>
      <w:r>
        <w:rPr>
          <w:sz w:val="18"/>
        </w:rPr>
        <w:t>and</w:t>
      </w:r>
      <w:r>
        <w:rPr>
          <w:spacing w:val="-1"/>
          <w:sz w:val="18"/>
        </w:rPr>
        <w:t> </w:t>
      </w:r>
      <w:r>
        <w:rPr>
          <w:sz w:val="18"/>
        </w:rPr>
        <w:t>similar</w:t>
      </w:r>
      <w:r>
        <w:rPr>
          <w:spacing w:val="-2"/>
          <w:sz w:val="18"/>
        </w:rPr>
        <w:t> </w:t>
      </w:r>
      <w:r>
        <w:rPr>
          <w:sz w:val="18"/>
        </w:rPr>
        <w:t>weighted</w:t>
      </w:r>
      <w:r>
        <w:rPr>
          <w:spacing w:val="-1"/>
          <w:sz w:val="18"/>
        </w:rPr>
        <w:t> </w:t>
      </w:r>
      <w:r>
        <w:rPr>
          <w:sz w:val="18"/>
        </w:rPr>
        <w:t>magnitude</w:t>
      </w:r>
      <w:r>
        <w:rPr>
          <w:spacing w:val="40"/>
          <w:sz w:val="18"/>
        </w:rPr>
        <w:t> </w:t>
      </w:r>
      <w:r>
        <w:rPr>
          <w:sz w:val="18"/>
        </w:rPr>
        <w:t>of the two proxy blocks.</w:t>
      </w:r>
    </w:p>
    <w:p>
      <w:pPr>
        <w:pStyle w:val="Heading2"/>
        <w:numPr>
          <w:ilvl w:val="1"/>
          <w:numId w:val="1"/>
        </w:numPr>
        <w:tabs>
          <w:tab w:pos="482" w:val="left" w:leader="none"/>
        </w:tabs>
        <w:spacing w:line="240" w:lineRule="auto" w:before="181" w:after="0"/>
        <w:ind w:left="482" w:right="0" w:hanging="351"/>
        <w:jc w:val="both"/>
      </w:pPr>
      <w:r>
        <w:rPr/>
        <w:t>Ancient</w:t>
      </w:r>
      <w:r>
        <w:rPr>
          <w:spacing w:val="-5"/>
        </w:rPr>
        <w:t> </w:t>
      </w:r>
      <w:r>
        <w:rPr/>
        <w:t>Levant</w:t>
      </w:r>
      <w:r>
        <w:rPr>
          <w:spacing w:val="-2"/>
        </w:rPr>
        <w:t> </w:t>
      </w:r>
      <w:r>
        <w:rPr/>
        <w:t>positive</w:t>
      </w:r>
      <w:r>
        <w:rPr>
          <w:spacing w:val="-3"/>
        </w:rPr>
        <w:t> </w:t>
      </w:r>
      <w:r>
        <w:rPr>
          <w:spacing w:val="-2"/>
        </w:rPr>
        <w:t>controls</w:t>
      </w:r>
    </w:p>
    <w:p>
      <w:pPr>
        <w:pStyle w:val="BodyText"/>
        <w:spacing w:line="259" w:lineRule="auto" w:before="102"/>
        <w:ind w:right="124"/>
      </w:pPr>
      <w:r>
        <w:rPr/>
        <w:t>Experiment 9 models ancient Levantine targets against modern Levantine and central Mediterranean controls. Peki'in, Ain Ghazal, and Middle Bronze Age Megiddo are represented as 100.0 Samaritan in the declared competition, while later Bronze and Iron Age targets remain majority Levantine. Central Mediterranean coefficients are nearly absent in most targets. The method therefore does not automatically assign central Mediterranean sources to every eastern Mediterranean target.</w:t>
      </w:r>
    </w:p>
    <w:p>
      <w:pPr>
        <w:pStyle w:val="BodyText"/>
        <w:spacing w:line="259" w:lineRule="auto"/>
        <w:ind w:right="123"/>
      </w:pPr>
      <w:r>
        <w:rPr/>
        <w:t>Experiment 15 provides a temporal continuity control by modeling three Iron Age coastal southern-Levantine averages against pre-Iron-Age Levantine site-period averages plus Mycenaean and Anatolian Early Bronze Age composites. Philistine Ashkelon is allocated 100.0 to earlier southern-Levantine sources, Achziv 95.4, and Beirut 74.0. The unweighted target average is 89.8 pre-Iron-Age southern Levant, 7.3 Mycenaean</w:t>
      </w:r>
      <w:r>
        <w:rPr>
          <w:spacing w:val="22"/>
        </w:rPr>
        <w:t> </w:t>
      </w:r>
      <w:r>
        <w:rPr/>
        <w:t>composite,</w:t>
      </w:r>
      <w:r>
        <w:rPr>
          <w:spacing w:val="21"/>
        </w:rPr>
        <w:t> </w:t>
      </w:r>
      <w:r>
        <w:rPr/>
        <w:t>and</w:t>
      </w:r>
      <w:r>
        <w:rPr>
          <w:spacing w:val="22"/>
        </w:rPr>
        <w:t> </w:t>
      </w:r>
      <w:r>
        <w:rPr/>
        <w:t>2.9</w:t>
      </w:r>
      <w:r>
        <w:rPr>
          <w:spacing w:val="22"/>
        </w:rPr>
        <w:t> </w:t>
      </w:r>
      <w:r>
        <w:rPr/>
        <w:t>Anatolian</w:t>
      </w:r>
      <w:r>
        <w:rPr>
          <w:spacing w:val="22"/>
        </w:rPr>
        <w:t> </w:t>
      </w:r>
      <w:r>
        <w:rPr/>
        <w:t>composite</w:t>
      </w:r>
      <w:r>
        <w:rPr>
          <w:spacing w:val="20"/>
        </w:rPr>
        <w:t> </w:t>
      </w:r>
      <w:r>
        <w:rPr/>
        <w:t>at</w:t>
      </w:r>
      <w:r>
        <w:rPr>
          <w:spacing w:val="22"/>
        </w:rPr>
        <w:t> </w:t>
      </w:r>
      <w:r>
        <w:rPr/>
        <w:t>average</w:t>
      </w:r>
      <w:r>
        <w:rPr>
          <w:spacing w:val="20"/>
        </w:rPr>
        <w:t> </w:t>
      </w:r>
      <w:r>
        <w:rPr/>
        <w:t>distance</w:t>
      </w:r>
      <w:r>
        <w:rPr>
          <w:spacing w:val="22"/>
        </w:rPr>
        <w:t> </w:t>
      </w:r>
      <w:r>
        <w:rPr/>
        <w:t>0.01805080.</w:t>
      </w:r>
      <w:r>
        <w:rPr>
          <w:spacing w:val="21"/>
        </w:rPr>
        <w:t> </w:t>
      </w:r>
      <w:r>
        <w:rPr/>
        <w:t>The</w:t>
      </w:r>
      <w:r>
        <w:rPr>
          <w:spacing w:val="22"/>
        </w:rPr>
        <w:t> </w:t>
      </w:r>
      <w:r>
        <w:rPr/>
        <w:t>result</w:t>
      </w:r>
      <w:r>
        <w:rPr>
          <w:spacing w:val="22"/>
        </w:rPr>
        <w:t> </w:t>
      </w:r>
      <w:r>
        <w:rPr/>
        <w:t>does</w:t>
      </w:r>
      <w:r>
        <w:rPr>
          <w:spacing w:val="22"/>
        </w:rPr>
        <w:t> </w:t>
      </w:r>
      <w:r>
        <w:rPr/>
        <w:t>not</w:t>
      </w:r>
    </w:p>
    <w:p>
      <w:pPr>
        <w:pStyle w:val="BodyText"/>
        <w:spacing w:after="0" w:line="259" w:lineRule="auto"/>
        <w:sectPr>
          <w:pgSz w:w="11910" w:h="16840"/>
          <w:pgMar w:header="390" w:footer="444" w:top="940" w:bottom="640" w:left="992" w:right="992"/>
        </w:sectPr>
      </w:pPr>
    </w:p>
    <w:p>
      <w:pPr>
        <w:pStyle w:val="BodyText"/>
        <w:spacing w:line="256" w:lineRule="auto" w:before="92"/>
        <w:ind w:firstLine="0"/>
        <w:jc w:val="left"/>
      </w:pPr>
      <w:r>
        <w:rPr/>
        <w:t>exclude</w:t>
      </w:r>
      <w:r>
        <w:rPr>
          <w:spacing w:val="26"/>
        </w:rPr>
        <w:t> </w:t>
      </w:r>
      <w:r>
        <w:rPr/>
        <w:t>all</w:t>
      </w:r>
      <w:r>
        <w:rPr>
          <w:spacing w:val="26"/>
        </w:rPr>
        <w:t> </w:t>
      </w:r>
      <w:r>
        <w:rPr/>
        <w:t>external</w:t>
      </w:r>
      <w:r>
        <w:rPr>
          <w:spacing w:val="26"/>
        </w:rPr>
        <w:t> </w:t>
      </w:r>
      <w:r>
        <w:rPr/>
        <w:t>ancestry;</w:t>
      </w:r>
      <w:r>
        <w:rPr>
          <w:spacing w:val="25"/>
        </w:rPr>
        <w:t> </w:t>
      </w:r>
      <w:r>
        <w:rPr/>
        <w:t>it</w:t>
      </w:r>
      <w:r>
        <w:rPr>
          <w:spacing w:val="26"/>
        </w:rPr>
        <w:t> </w:t>
      </w:r>
      <w:r>
        <w:rPr/>
        <w:t>demonstrates</w:t>
      </w:r>
      <w:r>
        <w:rPr>
          <w:spacing w:val="26"/>
        </w:rPr>
        <w:t> </w:t>
      </w:r>
      <w:r>
        <w:rPr/>
        <w:t>that</w:t>
      </w:r>
      <w:r>
        <w:rPr>
          <w:spacing w:val="26"/>
        </w:rPr>
        <w:t> </w:t>
      </w:r>
      <w:r>
        <w:rPr/>
        <w:t>the</w:t>
      </w:r>
      <w:r>
        <w:rPr>
          <w:spacing w:val="26"/>
        </w:rPr>
        <w:t> </w:t>
      </w:r>
      <w:r>
        <w:rPr/>
        <w:t>framework</w:t>
      </w:r>
      <w:r>
        <w:rPr>
          <w:spacing w:val="25"/>
        </w:rPr>
        <w:t> </w:t>
      </w:r>
      <w:r>
        <w:rPr/>
        <w:t>recovers</w:t>
      </w:r>
      <w:r>
        <w:rPr>
          <w:spacing w:val="26"/>
        </w:rPr>
        <w:t> </w:t>
      </w:r>
      <w:r>
        <w:rPr/>
        <w:t>strong</w:t>
      </w:r>
      <w:r>
        <w:rPr>
          <w:spacing w:val="27"/>
        </w:rPr>
        <w:t> </w:t>
      </w:r>
      <w:r>
        <w:rPr/>
        <w:t>local</w:t>
      </w:r>
      <w:r>
        <w:rPr>
          <w:spacing w:val="26"/>
        </w:rPr>
        <w:t> </w:t>
      </w:r>
      <w:r>
        <w:rPr/>
        <w:t>continuity</w:t>
      </w:r>
      <w:r>
        <w:rPr>
          <w:spacing w:val="25"/>
        </w:rPr>
        <w:t> </w:t>
      </w:r>
      <w:r>
        <w:rPr/>
        <w:t>when appropriate earlier Levantine references are supplied.</w:t>
      </w:r>
    </w:p>
    <w:p>
      <w:pPr>
        <w:pStyle w:val="BodyText"/>
        <w:spacing w:before="0"/>
        <w:ind w:left="0" w:firstLine="0"/>
        <w:jc w:val="left"/>
        <w:rPr>
          <w:sz w:val="16"/>
        </w:rPr>
      </w:pPr>
      <w:r>
        <w:rPr>
          <w:sz w:val="16"/>
        </w:rPr>
        <w:drawing>
          <wp:anchor distT="0" distB="0" distL="0" distR="0" allowOverlap="1" layoutInCell="1" locked="0" behindDoc="1" simplePos="0" relativeHeight="487589888">
            <wp:simplePos x="0" y="0"/>
            <wp:positionH relativeFrom="page">
              <wp:posOffset>912353</wp:posOffset>
            </wp:positionH>
            <wp:positionV relativeFrom="paragraph">
              <wp:posOffset>134804</wp:posOffset>
            </wp:positionV>
            <wp:extent cx="5708331" cy="2845498"/>
            <wp:effectExtent l="0" t="0" r="0" b="0"/>
            <wp:wrapTopAndBottom/>
            <wp:docPr id="8" name="Image 8" descr="Horizontal stacked bar chart for Experiment 15 ancient Levant positive controls, showing dominant pre-Iron-Age southern Levant continuity in Ashkelon, Achziv, and Beirut targets." title="Figure 6"/>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708331" cy="2845498"/>
                    </a:xfrm>
                    <a:prstGeom prst="rect">
                      <a:avLst/>
                    </a:prstGeom>
                  </pic:spPr>
                </pic:pic>
              </a:graphicData>
            </a:graphic>
          </wp:anchor>
        </w:drawing>
      </w:r>
    </w:p>
    <w:p>
      <w:pPr>
        <w:pStyle w:val="BodyText"/>
        <w:spacing w:before="10"/>
        <w:ind w:left="0" w:firstLine="0"/>
        <w:jc w:val="left"/>
      </w:pPr>
    </w:p>
    <w:p>
      <w:pPr>
        <w:spacing w:line="242" w:lineRule="auto" w:before="0"/>
        <w:ind w:left="131" w:right="0" w:firstLine="0"/>
        <w:jc w:val="left"/>
        <w:rPr>
          <w:sz w:val="18"/>
        </w:rPr>
      </w:pPr>
      <w:r>
        <w:rPr>
          <w:sz w:val="18"/>
        </w:rPr>
        <w:t>Figure</w:t>
      </w:r>
      <w:r>
        <w:rPr>
          <w:spacing w:val="-1"/>
          <w:sz w:val="18"/>
        </w:rPr>
        <w:t> </w:t>
      </w:r>
      <w:r>
        <w:rPr>
          <w:sz w:val="18"/>
        </w:rPr>
        <w:t>6.</w:t>
      </w:r>
      <w:r>
        <w:rPr>
          <w:spacing w:val="-3"/>
          <w:sz w:val="18"/>
        </w:rPr>
        <w:t> </w:t>
      </w:r>
      <w:r>
        <w:rPr>
          <w:sz w:val="18"/>
        </w:rPr>
        <w:t>Experiment</w:t>
      </w:r>
      <w:r>
        <w:rPr>
          <w:spacing w:val="-5"/>
          <w:sz w:val="18"/>
        </w:rPr>
        <w:t> </w:t>
      </w:r>
      <w:r>
        <w:rPr>
          <w:sz w:val="18"/>
        </w:rPr>
        <w:t>15</w:t>
      </w:r>
      <w:r>
        <w:rPr>
          <w:spacing w:val="-4"/>
          <w:sz w:val="18"/>
        </w:rPr>
        <w:t> </w:t>
      </w:r>
      <w:r>
        <w:rPr>
          <w:sz w:val="18"/>
        </w:rPr>
        <w:t>ancient</w:t>
      </w:r>
      <w:r>
        <w:rPr>
          <w:spacing w:val="-3"/>
          <w:sz w:val="18"/>
        </w:rPr>
        <w:t> </w:t>
      </w:r>
      <w:r>
        <w:rPr>
          <w:sz w:val="18"/>
        </w:rPr>
        <w:t>Levant</w:t>
      </w:r>
      <w:r>
        <w:rPr>
          <w:spacing w:val="-3"/>
          <w:sz w:val="18"/>
        </w:rPr>
        <w:t> </w:t>
      </w:r>
      <w:r>
        <w:rPr>
          <w:sz w:val="18"/>
        </w:rPr>
        <w:t>positive</w:t>
      </w:r>
      <w:r>
        <w:rPr>
          <w:spacing w:val="-1"/>
          <w:sz w:val="18"/>
        </w:rPr>
        <w:t> </w:t>
      </w:r>
      <w:r>
        <w:rPr>
          <w:sz w:val="18"/>
        </w:rPr>
        <w:t>control.</w:t>
      </w:r>
      <w:r>
        <w:rPr>
          <w:spacing w:val="-3"/>
          <w:sz w:val="18"/>
        </w:rPr>
        <w:t> </w:t>
      </w:r>
      <w:r>
        <w:rPr>
          <w:sz w:val="18"/>
        </w:rPr>
        <w:t>Earlier</w:t>
      </w:r>
      <w:r>
        <w:rPr>
          <w:spacing w:val="-2"/>
          <w:sz w:val="18"/>
        </w:rPr>
        <w:t> </w:t>
      </w:r>
      <w:r>
        <w:rPr>
          <w:sz w:val="18"/>
        </w:rPr>
        <w:t>southern-Levantine</w:t>
      </w:r>
      <w:r>
        <w:rPr>
          <w:spacing w:val="-4"/>
          <w:sz w:val="18"/>
        </w:rPr>
        <w:t> </w:t>
      </w:r>
      <w:r>
        <w:rPr>
          <w:sz w:val="18"/>
        </w:rPr>
        <w:t>sources</w:t>
      </w:r>
      <w:r>
        <w:rPr>
          <w:spacing w:val="-3"/>
          <w:sz w:val="18"/>
        </w:rPr>
        <w:t> </w:t>
      </w:r>
      <w:r>
        <w:rPr>
          <w:sz w:val="18"/>
        </w:rPr>
        <w:t>account</w:t>
      </w:r>
      <w:r>
        <w:rPr>
          <w:spacing w:val="-3"/>
          <w:sz w:val="18"/>
        </w:rPr>
        <w:t> </w:t>
      </w:r>
      <w:r>
        <w:rPr>
          <w:sz w:val="18"/>
        </w:rPr>
        <w:t>for</w:t>
      </w:r>
      <w:r>
        <w:rPr>
          <w:spacing w:val="-2"/>
          <w:sz w:val="18"/>
        </w:rPr>
        <w:t> </w:t>
      </w:r>
      <w:r>
        <w:rPr>
          <w:sz w:val="18"/>
        </w:rPr>
        <w:t>the</w:t>
      </w:r>
      <w:r>
        <w:rPr>
          <w:spacing w:val="-1"/>
          <w:sz w:val="18"/>
        </w:rPr>
        <w:t> </w:t>
      </w:r>
      <w:r>
        <w:rPr>
          <w:sz w:val="18"/>
        </w:rPr>
        <w:t>large</w:t>
      </w:r>
      <w:r>
        <w:rPr>
          <w:spacing w:val="-4"/>
          <w:sz w:val="18"/>
        </w:rPr>
        <w:t> </w:t>
      </w:r>
      <w:r>
        <w:rPr>
          <w:sz w:val="18"/>
        </w:rPr>
        <w:t>majority</w:t>
      </w:r>
      <w:r>
        <w:rPr>
          <w:spacing w:val="-4"/>
          <w:sz w:val="18"/>
        </w:rPr>
        <w:t> </w:t>
      </w:r>
      <w:r>
        <w:rPr>
          <w:sz w:val="18"/>
        </w:rPr>
        <w:t>of</w:t>
      </w:r>
      <w:r>
        <w:rPr>
          <w:spacing w:val="40"/>
          <w:sz w:val="18"/>
        </w:rPr>
        <w:t> </w:t>
      </w:r>
      <w:r>
        <w:rPr>
          <w:sz w:val="18"/>
        </w:rPr>
        <w:t>every target. Values are constrained similarity weights among archaeological population averages, not literal genealogical</w:t>
      </w:r>
      <w:r>
        <w:rPr>
          <w:spacing w:val="40"/>
          <w:sz w:val="18"/>
        </w:rPr>
        <w:t> </w:t>
      </w:r>
      <w:r>
        <w:rPr>
          <w:spacing w:val="-2"/>
          <w:sz w:val="18"/>
        </w:rPr>
        <w:t>percentages.</w:t>
      </w:r>
    </w:p>
    <w:p>
      <w:pPr>
        <w:pStyle w:val="Heading2"/>
        <w:numPr>
          <w:ilvl w:val="1"/>
          <w:numId w:val="1"/>
        </w:numPr>
        <w:tabs>
          <w:tab w:pos="482" w:val="left" w:leader="none"/>
        </w:tabs>
        <w:spacing w:line="240" w:lineRule="auto" w:before="178" w:after="0"/>
        <w:ind w:left="482" w:right="0" w:hanging="351"/>
        <w:jc w:val="both"/>
      </w:pPr>
      <w:r>
        <w:rPr/>
        <w:t>Convergence</w:t>
      </w:r>
      <w:r>
        <w:rPr>
          <w:spacing w:val="-4"/>
        </w:rPr>
        <w:t> </w:t>
      </w:r>
      <w:r>
        <w:rPr/>
        <w:t>with</w:t>
      </w:r>
      <w:r>
        <w:rPr>
          <w:spacing w:val="-6"/>
        </w:rPr>
        <w:t> </w:t>
      </w:r>
      <w:r>
        <w:rPr/>
        <w:t>independent</w:t>
      </w:r>
      <w:r>
        <w:rPr>
          <w:spacing w:val="-2"/>
        </w:rPr>
        <w:t> </w:t>
      </w:r>
      <w:r>
        <w:rPr/>
        <w:t>published</w:t>
      </w:r>
      <w:r>
        <w:rPr>
          <w:spacing w:val="-4"/>
        </w:rPr>
        <w:t> </w:t>
      </w:r>
      <w:r>
        <w:rPr>
          <w:spacing w:val="-2"/>
        </w:rPr>
        <w:t>evidence</w:t>
      </w:r>
    </w:p>
    <w:p>
      <w:pPr>
        <w:pStyle w:val="BodyText"/>
        <w:spacing w:line="256" w:lineRule="auto" w:before="102"/>
        <w:ind w:right="126"/>
      </w:pPr>
      <w:r>
        <w:rPr/>
        <w:t>The panel-sensitivity results are consistent with the recurring regional ordering in independent studies. This convergence is not statistical independence in a strict sense because studies may share samples or broad reference populations, but it provides external context for the original experiments.</w:t>
      </w:r>
    </w:p>
    <w:p>
      <w:pPr>
        <w:pStyle w:val="BodyText"/>
        <w:spacing w:line="256" w:lineRule="auto" w:before="107"/>
        <w:ind w:right="123"/>
      </w:pPr>
      <w:r>
        <w:rPr/>
        <w:t>Published genetic-distance analyses place Ashkenazi Jews closer to Italian and Greek populations than</w:t>
      </w:r>
      <w:r>
        <w:rPr>
          <w:spacing w:val="40"/>
        </w:rPr>
        <w:t> </w:t>
      </w:r>
      <w:r>
        <w:rPr/>
        <w:t>to sampled Levantine populations. Identity-by-descent analyses distinguish substantial older shared structure from much lower levels of long recent sharing with Levantine populations. Recent local-ancestry and ancient-DNA models assign the largest modeled component to broad Italian, South Italian, or Sicilian proxies. Exact estimates vary because methods partition correlated Mediterranean structure differently.</w:t>
      </w:r>
    </w:p>
    <w:p>
      <w:pPr>
        <w:pStyle w:val="BodyText"/>
        <w:spacing w:before="3"/>
        <w:ind w:left="0" w:firstLine="0"/>
        <w:jc w:val="left"/>
        <w:rPr>
          <w:sz w:val="9"/>
        </w:rPr>
      </w:pPr>
    </w:p>
    <w:tbl>
      <w:tblPr>
        <w:tblW w:w="0" w:type="auto"/>
        <w:jc w:val="left"/>
        <w:tblInd w:w="323"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800"/>
        <w:gridCol w:w="2088"/>
        <w:gridCol w:w="2880"/>
        <w:gridCol w:w="2520"/>
      </w:tblGrid>
      <w:tr>
        <w:trPr>
          <w:trHeight w:val="234" w:hRule="atLeast"/>
          <w:tblHeader w:val="true"/>
        </w:trPr>
        <w:tc>
          <w:tcPr>
            <w:tcW w:w="1800" w:type="dxa"/>
            <w:shd w:val="clear" w:color="auto" w:fill="DDE6EF"/>
          </w:tcPr>
          <w:p>
            <w:pPr>
              <w:pStyle w:val="TableParagraph"/>
              <w:rPr>
                <w:sz w:val="15"/>
              </w:rPr>
            </w:pPr>
            <w:r>
              <w:rPr>
                <w:spacing w:val="-2"/>
                <w:sz w:val="15"/>
              </w:rPr>
              <w:t>Study</w:t>
            </w:r>
          </w:p>
        </w:tc>
        <w:tc>
          <w:tcPr>
            <w:tcW w:w="2088" w:type="dxa"/>
            <w:shd w:val="clear" w:color="auto" w:fill="DDE6EF"/>
          </w:tcPr>
          <w:p>
            <w:pPr>
              <w:pStyle w:val="TableParagraph"/>
              <w:rPr>
                <w:sz w:val="15"/>
              </w:rPr>
            </w:pPr>
            <w:r>
              <w:rPr>
                <w:sz w:val="15"/>
              </w:rPr>
              <w:t>Method</w:t>
            </w:r>
            <w:r>
              <w:rPr>
                <w:spacing w:val="-7"/>
                <w:sz w:val="15"/>
              </w:rPr>
              <w:t> </w:t>
            </w:r>
            <w:r>
              <w:rPr>
                <w:sz w:val="15"/>
              </w:rPr>
              <w:t>and</w:t>
            </w:r>
            <w:r>
              <w:rPr>
                <w:spacing w:val="-4"/>
                <w:sz w:val="15"/>
              </w:rPr>
              <w:t> data</w:t>
            </w:r>
          </w:p>
        </w:tc>
        <w:tc>
          <w:tcPr>
            <w:tcW w:w="2880" w:type="dxa"/>
            <w:shd w:val="clear" w:color="auto" w:fill="DDE6EF"/>
          </w:tcPr>
          <w:p>
            <w:pPr>
              <w:pStyle w:val="TableParagraph"/>
              <w:rPr>
                <w:sz w:val="15"/>
              </w:rPr>
            </w:pPr>
            <w:r>
              <w:rPr>
                <w:sz w:val="15"/>
              </w:rPr>
              <w:t>Reported</w:t>
            </w:r>
            <w:r>
              <w:rPr>
                <w:spacing w:val="-8"/>
                <w:sz w:val="15"/>
              </w:rPr>
              <w:t> </w:t>
            </w:r>
            <w:r>
              <w:rPr>
                <w:sz w:val="15"/>
              </w:rPr>
              <w:t>regional</w:t>
            </w:r>
            <w:r>
              <w:rPr>
                <w:spacing w:val="-6"/>
                <w:sz w:val="15"/>
              </w:rPr>
              <w:t> </w:t>
            </w:r>
            <w:r>
              <w:rPr>
                <w:sz w:val="15"/>
              </w:rPr>
              <w:t>ordering</w:t>
            </w:r>
            <w:r>
              <w:rPr>
                <w:spacing w:val="-6"/>
                <w:sz w:val="15"/>
              </w:rPr>
              <w:t> </w:t>
            </w:r>
            <w:r>
              <w:rPr>
                <w:sz w:val="15"/>
              </w:rPr>
              <w:t>or</w:t>
            </w:r>
            <w:r>
              <w:rPr>
                <w:spacing w:val="-6"/>
                <w:sz w:val="15"/>
              </w:rPr>
              <w:t> </w:t>
            </w:r>
            <w:r>
              <w:rPr>
                <w:spacing w:val="-2"/>
                <w:sz w:val="15"/>
              </w:rPr>
              <w:t>model</w:t>
            </w:r>
          </w:p>
        </w:tc>
        <w:tc>
          <w:tcPr>
            <w:tcW w:w="2520" w:type="dxa"/>
            <w:shd w:val="clear" w:color="auto" w:fill="DDE6EF"/>
          </w:tcPr>
          <w:p>
            <w:pPr>
              <w:pStyle w:val="TableParagraph"/>
              <w:rPr>
                <w:sz w:val="15"/>
              </w:rPr>
            </w:pPr>
            <w:r>
              <w:rPr>
                <w:spacing w:val="-2"/>
                <w:sz w:val="15"/>
              </w:rPr>
              <w:t>Interpretive</w:t>
            </w:r>
            <w:r>
              <w:rPr>
                <w:spacing w:val="13"/>
                <w:sz w:val="15"/>
              </w:rPr>
              <w:t> </w:t>
            </w:r>
            <w:r>
              <w:rPr>
                <w:spacing w:val="-2"/>
                <w:sz w:val="15"/>
              </w:rPr>
              <w:t>constraint</w:t>
            </w:r>
          </w:p>
        </w:tc>
      </w:tr>
      <w:tr>
        <w:trPr>
          <w:trHeight w:val="762" w:hRule="atLeast"/>
        </w:trPr>
        <w:tc>
          <w:tcPr>
            <w:tcW w:w="1800" w:type="dxa"/>
          </w:tcPr>
          <w:p>
            <w:pPr>
              <w:pStyle w:val="TableParagraph"/>
              <w:spacing w:before="118"/>
              <w:ind w:left="0"/>
              <w:rPr>
                <w:sz w:val="15"/>
              </w:rPr>
            </w:pPr>
          </w:p>
          <w:p>
            <w:pPr>
              <w:pStyle w:val="TableParagraph"/>
              <w:spacing w:before="0"/>
              <w:rPr>
                <w:sz w:val="15"/>
              </w:rPr>
            </w:pPr>
            <w:r>
              <w:rPr>
                <w:sz w:val="15"/>
              </w:rPr>
              <w:t>Tian</w:t>
            </w:r>
            <w:r>
              <w:rPr>
                <w:spacing w:val="-6"/>
                <w:sz w:val="15"/>
              </w:rPr>
              <w:t> </w:t>
            </w:r>
            <w:r>
              <w:rPr>
                <w:sz w:val="15"/>
              </w:rPr>
              <w:t>et</w:t>
            </w:r>
            <w:r>
              <w:rPr>
                <w:spacing w:val="-2"/>
                <w:sz w:val="15"/>
              </w:rPr>
              <w:t> </w:t>
            </w:r>
            <w:r>
              <w:rPr>
                <w:sz w:val="15"/>
              </w:rPr>
              <w:t>al.</w:t>
            </w:r>
            <w:r>
              <w:rPr>
                <w:spacing w:val="-1"/>
                <w:sz w:val="15"/>
              </w:rPr>
              <w:t> </w:t>
            </w:r>
            <w:r>
              <w:rPr>
                <w:spacing w:val="-2"/>
                <w:sz w:val="15"/>
              </w:rPr>
              <w:t>(2009)</w:t>
            </w:r>
          </w:p>
        </w:tc>
        <w:tc>
          <w:tcPr>
            <w:tcW w:w="2088" w:type="dxa"/>
          </w:tcPr>
          <w:p>
            <w:pPr>
              <w:pStyle w:val="TableParagraph"/>
              <w:spacing w:before="118"/>
              <w:ind w:left="0"/>
              <w:rPr>
                <w:sz w:val="15"/>
              </w:rPr>
            </w:pPr>
          </w:p>
          <w:p>
            <w:pPr>
              <w:pStyle w:val="TableParagraph"/>
              <w:spacing w:before="0"/>
              <w:rPr>
                <w:sz w:val="15"/>
              </w:rPr>
            </w:pPr>
            <w:r>
              <w:rPr>
                <w:sz w:val="15"/>
              </w:rPr>
              <w:t>Autosomal</w:t>
            </w:r>
            <w:r>
              <w:rPr>
                <w:spacing w:val="-7"/>
                <w:sz w:val="15"/>
              </w:rPr>
              <w:t> </w:t>
            </w:r>
            <w:r>
              <w:rPr>
                <w:sz w:val="15"/>
              </w:rPr>
              <w:t>SNP</w:t>
            </w:r>
            <w:r>
              <w:rPr>
                <w:spacing w:val="-8"/>
                <w:sz w:val="15"/>
              </w:rPr>
              <w:t> </w:t>
            </w:r>
            <w:r>
              <w:rPr>
                <w:spacing w:val="-5"/>
                <w:sz w:val="15"/>
              </w:rPr>
              <w:t>FST</w:t>
            </w:r>
          </w:p>
        </w:tc>
        <w:tc>
          <w:tcPr>
            <w:tcW w:w="2880" w:type="dxa"/>
          </w:tcPr>
          <w:p>
            <w:pPr>
              <w:pStyle w:val="TableParagraph"/>
              <w:spacing w:before="29"/>
              <w:ind w:left="0"/>
              <w:rPr>
                <w:sz w:val="15"/>
              </w:rPr>
            </w:pPr>
          </w:p>
          <w:p>
            <w:pPr>
              <w:pStyle w:val="TableParagraph"/>
              <w:spacing w:line="176" w:lineRule="exact" w:before="0"/>
              <w:rPr>
                <w:sz w:val="15"/>
              </w:rPr>
            </w:pPr>
            <w:r>
              <w:rPr>
                <w:sz w:val="15"/>
              </w:rPr>
              <w:t>Italians</w:t>
            </w:r>
            <w:r>
              <w:rPr>
                <w:spacing w:val="-9"/>
                <w:sz w:val="15"/>
              </w:rPr>
              <w:t> </w:t>
            </w:r>
            <w:r>
              <w:rPr>
                <w:sz w:val="15"/>
              </w:rPr>
              <w:t>0.0040;</w:t>
            </w:r>
            <w:r>
              <w:rPr>
                <w:spacing w:val="-6"/>
                <w:sz w:val="15"/>
              </w:rPr>
              <w:t> </w:t>
            </w:r>
            <w:r>
              <w:rPr>
                <w:sz w:val="15"/>
              </w:rPr>
              <w:t>Greeks</w:t>
            </w:r>
            <w:r>
              <w:rPr>
                <w:spacing w:val="-7"/>
                <w:sz w:val="15"/>
              </w:rPr>
              <w:t> </w:t>
            </w:r>
            <w:r>
              <w:rPr>
                <w:spacing w:val="-2"/>
                <w:sz w:val="15"/>
              </w:rPr>
              <w:t>0.0042;</w:t>
            </w:r>
          </w:p>
          <w:p>
            <w:pPr>
              <w:pStyle w:val="TableParagraph"/>
              <w:spacing w:line="176" w:lineRule="exact" w:before="0"/>
              <w:rPr>
                <w:sz w:val="15"/>
              </w:rPr>
            </w:pPr>
            <w:r>
              <w:rPr>
                <w:spacing w:val="-2"/>
                <w:sz w:val="15"/>
              </w:rPr>
              <w:t>Palestinians</w:t>
            </w:r>
            <w:r>
              <w:rPr>
                <w:spacing w:val="13"/>
                <w:sz w:val="15"/>
              </w:rPr>
              <w:t> </w:t>
            </w:r>
            <w:r>
              <w:rPr>
                <w:spacing w:val="-2"/>
                <w:sz w:val="15"/>
              </w:rPr>
              <w:t>0.0093</w:t>
            </w:r>
          </w:p>
        </w:tc>
        <w:tc>
          <w:tcPr>
            <w:tcW w:w="2520" w:type="dxa"/>
          </w:tcPr>
          <w:p>
            <w:pPr>
              <w:pStyle w:val="TableParagraph"/>
              <w:ind w:right="84"/>
              <w:rPr>
                <w:sz w:val="15"/>
              </w:rPr>
            </w:pPr>
            <w:r>
              <w:rPr>
                <w:sz w:val="15"/>
              </w:rPr>
              <w:t>Italian</w:t>
            </w:r>
            <w:r>
              <w:rPr>
                <w:spacing w:val="-9"/>
                <w:sz w:val="15"/>
              </w:rPr>
              <w:t> </w:t>
            </w:r>
            <w:r>
              <w:rPr>
                <w:sz w:val="15"/>
              </w:rPr>
              <w:t>and</w:t>
            </w:r>
            <w:r>
              <w:rPr>
                <w:spacing w:val="-8"/>
                <w:sz w:val="15"/>
              </w:rPr>
              <w:t> </w:t>
            </w:r>
            <w:r>
              <w:rPr>
                <w:sz w:val="15"/>
              </w:rPr>
              <w:t>Greek</w:t>
            </w:r>
            <w:r>
              <w:rPr>
                <w:spacing w:val="-8"/>
                <w:sz w:val="15"/>
              </w:rPr>
              <w:t> </w:t>
            </w:r>
            <w:r>
              <w:rPr>
                <w:sz w:val="15"/>
              </w:rPr>
              <w:t>comparators</w:t>
            </w:r>
            <w:r>
              <w:rPr>
                <w:spacing w:val="-9"/>
                <w:sz w:val="15"/>
              </w:rPr>
              <w:t> </w:t>
            </w:r>
            <w:r>
              <w:rPr>
                <w:sz w:val="15"/>
              </w:rPr>
              <w:t>are</w:t>
            </w:r>
            <w:r>
              <w:rPr>
                <w:spacing w:val="40"/>
                <w:sz w:val="15"/>
              </w:rPr>
              <w:t> </w:t>
            </w:r>
            <w:r>
              <w:rPr>
                <w:sz w:val="15"/>
              </w:rPr>
              <w:t>closer in the sampled panel; FST</w:t>
            </w:r>
            <w:r>
              <w:rPr>
                <w:spacing w:val="40"/>
                <w:sz w:val="15"/>
              </w:rPr>
              <w:t> </w:t>
            </w:r>
            <w:r>
              <w:rPr>
                <w:sz w:val="15"/>
              </w:rPr>
              <w:t>alone does not identify historical</w:t>
            </w:r>
            <w:r>
              <w:rPr>
                <w:spacing w:val="40"/>
                <w:sz w:val="15"/>
              </w:rPr>
              <w:t> </w:t>
            </w:r>
            <w:r>
              <w:rPr>
                <w:spacing w:val="-2"/>
                <w:sz w:val="15"/>
              </w:rPr>
              <w:t>sources.</w:t>
            </w:r>
          </w:p>
        </w:tc>
      </w:tr>
      <w:tr>
        <w:trPr>
          <w:trHeight w:val="412" w:hRule="atLeast"/>
        </w:trPr>
        <w:tc>
          <w:tcPr>
            <w:tcW w:w="1800" w:type="dxa"/>
          </w:tcPr>
          <w:p>
            <w:pPr>
              <w:pStyle w:val="TableParagraph"/>
              <w:ind w:right="106"/>
              <w:rPr>
                <w:sz w:val="15"/>
              </w:rPr>
            </w:pPr>
            <w:r>
              <w:rPr>
                <w:spacing w:val="-2"/>
                <w:sz w:val="15"/>
              </w:rPr>
              <w:t>Zoossmann-Diskin</w:t>
            </w:r>
            <w:r>
              <w:rPr>
                <w:spacing w:val="40"/>
                <w:sz w:val="15"/>
              </w:rPr>
              <w:t> </w:t>
            </w:r>
            <w:r>
              <w:rPr>
                <w:spacing w:val="-2"/>
                <w:sz w:val="15"/>
              </w:rPr>
              <w:t>(2010)</w:t>
            </w:r>
          </w:p>
        </w:tc>
        <w:tc>
          <w:tcPr>
            <w:tcW w:w="2088" w:type="dxa"/>
          </w:tcPr>
          <w:p>
            <w:pPr>
              <w:pStyle w:val="TableParagraph"/>
              <w:spacing w:before="119"/>
              <w:rPr>
                <w:sz w:val="15"/>
              </w:rPr>
            </w:pPr>
            <w:r>
              <w:rPr>
                <w:spacing w:val="-2"/>
                <w:sz w:val="15"/>
              </w:rPr>
              <w:t>Autosomal</w:t>
            </w:r>
            <w:r>
              <w:rPr>
                <w:spacing w:val="9"/>
                <w:sz w:val="15"/>
              </w:rPr>
              <w:t> </w:t>
            </w:r>
            <w:r>
              <w:rPr>
                <w:spacing w:val="-2"/>
                <w:sz w:val="15"/>
              </w:rPr>
              <w:t>distance</w:t>
            </w:r>
            <w:r>
              <w:rPr>
                <w:spacing w:val="7"/>
                <w:sz w:val="15"/>
              </w:rPr>
              <w:t> </w:t>
            </w:r>
            <w:r>
              <w:rPr>
                <w:spacing w:val="-2"/>
                <w:sz w:val="15"/>
              </w:rPr>
              <w:t>matrix</w:t>
            </w:r>
          </w:p>
        </w:tc>
        <w:tc>
          <w:tcPr>
            <w:tcW w:w="2880" w:type="dxa"/>
          </w:tcPr>
          <w:p>
            <w:pPr>
              <w:pStyle w:val="TableParagraph"/>
              <w:rPr>
                <w:sz w:val="15"/>
              </w:rPr>
            </w:pPr>
            <w:r>
              <w:rPr>
                <w:sz w:val="15"/>
              </w:rPr>
              <w:t>Ashkenazi-Italian 44; Ashkenazi-Palestinian</w:t>
            </w:r>
            <w:r>
              <w:rPr>
                <w:spacing w:val="-9"/>
                <w:sz w:val="15"/>
              </w:rPr>
              <w:t> </w:t>
            </w:r>
            <w:r>
              <w:rPr>
                <w:sz w:val="15"/>
              </w:rPr>
              <w:t>277,</w:t>
            </w:r>
            <w:r>
              <w:rPr>
                <w:spacing w:val="-8"/>
                <w:sz w:val="15"/>
              </w:rPr>
              <w:t> </w:t>
            </w:r>
            <w:r>
              <w:rPr>
                <w:sz w:val="15"/>
              </w:rPr>
              <w:t>scaled</w:t>
            </w:r>
            <w:r>
              <w:rPr>
                <w:spacing w:val="-8"/>
                <w:sz w:val="15"/>
              </w:rPr>
              <w:t> </w:t>
            </w:r>
            <w:r>
              <w:rPr>
                <w:sz w:val="15"/>
              </w:rPr>
              <w:t>as</w:t>
            </w:r>
            <w:r>
              <w:rPr>
                <w:spacing w:val="-9"/>
                <w:sz w:val="15"/>
              </w:rPr>
              <w:t> </w:t>
            </w:r>
            <w:r>
              <w:rPr>
                <w:sz w:val="15"/>
              </w:rPr>
              <w:t>reported</w:t>
            </w:r>
          </w:p>
        </w:tc>
        <w:tc>
          <w:tcPr>
            <w:tcW w:w="2520" w:type="dxa"/>
          </w:tcPr>
          <w:p>
            <w:pPr>
              <w:pStyle w:val="TableParagraph"/>
              <w:rPr>
                <w:sz w:val="15"/>
              </w:rPr>
            </w:pPr>
            <w:r>
              <w:rPr>
                <w:sz w:val="15"/>
              </w:rPr>
              <w:t>Independent</w:t>
            </w:r>
            <w:r>
              <w:rPr>
                <w:spacing w:val="-9"/>
                <w:sz w:val="15"/>
              </w:rPr>
              <w:t> </w:t>
            </w:r>
            <w:r>
              <w:rPr>
                <w:sz w:val="15"/>
              </w:rPr>
              <w:t>distance</w:t>
            </w:r>
            <w:r>
              <w:rPr>
                <w:spacing w:val="-8"/>
                <w:sz w:val="15"/>
              </w:rPr>
              <w:t> </w:t>
            </w:r>
            <w:r>
              <w:rPr>
                <w:sz w:val="15"/>
              </w:rPr>
              <w:t>framework</w:t>
            </w:r>
            <w:r>
              <w:rPr>
                <w:spacing w:val="40"/>
                <w:sz w:val="15"/>
              </w:rPr>
              <w:t> </w:t>
            </w:r>
            <w:r>
              <w:rPr>
                <w:sz w:val="15"/>
              </w:rPr>
              <w:t>recovers the same ordering.</w:t>
            </w:r>
          </w:p>
        </w:tc>
      </w:tr>
      <w:tr>
        <w:trPr>
          <w:trHeight w:val="762" w:hRule="atLeast"/>
        </w:trPr>
        <w:tc>
          <w:tcPr>
            <w:tcW w:w="1800" w:type="dxa"/>
          </w:tcPr>
          <w:p>
            <w:pPr>
              <w:pStyle w:val="TableParagraph"/>
              <w:spacing w:before="118"/>
              <w:ind w:left="0"/>
              <w:rPr>
                <w:sz w:val="15"/>
              </w:rPr>
            </w:pPr>
          </w:p>
          <w:p>
            <w:pPr>
              <w:pStyle w:val="TableParagraph"/>
              <w:spacing w:before="0"/>
              <w:rPr>
                <w:sz w:val="15"/>
              </w:rPr>
            </w:pPr>
            <w:r>
              <w:rPr>
                <w:sz w:val="15"/>
              </w:rPr>
              <w:t>Xue</w:t>
            </w:r>
            <w:r>
              <w:rPr>
                <w:spacing w:val="-3"/>
                <w:sz w:val="15"/>
              </w:rPr>
              <w:t> </w:t>
            </w:r>
            <w:r>
              <w:rPr>
                <w:sz w:val="15"/>
              </w:rPr>
              <w:t>et</w:t>
            </w:r>
            <w:r>
              <w:rPr>
                <w:spacing w:val="-3"/>
                <w:sz w:val="15"/>
              </w:rPr>
              <w:t> </w:t>
            </w:r>
            <w:r>
              <w:rPr>
                <w:sz w:val="15"/>
              </w:rPr>
              <w:t>al. </w:t>
            </w:r>
            <w:r>
              <w:rPr>
                <w:spacing w:val="-2"/>
                <w:sz w:val="15"/>
              </w:rPr>
              <w:t>(2017)</w:t>
            </w:r>
          </w:p>
        </w:tc>
        <w:tc>
          <w:tcPr>
            <w:tcW w:w="2088" w:type="dxa"/>
          </w:tcPr>
          <w:p>
            <w:pPr>
              <w:pStyle w:val="TableParagraph"/>
              <w:spacing w:before="118"/>
              <w:ind w:left="0"/>
              <w:rPr>
                <w:sz w:val="15"/>
              </w:rPr>
            </w:pPr>
          </w:p>
          <w:p>
            <w:pPr>
              <w:pStyle w:val="TableParagraph"/>
              <w:spacing w:before="0"/>
              <w:rPr>
                <w:sz w:val="15"/>
              </w:rPr>
            </w:pPr>
            <w:r>
              <w:rPr>
                <w:spacing w:val="-2"/>
                <w:sz w:val="15"/>
              </w:rPr>
              <w:t>IBD</w:t>
            </w:r>
            <w:r>
              <w:rPr>
                <w:spacing w:val="7"/>
                <w:sz w:val="15"/>
              </w:rPr>
              <w:t> </w:t>
            </w:r>
            <w:r>
              <w:rPr>
                <w:spacing w:val="-2"/>
                <w:sz w:val="15"/>
              </w:rPr>
              <w:t>segment-length</w:t>
            </w:r>
            <w:r>
              <w:rPr>
                <w:spacing w:val="8"/>
                <w:sz w:val="15"/>
              </w:rPr>
              <w:t> </w:t>
            </w:r>
            <w:r>
              <w:rPr>
                <w:spacing w:val="-2"/>
                <w:sz w:val="15"/>
              </w:rPr>
              <w:t>analysis</w:t>
            </w:r>
          </w:p>
        </w:tc>
        <w:tc>
          <w:tcPr>
            <w:tcW w:w="2880" w:type="dxa"/>
          </w:tcPr>
          <w:p>
            <w:pPr>
              <w:pStyle w:val="TableParagraph"/>
              <w:spacing w:before="29"/>
              <w:ind w:left="0"/>
              <w:rPr>
                <w:sz w:val="15"/>
              </w:rPr>
            </w:pPr>
          </w:p>
          <w:p>
            <w:pPr>
              <w:pStyle w:val="TableParagraph"/>
              <w:spacing w:before="0"/>
              <w:rPr>
                <w:sz w:val="15"/>
              </w:rPr>
            </w:pPr>
            <w:r>
              <w:rPr>
                <w:sz w:val="15"/>
              </w:rPr>
              <w:t>Older</w:t>
            </w:r>
            <w:r>
              <w:rPr>
                <w:spacing w:val="-8"/>
                <w:sz w:val="15"/>
              </w:rPr>
              <w:t> </w:t>
            </w:r>
            <w:r>
              <w:rPr>
                <w:sz w:val="15"/>
              </w:rPr>
              <w:t>and</w:t>
            </w:r>
            <w:r>
              <w:rPr>
                <w:spacing w:val="-8"/>
                <w:sz w:val="15"/>
              </w:rPr>
              <w:t> </w:t>
            </w:r>
            <w:r>
              <w:rPr>
                <w:sz w:val="15"/>
              </w:rPr>
              <w:t>more</w:t>
            </w:r>
            <w:r>
              <w:rPr>
                <w:spacing w:val="-6"/>
                <w:sz w:val="15"/>
              </w:rPr>
              <w:t> </w:t>
            </w:r>
            <w:r>
              <w:rPr>
                <w:sz w:val="15"/>
              </w:rPr>
              <w:t>recent</w:t>
            </w:r>
            <w:r>
              <w:rPr>
                <w:spacing w:val="-7"/>
                <w:sz w:val="15"/>
              </w:rPr>
              <w:t> </w:t>
            </w:r>
            <w:r>
              <w:rPr>
                <w:sz w:val="15"/>
              </w:rPr>
              <w:t>shared</w:t>
            </w:r>
            <w:r>
              <w:rPr>
                <w:spacing w:val="-8"/>
                <w:sz w:val="15"/>
              </w:rPr>
              <w:t> </w:t>
            </w:r>
            <w:r>
              <w:rPr>
                <w:sz w:val="15"/>
              </w:rPr>
              <w:t>ancestry</w:t>
            </w:r>
            <w:r>
              <w:rPr>
                <w:spacing w:val="40"/>
                <w:sz w:val="15"/>
              </w:rPr>
              <w:t> </w:t>
            </w:r>
            <w:r>
              <w:rPr>
                <w:sz w:val="15"/>
              </w:rPr>
              <w:t>separated by segment length</w:t>
            </w:r>
          </w:p>
        </w:tc>
        <w:tc>
          <w:tcPr>
            <w:tcW w:w="2520" w:type="dxa"/>
          </w:tcPr>
          <w:p>
            <w:pPr>
              <w:pStyle w:val="TableParagraph"/>
              <w:ind w:right="322"/>
              <w:rPr>
                <w:sz w:val="15"/>
              </w:rPr>
            </w:pPr>
            <w:r>
              <w:rPr>
                <w:sz w:val="15"/>
              </w:rPr>
              <w:t>Constrains models that equate</w:t>
            </w:r>
            <w:r>
              <w:rPr>
                <w:spacing w:val="40"/>
                <w:sz w:val="15"/>
              </w:rPr>
              <w:t> </w:t>
            </w:r>
            <w:r>
              <w:rPr>
                <w:sz w:val="15"/>
              </w:rPr>
              <w:t>projection-based</w:t>
            </w:r>
            <w:r>
              <w:rPr>
                <w:spacing w:val="-9"/>
                <w:sz w:val="15"/>
              </w:rPr>
              <w:t> </w:t>
            </w:r>
            <w:r>
              <w:rPr>
                <w:sz w:val="15"/>
              </w:rPr>
              <w:t>proximity</w:t>
            </w:r>
            <w:r>
              <w:rPr>
                <w:spacing w:val="-8"/>
                <w:sz w:val="15"/>
              </w:rPr>
              <w:t> </w:t>
            </w:r>
            <w:r>
              <w:rPr>
                <w:sz w:val="15"/>
              </w:rPr>
              <w:t>with</w:t>
            </w:r>
            <w:r>
              <w:rPr>
                <w:spacing w:val="40"/>
                <w:sz w:val="15"/>
              </w:rPr>
              <w:t> </w:t>
            </w:r>
            <w:r>
              <w:rPr>
                <w:sz w:val="15"/>
              </w:rPr>
              <w:t>substantial recent source</w:t>
            </w:r>
            <w:r>
              <w:rPr>
                <w:spacing w:val="40"/>
                <w:sz w:val="15"/>
              </w:rPr>
              <w:t> </w:t>
            </w:r>
            <w:r>
              <w:rPr>
                <w:spacing w:val="-2"/>
                <w:sz w:val="15"/>
              </w:rPr>
              <w:t>contribution.</w:t>
            </w:r>
          </w:p>
        </w:tc>
      </w:tr>
      <w:tr>
        <w:trPr>
          <w:trHeight w:val="587" w:hRule="atLeast"/>
        </w:trPr>
        <w:tc>
          <w:tcPr>
            <w:tcW w:w="1800" w:type="dxa"/>
          </w:tcPr>
          <w:p>
            <w:pPr>
              <w:pStyle w:val="TableParagraph"/>
              <w:spacing w:before="31"/>
              <w:ind w:left="0"/>
              <w:rPr>
                <w:sz w:val="15"/>
              </w:rPr>
            </w:pPr>
          </w:p>
          <w:p>
            <w:pPr>
              <w:pStyle w:val="TableParagraph"/>
              <w:spacing w:before="1"/>
              <w:rPr>
                <w:sz w:val="15"/>
              </w:rPr>
            </w:pPr>
            <w:r>
              <w:rPr>
                <w:sz w:val="15"/>
              </w:rPr>
              <w:t>Lerga-Jaso</w:t>
            </w:r>
            <w:r>
              <w:rPr>
                <w:spacing w:val="-6"/>
                <w:sz w:val="15"/>
              </w:rPr>
              <w:t> </w:t>
            </w:r>
            <w:r>
              <w:rPr>
                <w:sz w:val="15"/>
              </w:rPr>
              <w:t>et</w:t>
            </w:r>
            <w:r>
              <w:rPr>
                <w:spacing w:val="-5"/>
                <w:sz w:val="15"/>
              </w:rPr>
              <w:t> </w:t>
            </w:r>
            <w:r>
              <w:rPr>
                <w:sz w:val="15"/>
              </w:rPr>
              <w:t>al.</w:t>
            </w:r>
            <w:r>
              <w:rPr>
                <w:spacing w:val="-2"/>
                <w:sz w:val="15"/>
              </w:rPr>
              <w:t> (2025)</w:t>
            </w:r>
          </w:p>
        </w:tc>
        <w:tc>
          <w:tcPr>
            <w:tcW w:w="2088" w:type="dxa"/>
          </w:tcPr>
          <w:p>
            <w:pPr>
              <w:pStyle w:val="TableParagraph"/>
              <w:spacing w:before="119"/>
              <w:ind w:right="395"/>
              <w:rPr>
                <w:sz w:val="15"/>
              </w:rPr>
            </w:pPr>
            <w:r>
              <w:rPr>
                <w:sz w:val="15"/>
              </w:rPr>
              <w:t>Orchestra</w:t>
            </w:r>
            <w:r>
              <w:rPr>
                <w:spacing w:val="-9"/>
                <w:sz w:val="15"/>
              </w:rPr>
              <w:t> </w:t>
            </w:r>
            <w:r>
              <w:rPr>
                <w:sz w:val="15"/>
              </w:rPr>
              <w:t>local-ancestry</w:t>
            </w:r>
            <w:r>
              <w:rPr>
                <w:spacing w:val="40"/>
                <w:sz w:val="15"/>
              </w:rPr>
              <w:t> </w:t>
            </w:r>
            <w:r>
              <w:rPr>
                <w:spacing w:val="-2"/>
                <w:sz w:val="15"/>
              </w:rPr>
              <w:t>inference</w:t>
            </w:r>
          </w:p>
        </w:tc>
        <w:tc>
          <w:tcPr>
            <w:tcW w:w="2880" w:type="dxa"/>
          </w:tcPr>
          <w:p>
            <w:pPr>
              <w:pStyle w:val="TableParagraph"/>
              <w:spacing w:before="119"/>
              <w:rPr>
                <w:sz w:val="15"/>
              </w:rPr>
            </w:pPr>
            <w:r>
              <w:rPr>
                <w:sz w:val="15"/>
              </w:rPr>
              <w:t>Approximately</w:t>
            </w:r>
            <w:r>
              <w:rPr>
                <w:spacing w:val="-9"/>
                <w:sz w:val="15"/>
              </w:rPr>
              <w:t> </w:t>
            </w:r>
            <w:r>
              <w:rPr>
                <w:sz w:val="15"/>
              </w:rPr>
              <w:t>68</w:t>
            </w:r>
            <w:r>
              <w:rPr>
                <w:spacing w:val="-8"/>
                <w:sz w:val="15"/>
              </w:rPr>
              <w:t> </w:t>
            </w:r>
            <w:r>
              <w:rPr>
                <w:sz w:val="15"/>
              </w:rPr>
              <w:t>percent</w:t>
            </w:r>
            <w:r>
              <w:rPr>
                <w:spacing w:val="-8"/>
                <w:sz w:val="15"/>
              </w:rPr>
              <w:t> </w:t>
            </w:r>
            <w:r>
              <w:rPr>
                <w:sz w:val="15"/>
              </w:rPr>
              <w:t>broad</w:t>
            </w:r>
            <w:r>
              <w:rPr>
                <w:spacing w:val="-9"/>
                <w:sz w:val="15"/>
              </w:rPr>
              <w:t> </w:t>
            </w:r>
            <w:r>
              <w:rPr>
                <w:sz w:val="15"/>
              </w:rPr>
              <w:t>Italian;</w:t>
            </w:r>
            <w:r>
              <w:rPr>
                <w:spacing w:val="40"/>
                <w:sz w:val="15"/>
              </w:rPr>
              <w:t> </w:t>
            </w:r>
            <w:r>
              <w:rPr>
                <w:sz w:val="15"/>
              </w:rPr>
              <w:t>smaller Levantine and other categories</w:t>
            </w:r>
          </w:p>
        </w:tc>
        <w:tc>
          <w:tcPr>
            <w:tcW w:w="2520" w:type="dxa"/>
          </w:tcPr>
          <w:p>
            <w:pPr>
              <w:pStyle w:val="TableParagraph"/>
              <w:spacing w:line="176" w:lineRule="exact"/>
              <w:rPr>
                <w:sz w:val="15"/>
              </w:rPr>
            </w:pPr>
            <w:r>
              <w:rPr>
                <w:sz w:val="15"/>
              </w:rPr>
              <w:t>Italian</w:t>
            </w:r>
            <w:r>
              <w:rPr>
                <w:spacing w:val="-7"/>
                <w:sz w:val="15"/>
              </w:rPr>
              <w:t> </w:t>
            </w:r>
            <w:r>
              <w:rPr>
                <w:sz w:val="15"/>
              </w:rPr>
              <w:t>category</w:t>
            </w:r>
            <w:r>
              <w:rPr>
                <w:spacing w:val="-6"/>
                <w:sz w:val="15"/>
              </w:rPr>
              <w:t> </w:t>
            </w:r>
            <w:r>
              <w:rPr>
                <w:sz w:val="15"/>
              </w:rPr>
              <w:t>is</w:t>
            </w:r>
            <w:r>
              <w:rPr>
                <w:spacing w:val="-7"/>
                <w:sz w:val="15"/>
              </w:rPr>
              <w:t> </w:t>
            </w:r>
            <w:r>
              <w:rPr>
                <w:sz w:val="15"/>
              </w:rPr>
              <w:t>broad</w:t>
            </w:r>
            <w:r>
              <w:rPr>
                <w:spacing w:val="-5"/>
                <w:sz w:val="15"/>
              </w:rPr>
              <w:t> and</w:t>
            </w:r>
          </w:p>
          <w:p>
            <w:pPr>
              <w:pStyle w:val="TableParagraph"/>
              <w:spacing w:before="0"/>
              <w:rPr>
                <w:sz w:val="15"/>
              </w:rPr>
            </w:pPr>
            <w:r>
              <w:rPr>
                <w:sz w:val="15"/>
              </w:rPr>
              <w:t>model-dependent,</w:t>
            </w:r>
            <w:r>
              <w:rPr>
                <w:spacing w:val="-9"/>
                <w:sz w:val="15"/>
              </w:rPr>
              <w:t> </w:t>
            </w:r>
            <w:r>
              <w:rPr>
                <w:sz w:val="15"/>
              </w:rPr>
              <w:t>but</w:t>
            </w:r>
            <w:r>
              <w:rPr>
                <w:spacing w:val="-8"/>
                <w:sz w:val="15"/>
              </w:rPr>
              <w:t> </w:t>
            </w:r>
            <w:r>
              <w:rPr>
                <w:sz w:val="15"/>
              </w:rPr>
              <w:t>is</w:t>
            </w:r>
            <w:r>
              <w:rPr>
                <w:spacing w:val="-8"/>
                <w:sz w:val="15"/>
              </w:rPr>
              <w:t> </w:t>
            </w:r>
            <w:r>
              <w:rPr>
                <w:sz w:val="15"/>
              </w:rPr>
              <w:t>the</w:t>
            </w:r>
            <w:r>
              <w:rPr>
                <w:spacing w:val="-9"/>
                <w:sz w:val="15"/>
              </w:rPr>
              <w:t> </w:t>
            </w:r>
            <w:r>
              <w:rPr>
                <w:sz w:val="15"/>
              </w:rPr>
              <w:t>largest</w:t>
            </w:r>
            <w:r>
              <w:rPr>
                <w:spacing w:val="40"/>
                <w:sz w:val="15"/>
              </w:rPr>
              <w:t> </w:t>
            </w:r>
            <w:r>
              <w:rPr>
                <w:sz w:val="15"/>
              </w:rPr>
              <w:t>reported</w:t>
            </w:r>
            <w:r>
              <w:rPr>
                <w:spacing w:val="-8"/>
                <w:sz w:val="15"/>
              </w:rPr>
              <w:t> </w:t>
            </w:r>
            <w:r>
              <w:rPr>
                <w:sz w:val="15"/>
              </w:rPr>
              <w:t>assignment.</w:t>
            </w:r>
          </w:p>
        </w:tc>
      </w:tr>
      <w:tr>
        <w:trPr>
          <w:trHeight w:val="765" w:hRule="atLeast"/>
        </w:trPr>
        <w:tc>
          <w:tcPr>
            <w:tcW w:w="1800" w:type="dxa"/>
          </w:tcPr>
          <w:p>
            <w:pPr>
              <w:pStyle w:val="TableParagraph"/>
              <w:spacing w:before="118"/>
              <w:ind w:left="0"/>
              <w:rPr>
                <w:sz w:val="15"/>
              </w:rPr>
            </w:pPr>
          </w:p>
          <w:p>
            <w:pPr>
              <w:pStyle w:val="TableParagraph"/>
              <w:spacing w:before="0"/>
              <w:rPr>
                <w:sz w:val="15"/>
              </w:rPr>
            </w:pPr>
            <w:r>
              <w:rPr>
                <w:sz w:val="15"/>
              </w:rPr>
              <w:t>Waldman</w:t>
            </w:r>
            <w:r>
              <w:rPr>
                <w:spacing w:val="-6"/>
                <w:sz w:val="15"/>
              </w:rPr>
              <w:t> </w:t>
            </w:r>
            <w:r>
              <w:rPr>
                <w:sz w:val="15"/>
              </w:rPr>
              <w:t>et</w:t>
            </w:r>
            <w:r>
              <w:rPr>
                <w:spacing w:val="-3"/>
                <w:sz w:val="15"/>
              </w:rPr>
              <w:t> </w:t>
            </w:r>
            <w:r>
              <w:rPr>
                <w:sz w:val="15"/>
              </w:rPr>
              <w:t>al.</w:t>
            </w:r>
            <w:r>
              <w:rPr>
                <w:spacing w:val="-4"/>
                <w:sz w:val="15"/>
              </w:rPr>
              <w:t> </w:t>
            </w:r>
            <w:r>
              <w:rPr>
                <w:spacing w:val="-2"/>
                <w:sz w:val="15"/>
              </w:rPr>
              <w:t>(2022)</w:t>
            </w:r>
          </w:p>
        </w:tc>
        <w:tc>
          <w:tcPr>
            <w:tcW w:w="2088" w:type="dxa"/>
          </w:tcPr>
          <w:p>
            <w:pPr>
              <w:pStyle w:val="TableParagraph"/>
              <w:spacing w:before="119"/>
              <w:ind w:right="160"/>
              <w:jc w:val="both"/>
              <w:rPr>
                <w:sz w:val="15"/>
              </w:rPr>
            </w:pPr>
            <w:r>
              <w:rPr>
                <w:sz w:val="15"/>
              </w:rPr>
              <w:t>Ancient DNA and published</w:t>
            </w:r>
            <w:r>
              <w:rPr>
                <w:spacing w:val="40"/>
                <w:sz w:val="15"/>
              </w:rPr>
              <w:t> </w:t>
            </w:r>
            <w:r>
              <w:rPr>
                <w:sz w:val="15"/>
              </w:rPr>
              <w:t>qpAdm</w:t>
            </w:r>
            <w:r>
              <w:rPr>
                <w:spacing w:val="-9"/>
                <w:sz w:val="15"/>
              </w:rPr>
              <w:t> </w:t>
            </w:r>
            <w:r>
              <w:rPr>
                <w:sz w:val="15"/>
              </w:rPr>
              <w:t>models</w:t>
            </w:r>
            <w:r>
              <w:rPr>
                <w:spacing w:val="-8"/>
                <w:sz w:val="15"/>
              </w:rPr>
              <w:t> </w:t>
            </w:r>
            <w:r>
              <w:rPr>
                <w:sz w:val="15"/>
              </w:rPr>
              <w:t>for</w:t>
            </w:r>
            <w:r>
              <w:rPr>
                <w:spacing w:val="-8"/>
                <w:sz w:val="15"/>
              </w:rPr>
              <w:t> </w:t>
            </w:r>
            <w:r>
              <w:rPr>
                <w:sz w:val="15"/>
              </w:rPr>
              <w:t>medieval</w:t>
            </w:r>
            <w:r>
              <w:rPr>
                <w:spacing w:val="40"/>
                <w:sz w:val="15"/>
              </w:rPr>
              <w:t> </w:t>
            </w:r>
            <w:r>
              <w:rPr>
                <w:spacing w:val="-2"/>
                <w:sz w:val="15"/>
              </w:rPr>
              <w:t>Erfurt</w:t>
            </w:r>
          </w:p>
        </w:tc>
        <w:tc>
          <w:tcPr>
            <w:tcW w:w="2880" w:type="dxa"/>
          </w:tcPr>
          <w:p>
            <w:pPr>
              <w:pStyle w:val="TableParagraph"/>
              <w:ind w:right="112"/>
              <w:rPr>
                <w:sz w:val="15"/>
              </w:rPr>
            </w:pPr>
            <w:r>
              <w:rPr>
                <w:sz w:val="15"/>
              </w:rPr>
              <w:t>Plausible South Italian models average</w:t>
            </w:r>
            <w:r>
              <w:rPr>
                <w:spacing w:val="40"/>
                <w:sz w:val="15"/>
              </w:rPr>
              <w:t> </w:t>
            </w:r>
            <w:r>
              <w:rPr>
                <w:sz w:val="15"/>
              </w:rPr>
              <w:t>approximately</w:t>
            </w:r>
            <w:r>
              <w:rPr>
                <w:spacing w:val="-9"/>
                <w:sz w:val="15"/>
              </w:rPr>
              <w:t> </w:t>
            </w:r>
            <w:r>
              <w:rPr>
                <w:sz w:val="15"/>
              </w:rPr>
              <w:t>65</w:t>
            </w:r>
            <w:r>
              <w:rPr>
                <w:spacing w:val="-8"/>
                <w:sz w:val="15"/>
              </w:rPr>
              <w:t> </w:t>
            </w:r>
            <w:r>
              <w:rPr>
                <w:sz w:val="15"/>
              </w:rPr>
              <w:t>percent</w:t>
            </w:r>
            <w:r>
              <w:rPr>
                <w:spacing w:val="-8"/>
                <w:sz w:val="15"/>
              </w:rPr>
              <w:t> </w:t>
            </w:r>
            <w:r>
              <w:rPr>
                <w:sz w:val="15"/>
              </w:rPr>
              <w:t>South</w:t>
            </w:r>
            <w:r>
              <w:rPr>
                <w:spacing w:val="-9"/>
                <w:sz w:val="15"/>
              </w:rPr>
              <w:t> </w:t>
            </w:r>
            <w:r>
              <w:rPr>
                <w:sz w:val="15"/>
              </w:rPr>
              <w:t>Italian,</w:t>
            </w:r>
            <w:r>
              <w:rPr>
                <w:spacing w:val="40"/>
                <w:sz w:val="15"/>
              </w:rPr>
              <w:t> </w:t>
            </w:r>
            <w:r>
              <w:rPr>
                <w:sz w:val="15"/>
              </w:rPr>
              <w:t>19 percent Middle Eastern, and 16</w:t>
            </w:r>
            <w:r>
              <w:rPr>
                <w:spacing w:val="40"/>
                <w:sz w:val="15"/>
              </w:rPr>
              <w:t> </w:t>
            </w:r>
            <w:r>
              <w:rPr>
                <w:sz w:val="15"/>
              </w:rPr>
              <w:t>percent Eastern European</w:t>
            </w:r>
          </w:p>
        </w:tc>
        <w:tc>
          <w:tcPr>
            <w:tcW w:w="2520" w:type="dxa"/>
          </w:tcPr>
          <w:p>
            <w:pPr>
              <w:pStyle w:val="TableParagraph"/>
              <w:ind w:right="138"/>
              <w:rPr>
                <w:sz w:val="15"/>
              </w:rPr>
            </w:pPr>
            <w:r>
              <w:rPr>
                <w:sz w:val="15"/>
              </w:rPr>
              <w:t>Source identities and estimates</w:t>
            </w:r>
            <w:r>
              <w:rPr>
                <w:spacing w:val="40"/>
                <w:sz w:val="15"/>
              </w:rPr>
              <w:t> </w:t>
            </w:r>
            <w:r>
              <w:rPr>
                <w:sz w:val="15"/>
              </w:rPr>
              <w:t>vary among plausible models;</w:t>
            </w:r>
            <w:r>
              <w:rPr>
                <w:spacing w:val="40"/>
                <w:sz w:val="15"/>
              </w:rPr>
              <w:t> </w:t>
            </w:r>
            <w:r>
              <w:rPr>
                <w:sz w:val="15"/>
              </w:rPr>
              <w:t>major</w:t>
            </w:r>
            <w:r>
              <w:rPr>
                <w:spacing w:val="-9"/>
                <w:sz w:val="15"/>
              </w:rPr>
              <w:t> </w:t>
            </w:r>
            <w:r>
              <w:rPr>
                <w:sz w:val="15"/>
              </w:rPr>
              <w:t>ancestry</w:t>
            </w:r>
            <w:r>
              <w:rPr>
                <w:spacing w:val="-8"/>
                <w:sz w:val="15"/>
              </w:rPr>
              <w:t> </w:t>
            </w:r>
            <w:r>
              <w:rPr>
                <w:sz w:val="15"/>
              </w:rPr>
              <w:t>components</w:t>
            </w:r>
            <w:r>
              <w:rPr>
                <w:spacing w:val="-8"/>
                <w:sz w:val="15"/>
              </w:rPr>
              <w:t> </w:t>
            </w:r>
            <w:r>
              <w:rPr>
                <w:sz w:val="15"/>
              </w:rPr>
              <w:t>pre-date the fourteenth century.</w:t>
            </w:r>
          </w:p>
        </w:tc>
      </w:tr>
      <w:tr>
        <w:trPr>
          <w:trHeight w:val="937" w:hRule="atLeast"/>
        </w:trPr>
        <w:tc>
          <w:tcPr>
            <w:tcW w:w="1800" w:type="dxa"/>
          </w:tcPr>
          <w:p>
            <w:pPr>
              <w:pStyle w:val="TableParagraph"/>
              <w:spacing w:before="0"/>
              <w:ind w:left="0"/>
              <w:rPr>
                <w:sz w:val="15"/>
              </w:rPr>
            </w:pPr>
          </w:p>
          <w:p>
            <w:pPr>
              <w:pStyle w:val="TableParagraph"/>
              <w:spacing w:before="28"/>
              <w:ind w:left="0"/>
              <w:rPr>
                <w:sz w:val="15"/>
              </w:rPr>
            </w:pPr>
          </w:p>
          <w:p>
            <w:pPr>
              <w:pStyle w:val="TableParagraph"/>
              <w:spacing w:before="0"/>
              <w:rPr>
                <w:sz w:val="15"/>
              </w:rPr>
            </w:pPr>
            <w:r>
              <w:rPr>
                <w:sz w:val="15"/>
              </w:rPr>
              <w:t>Brace</w:t>
            </w:r>
            <w:r>
              <w:rPr>
                <w:spacing w:val="-5"/>
                <w:sz w:val="15"/>
              </w:rPr>
              <w:t> </w:t>
            </w:r>
            <w:r>
              <w:rPr>
                <w:sz w:val="15"/>
              </w:rPr>
              <w:t>et</w:t>
            </w:r>
            <w:r>
              <w:rPr>
                <w:spacing w:val="-4"/>
                <w:sz w:val="15"/>
              </w:rPr>
              <w:t> </w:t>
            </w:r>
            <w:r>
              <w:rPr>
                <w:sz w:val="15"/>
              </w:rPr>
              <w:t>al.</w:t>
            </w:r>
            <w:r>
              <w:rPr>
                <w:spacing w:val="-1"/>
                <w:sz w:val="15"/>
              </w:rPr>
              <w:t> </w:t>
            </w:r>
            <w:r>
              <w:rPr>
                <w:spacing w:val="-2"/>
                <w:sz w:val="15"/>
              </w:rPr>
              <w:t>(2022)</w:t>
            </w:r>
          </w:p>
        </w:tc>
        <w:tc>
          <w:tcPr>
            <w:tcW w:w="2088" w:type="dxa"/>
          </w:tcPr>
          <w:p>
            <w:pPr>
              <w:pStyle w:val="TableParagraph"/>
              <w:spacing w:before="115"/>
              <w:ind w:left="0"/>
              <w:rPr>
                <w:sz w:val="15"/>
              </w:rPr>
            </w:pPr>
          </w:p>
          <w:p>
            <w:pPr>
              <w:pStyle w:val="TableParagraph"/>
              <w:spacing w:before="1"/>
              <w:ind w:right="41"/>
              <w:rPr>
                <w:sz w:val="15"/>
              </w:rPr>
            </w:pPr>
            <w:r>
              <w:rPr>
                <w:sz w:val="15"/>
              </w:rPr>
              <w:t>Medieval</w:t>
            </w:r>
            <w:r>
              <w:rPr>
                <w:spacing w:val="-9"/>
                <w:sz w:val="15"/>
              </w:rPr>
              <w:t> </w:t>
            </w:r>
            <w:r>
              <w:rPr>
                <w:sz w:val="15"/>
              </w:rPr>
              <w:t>Norwich</w:t>
            </w:r>
            <w:r>
              <w:rPr>
                <w:spacing w:val="-8"/>
                <w:sz w:val="15"/>
              </w:rPr>
              <w:t> </w:t>
            </w:r>
            <w:r>
              <w:rPr>
                <w:sz w:val="15"/>
              </w:rPr>
              <w:t>ancient</w:t>
            </w:r>
            <w:r>
              <w:rPr>
                <w:spacing w:val="40"/>
                <w:sz w:val="15"/>
              </w:rPr>
              <w:t> </w:t>
            </w:r>
            <w:r>
              <w:rPr>
                <w:sz w:val="15"/>
              </w:rPr>
              <w:t>DNA and a proxy model</w:t>
            </w:r>
          </w:p>
        </w:tc>
        <w:tc>
          <w:tcPr>
            <w:tcW w:w="2880" w:type="dxa"/>
          </w:tcPr>
          <w:p>
            <w:pPr>
              <w:pStyle w:val="TableParagraph"/>
              <w:spacing w:before="29"/>
              <w:ind w:left="0"/>
              <w:rPr>
                <w:sz w:val="15"/>
              </w:rPr>
            </w:pPr>
          </w:p>
          <w:p>
            <w:pPr>
              <w:pStyle w:val="TableParagraph"/>
              <w:spacing w:before="0"/>
              <w:ind w:right="112"/>
              <w:rPr>
                <w:sz w:val="15"/>
              </w:rPr>
            </w:pPr>
            <w:r>
              <w:rPr>
                <w:sz w:val="15"/>
              </w:rPr>
              <w:t>Approximately</w:t>
            </w:r>
            <w:r>
              <w:rPr>
                <w:spacing w:val="-9"/>
                <w:sz w:val="15"/>
              </w:rPr>
              <w:t> </w:t>
            </w:r>
            <w:r>
              <w:rPr>
                <w:sz w:val="15"/>
              </w:rPr>
              <w:t>67</w:t>
            </w:r>
            <w:r>
              <w:rPr>
                <w:spacing w:val="-8"/>
                <w:sz w:val="15"/>
              </w:rPr>
              <w:t> </w:t>
            </w:r>
            <w:r>
              <w:rPr>
                <w:sz w:val="15"/>
              </w:rPr>
              <w:t>percent</w:t>
            </w:r>
            <w:r>
              <w:rPr>
                <w:spacing w:val="-8"/>
                <w:sz w:val="15"/>
              </w:rPr>
              <w:t> </w:t>
            </w:r>
            <w:r>
              <w:rPr>
                <w:sz w:val="15"/>
              </w:rPr>
              <w:t>Sicilian</w:t>
            </w:r>
            <w:r>
              <w:rPr>
                <w:spacing w:val="-9"/>
                <w:sz w:val="15"/>
              </w:rPr>
              <w:t> </w:t>
            </w:r>
            <w:r>
              <w:rPr>
                <w:sz w:val="15"/>
              </w:rPr>
              <w:t>proxy</w:t>
            </w:r>
            <w:r>
              <w:rPr>
                <w:spacing w:val="40"/>
                <w:sz w:val="15"/>
              </w:rPr>
              <w:t> </w:t>
            </w:r>
            <w:r>
              <w:rPr>
                <w:sz w:val="15"/>
              </w:rPr>
              <w:t>and 33 percent Turkish Jewish proxy in</w:t>
            </w:r>
            <w:r>
              <w:rPr>
                <w:spacing w:val="40"/>
                <w:sz w:val="15"/>
              </w:rPr>
              <w:t> </w:t>
            </w:r>
            <w:r>
              <w:rPr>
                <w:sz w:val="15"/>
              </w:rPr>
              <w:t>one</w:t>
            </w:r>
            <w:r>
              <w:rPr>
                <w:spacing w:val="-6"/>
                <w:sz w:val="15"/>
              </w:rPr>
              <w:t> </w:t>
            </w:r>
            <w:r>
              <w:rPr>
                <w:sz w:val="15"/>
              </w:rPr>
              <w:t>model</w:t>
            </w:r>
          </w:p>
        </w:tc>
        <w:tc>
          <w:tcPr>
            <w:tcW w:w="2520" w:type="dxa"/>
          </w:tcPr>
          <w:p>
            <w:pPr>
              <w:pStyle w:val="TableParagraph"/>
              <w:rPr>
                <w:sz w:val="15"/>
              </w:rPr>
            </w:pPr>
            <w:r>
              <w:rPr>
                <w:sz w:val="15"/>
              </w:rPr>
              <w:t>Small</w:t>
            </w:r>
            <w:r>
              <w:rPr>
                <w:spacing w:val="-9"/>
                <w:sz w:val="15"/>
              </w:rPr>
              <w:t> </w:t>
            </w:r>
            <w:r>
              <w:rPr>
                <w:sz w:val="15"/>
              </w:rPr>
              <w:t>sample</w:t>
            </w:r>
            <w:r>
              <w:rPr>
                <w:spacing w:val="-8"/>
                <w:sz w:val="15"/>
              </w:rPr>
              <w:t> </w:t>
            </w:r>
            <w:r>
              <w:rPr>
                <w:sz w:val="15"/>
              </w:rPr>
              <w:t>and</w:t>
            </w:r>
            <w:r>
              <w:rPr>
                <w:spacing w:val="-8"/>
                <w:sz w:val="15"/>
              </w:rPr>
              <w:t> </w:t>
            </w:r>
            <w:r>
              <w:rPr>
                <w:sz w:val="15"/>
              </w:rPr>
              <w:t>proxy-sensitive</w:t>
            </w:r>
            <w:r>
              <w:rPr>
                <w:spacing w:val="40"/>
                <w:sz w:val="15"/>
              </w:rPr>
              <w:t> </w:t>
            </w:r>
            <w:r>
              <w:rPr>
                <w:sz w:val="15"/>
              </w:rPr>
              <w:t>result; supports a substantial</w:t>
            </w:r>
            <w:r>
              <w:rPr>
                <w:spacing w:val="40"/>
                <w:sz w:val="15"/>
              </w:rPr>
              <w:t> </w:t>
            </w:r>
            <w:r>
              <w:rPr>
                <w:sz w:val="15"/>
              </w:rPr>
              <w:t>central/eastern</w:t>
            </w:r>
            <w:r>
              <w:rPr>
                <w:spacing w:val="-8"/>
                <w:sz w:val="15"/>
              </w:rPr>
              <w:t> </w:t>
            </w:r>
            <w:r>
              <w:rPr>
                <w:sz w:val="15"/>
              </w:rPr>
              <w:t>Mediterranean-associated</w:t>
            </w:r>
            <w:r>
              <w:rPr>
                <w:spacing w:val="-3"/>
                <w:sz w:val="15"/>
              </w:rPr>
              <w:t> </w:t>
            </w:r>
            <w:r>
              <w:rPr>
                <w:sz w:val="15"/>
              </w:rPr>
              <w:t>component</w:t>
            </w:r>
            <w:r>
              <w:rPr>
                <w:spacing w:val="-4"/>
                <w:sz w:val="15"/>
              </w:rPr>
              <w:t> </w:t>
            </w:r>
            <w:r>
              <w:rPr>
                <w:sz w:val="15"/>
              </w:rPr>
              <w:t>before the</w:t>
            </w:r>
            <w:r>
              <w:rPr>
                <w:spacing w:val="40"/>
                <w:sz w:val="15"/>
              </w:rPr>
              <w:t> </w:t>
            </w:r>
            <w:r>
              <w:rPr>
                <w:sz w:val="15"/>
              </w:rPr>
              <w:t>twelfth</w:t>
            </w:r>
            <w:r>
              <w:rPr>
                <w:spacing w:val="-9"/>
                <w:sz w:val="15"/>
              </w:rPr>
              <w:t> </w:t>
            </w:r>
            <w:r>
              <w:rPr>
                <w:sz w:val="15"/>
              </w:rPr>
              <w:t>century.</w:t>
            </w:r>
          </w:p>
        </w:tc>
      </w:tr>
    </w:tbl>
    <w:p>
      <w:pPr>
        <w:spacing w:before="63"/>
        <w:ind w:left="131" w:right="0" w:firstLine="0"/>
        <w:jc w:val="left"/>
        <w:rPr>
          <w:sz w:val="18"/>
        </w:rPr>
      </w:pPr>
      <w:r>
        <w:rPr>
          <w:sz w:val="18"/>
        </w:rPr>
        <w:t>Table</w:t>
      </w:r>
      <w:r>
        <w:rPr>
          <w:spacing w:val="-1"/>
          <w:sz w:val="18"/>
        </w:rPr>
        <w:t> </w:t>
      </w:r>
      <w:r>
        <w:rPr>
          <w:sz w:val="18"/>
        </w:rPr>
        <w:t>3.</w:t>
      </w:r>
      <w:r>
        <w:rPr>
          <w:spacing w:val="-3"/>
          <w:sz w:val="18"/>
        </w:rPr>
        <w:t> </w:t>
      </w:r>
      <w:r>
        <w:rPr>
          <w:sz w:val="18"/>
        </w:rPr>
        <w:t>Independent</w:t>
      </w:r>
      <w:r>
        <w:rPr>
          <w:spacing w:val="-6"/>
          <w:sz w:val="18"/>
        </w:rPr>
        <w:t> </w:t>
      </w:r>
      <w:r>
        <w:rPr>
          <w:sz w:val="18"/>
        </w:rPr>
        <w:t>published</w:t>
      </w:r>
      <w:r>
        <w:rPr>
          <w:spacing w:val="-1"/>
          <w:sz w:val="18"/>
        </w:rPr>
        <w:t> </w:t>
      </w:r>
      <w:r>
        <w:rPr>
          <w:sz w:val="18"/>
        </w:rPr>
        <w:t>results</w:t>
      </w:r>
      <w:r>
        <w:rPr>
          <w:spacing w:val="-3"/>
          <w:sz w:val="18"/>
        </w:rPr>
        <w:t> </w:t>
      </w:r>
      <w:r>
        <w:rPr>
          <w:sz w:val="18"/>
        </w:rPr>
        <w:t>that</w:t>
      </w:r>
      <w:r>
        <w:rPr>
          <w:spacing w:val="-3"/>
          <w:sz w:val="18"/>
        </w:rPr>
        <w:t> </w:t>
      </w:r>
      <w:r>
        <w:rPr>
          <w:sz w:val="18"/>
        </w:rPr>
        <w:t>provide</w:t>
      </w:r>
      <w:r>
        <w:rPr>
          <w:spacing w:val="-4"/>
          <w:sz w:val="18"/>
        </w:rPr>
        <w:t> </w:t>
      </w:r>
      <w:r>
        <w:rPr>
          <w:sz w:val="18"/>
        </w:rPr>
        <w:t>external</w:t>
      </w:r>
      <w:r>
        <w:rPr>
          <w:spacing w:val="-3"/>
          <w:sz w:val="18"/>
        </w:rPr>
        <w:t> </w:t>
      </w:r>
      <w:r>
        <w:rPr>
          <w:sz w:val="18"/>
        </w:rPr>
        <w:t>context</w:t>
      </w:r>
      <w:r>
        <w:rPr>
          <w:spacing w:val="-3"/>
          <w:sz w:val="18"/>
        </w:rPr>
        <w:t> </w:t>
      </w:r>
      <w:r>
        <w:rPr>
          <w:sz w:val="18"/>
        </w:rPr>
        <w:t>for</w:t>
      </w:r>
      <w:r>
        <w:rPr>
          <w:spacing w:val="-2"/>
          <w:sz w:val="18"/>
        </w:rPr>
        <w:t> </w:t>
      </w:r>
      <w:r>
        <w:rPr>
          <w:sz w:val="18"/>
        </w:rPr>
        <w:t>the</w:t>
      </w:r>
      <w:r>
        <w:rPr>
          <w:spacing w:val="-1"/>
          <w:sz w:val="18"/>
        </w:rPr>
        <w:t> </w:t>
      </w:r>
      <w:r>
        <w:rPr>
          <w:sz w:val="18"/>
        </w:rPr>
        <w:t>coordinate-space</w:t>
      </w:r>
      <w:r>
        <w:rPr>
          <w:spacing w:val="-4"/>
          <w:sz w:val="18"/>
        </w:rPr>
        <w:t> </w:t>
      </w:r>
      <w:r>
        <w:rPr>
          <w:sz w:val="18"/>
        </w:rPr>
        <w:t>sensitivity</w:t>
      </w:r>
      <w:r>
        <w:rPr>
          <w:spacing w:val="-2"/>
          <w:sz w:val="18"/>
        </w:rPr>
        <w:t> </w:t>
      </w:r>
      <w:r>
        <w:rPr>
          <w:sz w:val="18"/>
        </w:rPr>
        <w:t>analysis.</w:t>
      </w:r>
      <w:r>
        <w:rPr>
          <w:spacing w:val="-3"/>
          <w:sz w:val="18"/>
        </w:rPr>
        <w:t> </w:t>
      </w:r>
      <w:r>
        <w:rPr>
          <w:sz w:val="18"/>
        </w:rPr>
        <w:t>Reported</w:t>
      </w:r>
      <w:r>
        <w:rPr>
          <w:spacing w:val="40"/>
          <w:sz w:val="18"/>
        </w:rPr>
        <w:t> </w:t>
      </w:r>
      <w:r>
        <w:rPr>
          <w:sz w:val="18"/>
        </w:rPr>
        <w:t>values are reproduced as model- or panel-dependent estimates, not combined into a meta-analytic ancestry proportion.</w:t>
      </w:r>
    </w:p>
    <w:p>
      <w:pPr>
        <w:spacing w:after="0"/>
        <w:jc w:val="left"/>
        <w:rPr>
          <w:sz w:val="18"/>
        </w:rPr>
        <w:sectPr>
          <w:pgSz w:w="11910" w:h="16840"/>
          <w:pgMar w:header="390" w:footer="444" w:top="940" w:bottom="640" w:left="992" w:right="992"/>
        </w:sectPr>
      </w:pPr>
    </w:p>
    <w:p>
      <w:pPr>
        <w:pStyle w:val="Heading1"/>
        <w:numPr>
          <w:ilvl w:val="0"/>
          <w:numId w:val="1"/>
        </w:numPr>
        <w:tabs>
          <w:tab w:pos="383" w:val="left" w:leader="none"/>
        </w:tabs>
        <w:spacing w:line="240" w:lineRule="auto" w:before="90" w:after="0"/>
        <w:ind w:left="383" w:right="0" w:hanging="252"/>
        <w:jc w:val="both"/>
      </w:pPr>
      <w:r>
        <w:rPr>
          <w:spacing w:val="-2"/>
        </w:rPr>
        <w:t>Discussion</w:t>
      </w:r>
    </w:p>
    <w:p>
      <w:pPr>
        <w:pStyle w:val="Heading2"/>
        <w:numPr>
          <w:ilvl w:val="1"/>
          <w:numId w:val="1"/>
        </w:numPr>
        <w:tabs>
          <w:tab w:pos="482" w:val="left" w:leader="none"/>
        </w:tabs>
        <w:spacing w:line="240" w:lineRule="auto" w:before="228" w:after="0"/>
        <w:ind w:left="482" w:right="0" w:hanging="351"/>
        <w:jc w:val="both"/>
      </w:pPr>
      <w:r>
        <w:rPr/>
        <w:t>Reference</w:t>
      </w:r>
      <w:r>
        <w:rPr>
          <w:spacing w:val="-3"/>
        </w:rPr>
        <w:t> </w:t>
      </w:r>
      <w:r>
        <w:rPr/>
        <w:t>panels</w:t>
      </w:r>
      <w:r>
        <w:rPr>
          <w:spacing w:val="-4"/>
        </w:rPr>
        <w:t> </w:t>
      </w:r>
      <w:r>
        <w:rPr/>
        <w:t>change</w:t>
      </w:r>
      <w:r>
        <w:rPr>
          <w:spacing w:val="-3"/>
        </w:rPr>
        <w:t> </w:t>
      </w:r>
      <w:r>
        <w:rPr/>
        <w:t>the</w:t>
      </w:r>
      <w:r>
        <w:rPr>
          <w:spacing w:val="-3"/>
        </w:rPr>
        <w:t> </w:t>
      </w:r>
      <w:r>
        <w:rPr/>
        <w:t>apparent</w:t>
      </w:r>
      <w:r>
        <w:rPr>
          <w:spacing w:val="-1"/>
        </w:rPr>
        <w:t> </w:t>
      </w:r>
      <w:r>
        <w:rPr>
          <w:spacing w:val="-4"/>
        </w:rPr>
        <w:t>cline</w:t>
      </w:r>
    </w:p>
    <w:p>
      <w:pPr>
        <w:pStyle w:val="BodyText"/>
        <w:spacing w:line="259" w:lineRule="auto" w:before="100"/>
        <w:ind w:right="122"/>
      </w:pPr>
      <w:r>
        <w:rPr/>
        <w:t>The central result is methodological: the apparent Northern Italian-Levantine cline is not stable to the restoration of Italian Jewish and central Mediterranean comparators. In the full panel, the largest fitted direction</w:t>
      </w:r>
      <w:r>
        <w:rPr>
          <w:spacing w:val="-2"/>
        </w:rPr>
        <w:t> </w:t>
      </w:r>
      <w:r>
        <w:rPr/>
        <w:t>is</w:t>
      </w:r>
      <w:r>
        <w:rPr>
          <w:spacing w:val="-2"/>
        </w:rPr>
        <w:t> </w:t>
      </w:r>
      <w:r>
        <w:rPr/>
        <w:t>the</w:t>
      </w:r>
      <w:r>
        <w:rPr>
          <w:spacing w:val="-2"/>
        </w:rPr>
        <w:t> </w:t>
      </w:r>
      <w:r>
        <w:rPr/>
        <w:t>strict</w:t>
      </w:r>
      <w:r>
        <w:rPr>
          <w:spacing w:val="-2"/>
        </w:rPr>
        <w:t> </w:t>
      </w:r>
      <w:r>
        <w:rPr/>
        <w:t>central</w:t>
      </w:r>
      <w:r>
        <w:rPr>
          <w:spacing w:val="-2"/>
        </w:rPr>
        <w:t> </w:t>
      </w:r>
      <w:r>
        <w:rPr/>
        <w:t>Mediterranean</w:t>
      </w:r>
      <w:r>
        <w:rPr>
          <w:spacing w:val="-2"/>
        </w:rPr>
        <w:t> </w:t>
      </w:r>
      <w:r>
        <w:rPr/>
        <w:t>block.</w:t>
      </w:r>
      <w:r>
        <w:rPr>
          <w:spacing w:val="-2"/>
        </w:rPr>
        <w:t> </w:t>
      </w:r>
      <w:r>
        <w:rPr/>
        <w:t>Removing</w:t>
      </w:r>
      <w:r>
        <w:rPr>
          <w:spacing w:val="-1"/>
        </w:rPr>
        <w:t> </w:t>
      </w:r>
      <w:r>
        <w:rPr/>
        <w:t>only</w:t>
      </w:r>
      <w:r>
        <w:rPr>
          <w:spacing w:val="-3"/>
        </w:rPr>
        <w:t> </w:t>
      </w:r>
      <w:r>
        <w:rPr/>
        <w:t>Italki</w:t>
      </w:r>
      <w:r>
        <w:rPr>
          <w:spacing w:val="-3"/>
        </w:rPr>
        <w:t> </w:t>
      </w:r>
      <w:r>
        <w:rPr/>
        <w:t>transfers</w:t>
      </w:r>
      <w:r>
        <w:rPr>
          <w:spacing w:val="-2"/>
        </w:rPr>
        <w:t> </w:t>
      </w:r>
      <w:r>
        <w:rPr/>
        <w:t>most</w:t>
      </w:r>
      <w:r>
        <w:rPr>
          <w:spacing w:val="-4"/>
        </w:rPr>
        <w:t> </w:t>
      </w:r>
      <w:r>
        <w:rPr/>
        <w:t>of</w:t>
      </w:r>
      <w:r>
        <w:rPr>
          <w:spacing w:val="-1"/>
        </w:rPr>
        <w:t> </w:t>
      </w:r>
      <w:r>
        <w:rPr/>
        <w:t>its</w:t>
      </w:r>
      <w:r>
        <w:rPr>
          <w:spacing w:val="-2"/>
        </w:rPr>
        <w:t> </w:t>
      </w:r>
      <w:r>
        <w:rPr/>
        <w:t>fitted</w:t>
      </w:r>
      <w:r>
        <w:rPr>
          <w:spacing w:val="-2"/>
        </w:rPr>
        <w:t> </w:t>
      </w:r>
      <w:r>
        <w:rPr/>
        <w:t>weight</w:t>
      </w:r>
      <w:r>
        <w:rPr>
          <w:spacing w:val="-2"/>
        </w:rPr>
        <w:t> </w:t>
      </w:r>
      <w:r>
        <w:rPr/>
        <w:t>to related Mediterranean sources and modestly worsens distance. Removing the wider central Mediterranean space</w:t>
      </w:r>
      <w:r>
        <w:rPr>
          <w:spacing w:val="-2"/>
        </w:rPr>
        <w:t> </w:t>
      </w:r>
      <w:r>
        <w:rPr/>
        <w:t>produces</w:t>
      </w:r>
      <w:r>
        <w:rPr>
          <w:spacing w:val="-2"/>
        </w:rPr>
        <w:t> </w:t>
      </w:r>
      <w:r>
        <w:rPr/>
        <w:t>a</w:t>
      </w:r>
      <w:r>
        <w:rPr>
          <w:spacing w:val="-2"/>
        </w:rPr>
        <w:t> </w:t>
      </w:r>
      <w:r>
        <w:rPr/>
        <w:t>much</w:t>
      </w:r>
      <w:r>
        <w:rPr>
          <w:spacing w:val="-1"/>
        </w:rPr>
        <w:t> </w:t>
      </w:r>
      <w:r>
        <w:rPr/>
        <w:t>stronger</w:t>
      </w:r>
      <w:r>
        <w:rPr>
          <w:spacing w:val="-3"/>
        </w:rPr>
        <w:t> </w:t>
      </w:r>
      <w:r>
        <w:rPr/>
        <w:t>Lombardy-Levantine</w:t>
      </w:r>
      <w:r>
        <w:rPr>
          <w:spacing w:val="-4"/>
        </w:rPr>
        <w:t> </w:t>
      </w:r>
      <w:r>
        <w:rPr/>
        <w:t>combination</w:t>
      </w:r>
      <w:r>
        <w:rPr>
          <w:spacing w:val="-2"/>
        </w:rPr>
        <w:t> </w:t>
      </w:r>
      <w:r>
        <w:rPr/>
        <w:t>but</w:t>
      </w:r>
      <w:r>
        <w:rPr>
          <w:spacing w:val="-2"/>
        </w:rPr>
        <w:t> </w:t>
      </w:r>
      <w:r>
        <w:rPr/>
        <w:t>also</w:t>
      </w:r>
      <w:r>
        <w:rPr>
          <w:spacing w:val="-1"/>
        </w:rPr>
        <w:t> </w:t>
      </w:r>
      <w:r>
        <w:rPr/>
        <w:t>a</w:t>
      </w:r>
      <w:r>
        <w:rPr>
          <w:spacing w:val="-2"/>
        </w:rPr>
        <w:t> </w:t>
      </w:r>
      <w:r>
        <w:rPr/>
        <w:t>47.18</w:t>
      </w:r>
      <w:r>
        <w:rPr>
          <w:spacing w:val="-1"/>
        </w:rPr>
        <w:t> </w:t>
      </w:r>
      <w:r>
        <w:rPr/>
        <w:t>percent</w:t>
      </w:r>
      <w:r>
        <w:rPr>
          <w:spacing w:val="-4"/>
        </w:rPr>
        <w:t> </w:t>
      </w:r>
      <w:r>
        <w:rPr/>
        <w:t>deterioration</w:t>
      </w:r>
      <w:r>
        <w:rPr>
          <w:spacing w:val="-2"/>
        </w:rPr>
        <w:t> </w:t>
      </w:r>
      <w:r>
        <w:rPr/>
        <w:t>in distance. The reduced model looks more clinal precisely because the source space nearest the target has been removed.</w:t>
      </w:r>
    </w:p>
    <w:p>
      <w:pPr>
        <w:pStyle w:val="BodyText"/>
        <w:spacing w:line="259" w:lineRule="auto"/>
        <w:ind w:right="124"/>
      </w:pPr>
      <w:r>
        <w:rPr/>
        <w:t>This behavior follows the geometry of constrained modeling. A target can be represented only by directions included in the panel. When the relevant central Mediterranean region is absent, a north-shifted Italian proxy and a Levantine proxy can bracket the missing space. The resulting coefficients may be</w:t>
      </w:r>
      <w:r>
        <w:rPr>
          <w:spacing w:val="40"/>
        </w:rPr>
        <w:t> </w:t>
      </w:r>
      <w:r>
        <w:rPr/>
        <w:t>visually persuasive while encoding a poorer approximation. Panel sensitivity should therefore be reported before proxy coefficients or intermediate placement are translated into historical narratives.</w:t>
      </w:r>
    </w:p>
    <w:p>
      <w:pPr>
        <w:pStyle w:val="Heading2"/>
        <w:numPr>
          <w:ilvl w:val="1"/>
          <w:numId w:val="1"/>
        </w:numPr>
        <w:tabs>
          <w:tab w:pos="482" w:val="left" w:leader="none"/>
        </w:tabs>
        <w:spacing w:line="240" w:lineRule="auto" w:before="178" w:after="0"/>
        <w:ind w:left="482" w:right="0" w:hanging="351"/>
        <w:jc w:val="both"/>
      </w:pPr>
      <w:r>
        <w:rPr/>
        <w:t>Proxy</w:t>
      </w:r>
      <w:r>
        <w:rPr>
          <w:spacing w:val="-5"/>
        </w:rPr>
        <w:t> </w:t>
      </w:r>
      <w:r>
        <w:rPr/>
        <w:t>coefficients</w:t>
      </w:r>
      <w:r>
        <w:rPr>
          <w:spacing w:val="-4"/>
        </w:rPr>
        <w:t> </w:t>
      </w:r>
      <w:r>
        <w:rPr/>
        <w:t>are</w:t>
      </w:r>
      <w:r>
        <w:rPr>
          <w:spacing w:val="-3"/>
        </w:rPr>
        <w:t> </w:t>
      </w:r>
      <w:r>
        <w:rPr/>
        <w:t>not</w:t>
      </w:r>
      <w:r>
        <w:rPr>
          <w:spacing w:val="-5"/>
        </w:rPr>
        <w:t> </w:t>
      </w:r>
      <w:r>
        <w:rPr/>
        <w:t>independent</w:t>
      </w:r>
      <w:r>
        <w:rPr>
          <w:spacing w:val="-3"/>
        </w:rPr>
        <w:t> </w:t>
      </w:r>
      <w:r>
        <w:rPr/>
        <w:t>historical</w:t>
      </w:r>
      <w:r>
        <w:rPr>
          <w:spacing w:val="-3"/>
        </w:rPr>
        <w:t> </w:t>
      </w:r>
      <w:r>
        <w:rPr>
          <w:spacing w:val="-2"/>
        </w:rPr>
        <w:t>layers</w:t>
      </w:r>
    </w:p>
    <w:p>
      <w:pPr>
        <w:pStyle w:val="BodyText"/>
        <w:spacing w:line="256" w:lineRule="auto" w:before="103"/>
        <w:ind w:right="124"/>
      </w:pPr>
      <w:r>
        <w:rPr/>
        <w:t>The German vector diagnostic illustrates why a nonzero Levantine-continuity coefficient need not equal a</w:t>
      </w:r>
      <w:r>
        <w:rPr>
          <w:spacing w:val="-2"/>
        </w:rPr>
        <w:t> </w:t>
      </w:r>
      <w:r>
        <w:rPr/>
        <w:t>discrete</w:t>
      </w:r>
      <w:r>
        <w:rPr>
          <w:spacing w:val="-2"/>
        </w:rPr>
        <w:t> </w:t>
      </w:r>
      <w:r>
        <w:rPr/>
        <w:t>Levantine</w:t>
      </w:r>
      <w:r>
        <w:rPr>
          <w:spacing w:val="-2"/>
        </w:rPr>
        <w:t> </w:t>
      </w:r>
      <w:r>
        <w:rPr/>
        <w:t>ancestry</w:t>
      </w:r>
      <w:r>
        <w:rPr>
          <w:spacing w:val="-3"/>
        </w:rPr>
        <w:t> </w:t>
      </w:r>
      <w:r>
        <w:rPr/>
        <w:t>layer</w:t>
      </w:r>
      <w:r>
        <w:rPr>
          <w:spacing w:val="-3"/>
        </w:rPr>
        <w:t> </w:t>
      </w:r>
      <w:r>
        <w:rPr/>
        <w:t>of</w:t>
      </w:r>
      <w:r>
        <w:rPr>
          <w:spacing w:val="-1"/>
        </w:rPr>
        <w:t> </w:t>
      </w:r>
      <w:r>
        <w:rPr/>
        <w:t>the</w:t>
      </w:r>
      <w:r>
        <w:rPr>
          <w:spacing w:val="-2"/>
        </w:rPr>
        <w:t> </w:t>
      </w:r>
      <w:r>
        <w:rPr/>
        <w:t>same</w:t>
      </w:r>
      <w:r>
        <w:rPr>
          <w:spacing w:val="-2"/>
        </w:rPr>
        <w:t> </w:t>
      </w:r>
      <w:r>
        <w:rPr/>
        <w:t>percentage.</w:t>
      </w:r>
      <w:r>
        <w:rPr>
          <w:spacing w:val="-2"/>
        </w:rPr>
        <w:t> </w:t>
      </w:r>
      <w:r>
        <w:rPr/>
        <w:t>The</w:t>
      </w:r>
      <w:r>
        <w:rPr>
          <w:spacing w:val="-2"/>
        </w:rPr>
        <w:t> </w:t>
      </w:r>
      <w:r>
        <w:rPr/>
        <w:t>Levantine-continuity</w:t>
      </w:r>
      <w:r>
        <w:rPr>
          <w:spacing w:val="-3"/>
        </w:rPr>
        <w:t> </w:t>
      </w:r>
      <w:r>
        <w:rPr/>
        <w:t>and</w:t>
      </w:r>
      <w:r>
        <w:rPr>
          <w:spacing w:val="-2"/>
        </w:rPr>
        <w:t> </w:t>
      </w:r>
      <w:r>
        <w:rPr/>
        <w:t>Northern/Eastern European blocks point in strongly opposing directions and have nearly equal coefficient-weighted magnitudes around a reconstruction centered in central Mediterranean coordinate space. Their joint effect is much smaller than either displacement considered separately.</w:t>
      </w:r>
    </w:p>
    <w:p>
      <w:pPr>
        <w:pStyle w:val="BodyText"/>
        <w:spacing w:line="259" w:lineRule="auto" w:before="110"/>
        <w:ind w:right="125"/>
      </w:pPr>
      <w:r>
        <w:rPr/>
        <w:t>This does not establish the</w:t>
      </w:r>
      <w:r>
        <w:rPr>
          <w:spacing w:val="-3"/>
        </w:rPr>
        <w:t> </w:t>
      </w:r>
      <w:r>
        <w:rPr/>
        <w:t>absence</w:t>
      </w:r>
      <w:r>
        <w:rPr>
          <w:spacing w:val="-1"/>
        </w:rPr>
        <w:t> </w:t>
      </w:r>
      <w:r>
        <w:rPr/>
        <w:t>of Levant-related</w:t>
      </w:r>
      <w:r>
        <w:rPr>
          <w:spacing w:val="-3"/>
        </w:rPr>
        <w:t> </w:t>
      </w:r>
      <w:r>
        <w:rPr/>
        <w:t>ancestry.</w:t>
      </w:r>
      <w:r>
        <w:rPr>
          <w:spacing w:val="-1"/>
        </w:rPr>
        <w:t> </w:t>
      </w:r>
      <w:r>
        <w:rPr/>
        <w:t>It constrains the</w:t>
      </w:r>
      <w:r>
        <w:rPr>
          <w:spacing w:val="-3"/>
        </w:rPr>
        <w:t> </w:t>
      </w:r>
      <w:r>
        <w:rPr/>
        <w:t>historical</w:t>
      </w:r>
      <w:r>
        <w:rPr>
          <w:spacing w:val="-1"/>
        </w:rPr>
        <w:t> </w:t>
      </w:r>
      <w:r>
        <w:rPr/>
        <w:t>interpretation of the displayed coefficient. A proxy weight may combine genuine shared ancestry, source substitution, correction for drift, and compensation for the positions of other panel members. The most defensible statements concern comparative fit, redistribution under controlled omissions, and the target's location relative to the declared sources.</w:t>
      </w:r>
    </w:p>
    <w:p>
      <w:pPr>
        <w:pStyle w:val="Heading2"/>
        <w:numPr>
          <w:ilvl w:val="1"/>
          <w:numId w:val="1"/>
        </w:numPr>
        <w:tabs>
          <w:tab w:pos="482" w:val="left" w:leader="none"/>
        </w:tabs>
        <w:spacing w:line="240" w:lineRule="auto" w:before="178" w:after="0"/>
        <w:ind w:left="482" w:right="0" w:hanging="351"/>
        <w:jc w:val="both"/>
      </w:pPr>
      <w:r>
        <w:rPr/>
        <w:t>Italian</w:t>
      </w:r>
      <w:r>
        <w:rPr>
          <w:spacing w:val="-3"/>
        </w:rPr>
        <w:t> </w:t>
      </w:r>
      <w:r>
        <w:rPr/>
        <w:t>Jews</w:t>
      </w:r>
      <w:r>
        <w:rPr>
          <w:spacing w:val="-3"/>
        </w:rPr>
        <w:t> </w:t>
      </w:r>
      <w:r>
        <w:rPr/>
        <w:t>as</w:t>
      </w:r>
      <w:r>
        <w:rPr>
          <w:spacing w:val="-4"/>
        </w:rPr>
        <w:t> </w:t>
      </w:r>
      <w:r>
        <w:rPr/>
        <w:t>a</w:t>
      </w:r>
      <w:r>
        <w:rPr>
          <w:spacing w:val="-2"/>
        </w:rPr>
        <w:t> </w:t>
      </w:r>
      <w:r>
        <w:rPr/>
        <w:t>reciprocal</w:t>
      </w:r>
      <w:r>
        <w:rPr>
          <w:spacing w:val="-3"/>
        </w:rPr>
        <w:t> </w:t>
      </w:r>
      <w:r>
        <w:rPr>
          <w:spacing w:val="-2"/>
        </w:rPr>
        <w:t>comparator</w:t>
      </w:r>
    </w:p>
    <w:p>
      <w:pPr>
        <w:pStyle w:val="BodyText"/>
        <w:spacing w:line="259" w:lineRule="auto" w:before="103"/>
        <w:ind w:right="125"/>
      </w:pPr>
      <w:r>
        <w:rPr/>
        <w:t>Italian Jews provide a test of the narrow claim that the Italian-associated Ashkenazi component is primarily Northern Italian or is generated by later Northern/Eastern European host admixture. In</w:t>
      </w:r>
      <w:r>
        <w:rPr>
          <w:spacing w:val="40"/>
        </w:rPr>
        <w:t> </w:t>
      </w:r>
      <w:r>
        <w:rPr/>
        <w:t>reciprocal models, the Italki target retains a large central Mediterranean direction even when Ashkenazi sources are excluded and German, Polish, and Russian sources are permitted to compete. The shared placement therefore cannot be attributed solely to later Ashkenazi residence in the Rhineland or Eastern </w:t>
      </w:r>
      <w:r>
        <w:rPr>
          <w:spacing w:val="-2"/>
        </w:rPr>
        <w:t>Europe.</w:t>
      </w:r>
    </w:p>
    <w:p>
      <w:pPr>
        <w:pStyle w:val="BodyText"/>
        <w:spacing w:line="259" w:lineRule="auto" w:before="96"/>
        <w:ind w:right="123"/>
      </w:pPr>
      <w:r>
        <w:rPr/>
        <w:t>The reciprocal result is not proof of one exclusive origin scenario and does not identify a single</w:t>
      </w:r>
      <w:r>
        <w:rPr>
          <w:spacing w:val="80"/>
        </w:rPr>
        <w:t> </w:t>
      </w:r>
      <w:r>
        <w:rPr/>
        <w:t>historical community. It is more limited and more useful: models that assign the Italian-associated component mainly to Northern Italy must explain why Italian Jewish and Ashkenazi targets repeatedly</w:t>
      </w:r>
      <w:r>
        <w:rPr>
          <w:spacing w:val="40"/>
        </w:rPr>
        <w:t> </w:t>
      </w:r>
      <w:r>
        <w:rPr/>
        <w:t>share the same central Mediterranean direction, why Northern/Eastern European sources are unnecessary in the reciprocal target, and why broader comparator omission inflates both Lombardy and Levantine coefficients while worsening fit.</w:t>
      </w:r>
    </w:p>
    <w:p>
      <w:pPr>
        <w:pStyle w:val="Heading2"/>
        <w:numPr>
          <w:ilvl w:val="1"/>
          <w:numId w:val="1"/>
        </w:numPr>
        <w:tabs>
          <w:tab w:pos="482" w:val="left" w:leader="none"/>
        </w:tabs>
        <w:spacing w:line="240" w:lineRule="auto" w:before="179" w:after="0"/>
        <w:ind w:left="482" w:right="0" w:hanging="351"/>
        <w:jc w:val="both"/>
      </w:pPr>
      <w:r>
        <w:rPr/>
        <w:t>Historical</w:t>
      </w:r>
      <w:r>
        <w:rPr>
          <w:spacing w:val="-7"/>
        </w:rPr>
        <w:t> </w:t>
      </w:r>
      <w:r>
        <w:rPr/>
        <w:t>context</w:t>
      </w:r>
      <w:r>
        <w:rPr>
          <w:spacing w:val="-4"/>
        </w:rPr>
        <w:t> </w:t>
      </w:r>
      <w:r>
        <w:rPr/>
        <w:t>and</w:t>
      </w:r>
      <w:r>
        <w:rPr>
          <w:spacing w:val="-4"/>
        </w:rPr>
        <w:t> </w:t>
      </w:r>
      <w:r>
        <w:rPr/>
        <w:t>the</w:t>
      </w:r>
      <w:r>
        <w:rPr>
          <w:spacing w:val="-4"/>
        </w:rPr>
        <w:t> </w:t>
      </w:r>
      <w:r>
        <w:rPr/>
        <w:t>Southern</w:t>
      </w:r>
      <w:r>
        <w:rPr>
          <w:spacing w:val="-4"/>
        </w:rPr>
        <w:t> </w:t>
      </w:r>
      <w:r>
        <w:rPr/>
        <w:t>Italian</w:t>
      </w:r>
      <w:r>
        <w:rPr>
          <w:spacing w:val="-4"/>
        </w:rPr>
        <w:t> </w:t>
      </w:r>
      <w:r>
        <w:rPr/>
        <w:t>formation</w:t>
      </w:r>
      <w:r>
        <w:rPr>
          <w:spacing w:val="-4"/>
        </w:rPr>
        <w:t> </w:t>
      </w:r>
      <w:r>
        <w:rPr>
          <w:spacing w:val="-2"/>
        </w:rPr>
        <w:t>hypothesis</w:t>
      </w:r>
    </w:p>
    <w:p>
      <w:pPr>
        <w:pStyle w:val="BodyText"/>
        <w:spacing w:line="259" w:lineRule="auto" w:before="102"/>
        <w:ind w:right="124"/>
      </w:pPr>
      <w:r>
        <w:rPr/>
        <w:t>Jewish communities are documented in Southern Italy and Sicily from antiquity through the medieval period, including communities in Apulia, Calabria, Campania, Lucania, Syracuse, Palermo, Catania,</w:t>
      </w:r>
      <w:r>
        <w:rPr>
          <w:spacing w:val="40"/>
        </w:rPr>
        <w:t> </w:t>
      </w:r>
      <w:r>
        <w:rPr/>
        <w:t>Agrigento, and other centers (Roth, 1946; Rutgers, 1995). These communities participated in Greek- and Latin-speaking Mediterranean</w:t>
      </w:r>
      <w:r>
        <w:rPr>
          <w:spacing w:val="-1"/>
        </w:rPr>
        <w:t> </w:t>
      </w:r>
      <w:r>
        <w:rPr/>
        <w:t>networks connected with the</w:t>
      </w:r>
      <w:r>
        <w:rPr>
          <w:spacing w:val="-3"/>
        </w:rPr>
        <w:t> </w:t>
      </w:r>
      <w:r>
        <w:rPr/>
        <w:t>Aegean</w:t>
      </w:r>
      <w:r>
        <w:rPr>
          <w:spacing w:val="-3"/>
        </w:rPr>
        <w:t> </w:t>
      </w:r>
      <w:r>
        <w:rPr/>
        <w:t>and</w:t>
      </w:r>
      <w:r>
        <w:rPr>
          <w:spacing w:val="-3"/>
        </w:rPr>
        <w:t> </w:t>
      </w:r>
      <w:r>
        <w:rPr/>
        <w:t>Asia</w:t>
      </w:r>
      <w:r>
        <w:rPr>
          <w:spacing w:val="-3"/>
        </w:rPr>
        <w:t> </w:t>
      </w:r>
      <w:r>
        <w:rPr/>
        <w:t>Minor</w:t>
      </w:r>
      <w:r>
        <w:rPr>
          <w:spacing w:val="-2"/>
        </w:rPr>
        <w:t> </w:t>
      </w:r>
      <w:r>
        <w:rPr/>
        <w:t>(Feldman,</w:t>
      </w:r>
      <w:r>
        <w:rPr>
          <w:spacing w:val="-1"/>
        </w:rPr>
        <w:t> </w:t>
      </w:r>
      <w:r>
        <w:rPr/>
        <w:t>1993;</w:t>
      </w:r>
      <w:r>
        <w:rPr>
          <w:spacing w:val="-1"/>
        </w:rPr>
        <w:t> </w:t>
      </w:r>
      <w:r>
        <w:rPr/>
        <w:t>Gruen, 2002). Historical scholarship also identifies Italy as a major staging area in the development of Jewish communities that later appear in northern France and the Rhineland (Chazan, 1987; Grossman, 1995). The historical hypothesis evaluated here is therefore more specific than unspecified Italian admixture: a substantial</w:t>
      </w:r>
      <w:r>
        <w:rPr>
          <w:spacing w:val="-1"/>
        </w:rPr>
        <w:t> </w:t>
      </w:r>
      <w:r>
        <w:rPr/>
        <w:t>Ashkenazi</w:t>
      </w:r>
      <w:r>
        <w:rPr>
          <w:spacing w:val="-2"/>
        </w:rPr>
        <w:t> </w:t>
      </w:r>
      <w:r>
        <w:rPr/>
        <w:t>core</w:t>
      </w:r>
      <w:r>
        <w:rPr>
          <w:spacing w:val="-1"/>
        </w:rPr>
        <w:t> </w:t>
      </w:r>
      <w:r>
        <w:rPr/>
        <w:t>may</w:t>
      </w:r>
      <w:r>
        <w:rPr>
          <w:spacing w:val="-2"/>
        </w:rPr>
        <w:t> </w:t>
      </w:r>
      <w:r>
        <w:rPr/>
        <w:t>have</w:t>
      </w:r>
      <w:r>
        <w:rPr>
          <w:spacing w:val="-1"/>
        </w:rPr>
        <w:t> </w:t>
      </w:r>
      <w:r>
        <w:rPr/>
        <w:t>formed among long-established Italian</w:t>
      </w:r>
      <w:r>
        <w:rPr>
          <w:spacing w:val="-1"/>
        </w:rPr>
        <w:t> </w:t>
      </w:r>
      <w:r>
        <w:rPr/>
        <w:t>Jewish communities within</w:t>
      </w:r>
      <w:r>
        <w:rPr>
          <w:spacing w:val="-1"/>
        </w:rPr>
        <w:t> </w:t>
      </w:r>
      <w:r>
        <w:rPr/>
        <w:t>the Southern Italian and central Mediterranean population environment before migration north of the Alps. History establishes plausibility and route; it does not assign a numerical genetic percentage.</w:t>
      </w:r>
    </w:p>
    <w:p>
      <w:pPr>
        <w:pStyle w:val="BodyText"/>
        <w:spacing w:after="0" w:line="259" w:lineRule="auto"/>
        <w:sectPr>
          <w:pgSz w:w="11910" w:h="16840"/>
          <w:pgMar w:header="390" w:footer="444" w:top="940" w:bottom="640" w:left="992" w:right="992"/>
        </w:sectPr>
      </w:pPr>
    </w:p>
    <w:p>
      <w:pPr>
        <w:pStyle w:val="BodyText"/>
        <w:spacing w:line="259" w:lineRule="auto" w:before="92"/>
        <w:ind w:right="123"/>
      </w:pPr>
      <w:r>
        <w:rPr/>
        <w:t>The reciprocal Italki</w:t>
      </w:r>
      <w:r>
        <w:rPr>
          <w:spacing w:val="-1"/>
        </w:rPr>
        <w:t> </w:t>
      </w:r>
      <w:r>
        <w:rPr/>
        <w:t>experiments connect this historical hypothesis to the genetic</w:t>
      </w:r>
      <w:r>
        <w:rPr>
          <w:spacing w:val="-2"/>
        </w:rPr>
        <w:t> </w:t>
      </w:r>
      <w:r>
        <w:rPr/>
        <w:t>sensitivity</w:t>
      </w:r>
      <w:r>
        <w:rPr>
          <w:spacing w:val="-1"/>
        </w:rPr>
        <w:t> </w:t>
      </w:r>
      <w:r>
        <w:rPr/>
        <w:t>test. Italian Jewish targets retain a large central Mediterranean direction even when Ashkenazi sources are excluded and German, Polish, and Russian sources are allowed to compete. This does not prove descent from one named modern population, but it is not well explained by a model in which Ashkenazi Italian affinity was created mainly by later Northern or Eastern European host admixture. The Y-chromosomal literature provides an additional, secondary consistency check and is therefore restored to the main manuscript </w:t>
      </w:r>
      <w:r>
        <w:rPr>
          <w:spacing w:val="-2"/>
        </w:rPr>
        <w:t>below.</w:t>
      </w:r>
    </w:p>
    <w:p>
      <w:pPr>
        <w:pStyle w:val="Heading2"/>
        <w:numPr>
          <w:ilvl w:val="1"/>
          <w:numId w:val="1"/>
        </w:numPr>
        <w:tabs>
          <w:tab w:pos="482" w:val="left" w:leader="none"/>
        </w:tabs>
        <w:spacing w:line="240" w:lineRule="auto" w:before="179" w:after="0"/>
        <w:ind w:left="482" w:right="0" w:hanging="351"/>
        <w:jc w:val="both"/>
      </w:pPr>
      <w:r>
        <w:rPr/>
        <w:t>Foundational</w:t>
      </w:r>
      <w:r>
        <w:rPr>
          <w:spacing w:val="-8"/>
        </w:rPr>
        <w:t> </w:t>
      </w:r>
      <w:r>
        <w:rPr/>
        <w:t>Y-chromosomal</w:t>
      </w:r>
      <w:r>
        <w:rPr>
          <w:spacing w:val="-5"/>
        </w:rPr>
        <w:t> </w:t>
      </w:r>
      <w:r>
        <w:rPr/>
        <w:t>evidence</w:t>
      </w:r>
      <w:r>
        <w:rPr>
          <w:spacing w:val="-4"/>
        </w:rPr>
        <w:t> </w:t>
      </w:r>
      <w:r>
        <w:rPr/>
        <w:t>in</w:t>
      </w:r>
      <w:r>
        <w:rPr>
          <w:spacing w:val="-6"/>
        </w:rPr>
        <w:t> </w:t>
      </w:r>
      <w:r>
        <w:rPr/>
        <w:t>Southern</w:t>
      </w:r>
      <w:r>
        <w:rPr>
          <w:spacing w:val="-4"/>
        </w:rPr>
        <w:t> </w:t>
      </w:r>
      <w:r>
        <w:rPr/>
        <w:t>Italian</w:t>
      </w:r>
      <w:r>
        <w:rPr>
          <w:spacing w:val="-4"/>
        </w:rPr>
        <w:t> </w:t>
      </w:r>
      <w:r>
        <w:rPr>
          <w:spacing w:val="-2"/>
        </w:rPr>
        <w:t>context</w:t>
      </w:r>
    </w:p>
    <w:p>
      <w:pPr>
        <w:pStyle w:val="BodyText"/>
        <w:spacing w:line="259" w:lineRule="auto" w:before="100"/>
        <w:ind w:right="125"/>
      </w:pPr>
      <w:r>
        <w:rPr/>
        <w:t>The early Y-chromosomal literature was frequently interpreted as evidence for predominantly</w:t>
      </w:r>
      <w:r>
        <w:rPr>
          <w:spacing w:val="40"/>
        </w:rPr>
        <w:t> </w:t>
      </w:r>
      <w:r>
        <w:rPr/>
        <w:t>Levantine Ashkenazi paternal ancestry because haplogroups J1, J2, and E were labeled Near Eastern. That geographic assignment requires caution. Broad haplogroups span multiple Mediterranean regions, their frequencies can be strongly altered by founder effects and endogamy, and low phylogenetic resolution can make widely distributed lineages appear more geographically diagnostic than the data support.</w:t>
      </w:r>
    </w:p>
    <w:p>
      <w:pPr>
        <w:pStyle w:val="BodyText"/>
        <w:spacing w:line="259" w:lineRule="auto"/>
        <w:ind w:right="126"/>
      </w:pPr>
      <w:r>
        <w:rPr/>
        <w:t>Hammer et al. (2000), Nebel et al. (2001), Behar et al. (2004), Shen et al. (2004), and Hammer et al. (2009) are not incidental citations; they are foundational studies repeatedly used to characterize Jewish paternal origins. Yet the relevant Ashkenazi analyses generally lacked Southern Italian regional comparators. Behar et al. (2004) and Nebel et al. (2001) reported broad haplogroup frequencies without Southern European populations capable of testing a central Mediterranean alternative. Shen et al. (2004) used a very small Ashkenazi sample. Hammer et al. (2009) pooled Ashkenazi and non-Ashkenazi Jewish samples for several summaries and did not provide a complete Ashkenazi-specific frequency table. Those limitations matter because they constrain geographic interpretation, not merely statistical precision.</w:t>
      </w:r>
    </w:p>
    <w:p>
      <w:pPr>
        <w:pStyle w:val="BodyText"/>
        <w:spacing w:line="259" w:lineRule="auto"/>
        <w:ind w:left="130" w:right="124" w:firstLine="317"/>
      </w:pPr>
      <w:r>
        <w:rPr/>
        <w:t>Semino et al. (2004) is uniquely informative in this early literature because it places Ashkenazi Jews beside multiple Southern Italian regional samples at greater subclade resolution. Ashkenazi E-M123 is 11.7 percent, closely matching Apulia at 11.6 percent and the Cosenza Albanian community at 13.2 percent. Ashkenazi J2-M172 is 23.2 percent, compared with 29.1 percent in Apulia, 22.8 percent in Calabria 1, 20.0 percent in the Cosenza sample, and 16.7 percent in Sicily. Southern Italy itself is heterogeneous: Calabria 1 has</w:t>
      </w:r>
      <w:r>
        <w:rPr>
          <w:spacing w:val="-2"/>
        </w:rPr>
        <w:t> </w:t>
      </w:r>
      <w:r>
        <w:rPr/>
        <w:t>high</w:t>
      </w:r>
      <w:r>
        <w:rPr>
          <w:spacing w:val="-1"/>
        </w:rPr>
        <w:t> </w:t>
      </w:r>
      <w:r>
        <w:rPr/>
        <w:t>E-M78 and</w:t>
      </w:r>
      <w:r>
        <w:rPr>
          <w:spacing w:val="-2"/>
        </w:rPr>
        <w:t> </w:t>
      </w:r>
      <w:r>
        <w:rPr/>
        <w:t>low</w:t>
      </w:r>
      <w:r>
        <w:rPr>
          <w:spacing w:val="-2"/>
        </w:rPr>
        <w:t> </w:t>
      </w:r>
      <w:r>
        <w:rPr/>
        <w:t>E-M123,</w:t>
      </w:r>
      <w:r>
        <w:rPr>
          <w:spacing w:val="-2"/>
        </w:rPr>
        <w:t> </w:t>
      </w:r>
      <w:r>
        <w:rPr/>
        <w:t>whereas</w:t>
      </w:r>
      <w:r>
        <w:rPr>
          <w:spacing w:val="-2"/>
        </w:rPr>
        <w:t> </w:t>
      </w:r>
      <w:r>
        <w:rPr/>
        <w:t>Apulia and</w:t>
      </w:r>
      <w:r>
        <w:rPr>
          <w:spacing w:val="-2"/>
        </w:rPr>
        <w:t> </w:t>
      </w:r>
      <w:r>
        <w:rPr/>
        <w:t>the</w:t>
      </w:r>
      <w:r>
        <w:rPr>
          <w:spacing w:val="-2"/>
        </w:rPr>
        <w:t> </w:t>
      </w:r>
      <w:r>
        <w:rPr/>
        <w:t>Cosenza sample show the inverse pattern.</w:t>
      </w:r>
      <w:r>
        <w:rPr>
          <w:spacing w:val="-2"/>
        </w:rPr>
        <w:t> </w:t>
      </w:r>
      <w:r>
        <w:rPr/>
        <w:t>Neither subclade is therefore geographically diagnostic of the Levant.</w:t>
      </w:r>
    </w:p>
    <w:p>
      <w:pPr>
        <w:pStyle w:val="BodyText"/>
        <w:spacing w:line="259" w:lineRule="auto" w:before="97"/>
        <w:ind w:right="124"/>
      </w:pPr>
      <w:r>
        <w:rPr/>
        <w:t>The relative ordering of the J lineages is also important. In the Semino et al. comparison, J2 exceeds J1 in Ashkenazi Jews and in every listed Southern Italian sample. Several sampled Levantine populations in the early literature instead show a J1-dominant paternal structure. This contrast does not identify a unique ancestral population and does not eliminate eastern Mediterranean ancestry. It does show that the Ashkenazi frequency profile is not well described as a simple copy of a J1-dominant Levantine paternal</w:t>
      </w:r>
      <w:r>
        <w:rPr>
          <w:spacing w:val="80"/>
        </w:rPr>
        <w:t> </w:t>
      </w:r>
      <w:r>
        <w:rPr>
          <w:spacing w:val="-4"/>
        </w:rPr>
        <w:t>pool.</w:t>
      </w:r>
    </w:p>
    <w:p>
      <w:pPr>
        <w:pStyle w:val="BodyText"/>
        <w:spacing w:line="259" w:lineRule="auto"/>
        <w:ind w:right="124"/>
      </w:pPr>
      <w:r>
        <w:rPr/>
        <w:t>The correct inference is limited but consequential.</w:t>
      </w:r>
      <w:r>
        <w:rPr>
          <w:spacing w:val="-1"/>
        </w:rPr>
        <w:t> </w:t>
      </w:r>
      <w:r>
        <w:rPr/>
        <w:t>When Southern</w:t>
      </w:r>
      <w:r>
        <w:rPr>
          <w:spacing w:val="-1"/>
        </w:rPr>
        <w:t> </w:t>
      </w:r>
      <w:r>
        <w:rPr/>
        <w:t>Italian comparators are included,</w:t>
      </w:r>
      <w:r>
        <w:rPr>
          <w:spacing w:val="-1"/>
        </w:rPr>
        <w:t> </w:t>
      </w:r>
      <w:r>
        <w:rPr/>
        <w:t>the apparent Levantine specificity of the Ashkenazi Y-chromosomal signal is substantially reduced. The observed E-M123 and J2 frequencies are compatible with a broader Southern Italian, Aegean, and central Mediterranean distribution shaped by founder effects and long-term endogamy. Because Y-DNA represents only one paternal lineage, it remains subordinate to the genome-wide autosomal sensitivity analysis; it functions here as a consistency check on geographic claims, not as a population-wide ancestry estimate.</w:t>
      </w:r>
    </w:p>
    <w:p>
      <w:pPr>
        <w:pStyle w:val="BodyText"/>
        <w:spacing w:before="4"/>
        <w:ind w:left="0" w:firstLine="0"/>
        <w:jc w:val="left"/>
        <w:rPr>
          <w:sz w:val="8"/>
        </w:rPr>
      </w:pPr>
    </w:p>
    <w:tbl>
      <w:tblPr>
        <w:tblW w:w="0" w:type="auto"/>
        <w:jc w:val="left"/>
        <w:tblInd w:w="395"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1656"/>
        <w:gridCol w:w="1512"/>
        <w:gridCol w:w="2952"/>
        <w:gridCol w:w="3024"/>
      </w:tblGrid>
      <w:tr>
        <w:trPr>
          <w:trHeight w:val="412" w:hRule="atLeast"/>
          <w:tblHeader w:val="true"/>
        </w:trPr>
        <w:tc>
          <w:tcPr>
            <w:tcW w:w="1656" w:type="dxa"/>
            <w:shd w:val="clear" w:color="auto" w:fill="DDE6EF"/>
          </w:tcPr>
          <w:p>
            <w:pPr>
              <w:pStyle w:val="TableParagraph"/>
              <w:spacing w:before="119"/>
              <w:rPr>
                <w:sz w:val="15"/>
              </w:rPr>
            </w:pPr>
            <w:r>
              <w:rPr>
                <w:spacing w:val="-2"/>
                <w:sz w:val="15"/>
              </w:rPr>
              <w:t>Study</w:t>
            </w:r>
          </w:p>
        </w:tc>
        <w:tc>
          <w:tcPr>
            <w:tcW w:w="1512" w:type="dxa"/>
            <w:shd w:val="clear" w:color="auto" w:fill="DDE6EF"/>
          </w:tcPr>
          <w:p>
            <w:pPr>
              <w:pStyle w:val="TableParagraph"/>
              <w:ind w:right="93"/>
              <w:rPr>
                <w:sz w:val="15"/>
              </w:rPr>
            </w:pPr>
            <w:r>
              <w:rPr>
                <w:sz w:val="15"/>
              </w:rPr>
              <w:t>Reported</w:t>
            </w:r>
            <w:r>
              <w:rPr>
                <w:spacing w:val="-9"/>
                <w:sz w:val="15"/>
              </w:rPr>
              <w:t> </w:t>
            </w:r>
            <w:r>
              <w:rPr>
                <w:sz w:val="15"/>
              </w:rPr>
              <w:t>Ashkenazi</w:t>
            </w:r>
            <w:r>
              <w:rPr>
                <w:spacing w:val="40"/>
                <w:sz w:val="15"/>
              </w:rPr>
              <w:t> </w:t>
            </w:r>
            <w:r>
              <w:rPr>
                <w:spacing w:val="-2"/>
                <w:sz w:val="15"/>
              </w:rPr>
              <w:t>sample</w:t>
            </w:r>
          </w:p>
        </w:tc>
        <w:tc>
          <w:tcPr>
            <w:tcW w:w="2952" w:type="dxa"/>
            <w:shd w:val="clear" w:color="auto" w:fill="DDE6EF"/>
          </w:tcPr>
          <w:p>
            <w:pPr>
              <w:pStyle w:val="TableParagraph"/>
              <w:spacing w:before="119"/>
              <w:rPr>
                <w:sz w:val="15"/>
              </w:rPr>
            </w:pPr>
            <w:r>
              <w:rPr>
                <w:spacing w:val="-2"/>
                <w:sz w:val="15"/>
              </w:rPr>
              <w:t>Southern</w:t>
            </w:r>
            <w:r>
              <w:rPr>
                <w:spacing w:val="6"/>
                <w:sz w:val="15"/>
              </w:rPr>
              <w:t> </w:t>
            </w:r>
            <w:r>
              <w:rPr>
                <w:spacing w:val="-2"/>
                <w:sz w:val="15"/>
              </w:rPr>
              <w:t>Italian</w:t>
            </w:r>
            <w:r>
              <w:rPr>
                <w:spacing w:val="6"/>
                <w:sz w:val="15"/>
              </w:rPr>
              <w:t> </w:t>
            </w:r>
            <w:r>
              <w:rPr>
                <w:spacing w:val="-2"/>
                <w:sz w:val="15"/>
              </w:rPr>
              <w:t>comparator</w:t>
            </w:r>
            <w:r>
              <w:rPr>
                <w:spacing w:val="11"/>
                <w:sz w:val="15"/>
              </w:rPr>
              <w:t> </w:t>
            </w:r>
            <w:r>
              <w:rPr>
                <w:spacing w:val="-2"/>
                <w:sz w:val="15"/>
              </w:rPr>
              <w:t>coverage</w:t>
            </w:r>
          </w:p>
        </w:tc>
        <w:tc>
          <w:tcPr>
            <w:tcW w:w="3024" w:type="dxa"/>
            <w:shd w:val="clear" w:color="auto" w:fill="DDE6EF"/>
          </w:tcPr>
          <w:p>
            <w:pPr>
              <w:pStyle w:val="TableParagraph"/>
              <w:spacing w:before="119"/>
              <w:rPr>
                <w:sz w:val="15"/>
              </w:rPr>
            </w:pPr>
            <w:r>
              <w:rPr>
                <w:sz w:val="15"/>
              </w:rPr>
              <w:t>Main</w:t>
            </w:r>
            <w:r>
              <w:rPr>
                <w:spacing w:val="-9"/>
                <w:sz w:val="15"/>
              </w:rPr>
              <w:t> </w:t>
            </w:r>
            <w:r>
              <w:rPr>
                <w:sz w:val="15"/>
              </w:rPr>
              <w:t>interpretive</w:t>
            </w:r>
            <w:r>
              <w:rPr>
                <w:spacing w:val="-5"/>
                <w:sz w:val="15"/>
              </w:rPr>
              <w:t> </w:t>
            </w:r>
            <w:r>
              <w:rPr>
                <w:spacing w:val="-2"/>
                <w:sz w:val="15"/>
              </w:rPr>
              <w:t>limitation</w:t>
            </w:r>
          </w:p>
        </w:tc>
      </w:tr>
      <w:tr>
        <w:trPr>
          <w:trHeight w:val="587" w:hRule="atLeast"/>
        </w:trPr>
        <w:tc>
          <w:tcPr>
            <w:tcW w:w="1656" w:type="dxa"/>
          </w:tcPr>
          <w:p>
            <w:pPr>
              <w:pStyle w:val="TableParagraph"/>
              <w:spacing w:before="29"/>
              <w:ind w:left="0"/>
              <w:rPr>
                <w:sz w:val="15"/>
              </w:rPr>
            </w:pPr>
          </w:p>
          <w:p>
            <w:pPr>
              <w:pStyle w:val="TableParagraph"/>
              <w:spacing w:before="0"/>
              <w:rPr>
                <w:sz w:val="15"/>
              </w:rPr>
            </w:pPr>
            <w:r>
              <w:rPr>
                <w:sz w:val="15"/>
              </w:rPr>
              <w:t>Hammer</w:t>
            </w:r>
            <w:r>
              <w:rPr>
                <w:spacing w:val="-5"/>
                <w:sz w:val="15"/>
              </w:rPr>
              <w:t> </w:t>
            </w:r>
            <w:r>
              <w:rPr>
                <w:sz w:val="15"/>
              </w:rPr>
              <w:t>et</w:t>
            </w:r>
            <w:r>
              <w:rPr>
                <w:spacing w:val="-4"/>
                <w:sz w:val="15"/>
              </w:rPr>
              <w:t> </w:t>
            </w:r>
            <w:r>
              <w:rPr>
                <w:sz w:val="15"/>
              </w:rPr>
              <w:t>al.</w:t>
            </w:r>
            <w:r>
              <w:rPr>
                <w:spacing w:val="-1"/>
                <w:sz w:val="15"/>
              </w:rPr>
              <w:t> </w:t>
            </w:r>
            <w:r>
              <w:rPr>
                <w:spacing w:val="-2"/>
                <w:sz w:val="15"/>
              </w:rPr>
              <w:t>(2000)</w:t>
            </w:r>
          </w:p>
        </w:tc>
        <w:tc>
          <w:tcPr>
            <w:tcW w:w="1512" w:type="dxa"/>
          </w:tcPr>
          <w:p>
            <w:pPr>
              <w:pStyle w:val="TableParagraph"/>
              <w:ind w:right="176"/>
              <w:rPr>
                <w:sz w:val="15"/>
              </w:rPr>
            </w:pPr>
            <w:r>
              <w:rPr>
                <w:sz w:val="15"/>
              </w:rPr>
              <w:t>Population</w:t>
            </w:r>
            <w:r>
              <w:rPr>
                <w:spacing w:val="-9"/>
                <w:sz w:val="15"/>
              </w:rPr>
              <w:t> </w:t>
            </w:r>
            <w:r>
              <w:rPr>
                <w:sz w:val="15"/>
              </w:rPr>
              <w:t>sample</w:t>
            </w:r>
            <w:r>
              <w:rPr>
                <w:spacing w:val="40"/>
                <w:sz w:val="15"/>
              </w:rPr>
              <w:t> </w:t>
            </w:r>
            <w:r>
              <w:rPr>
                <w:sz w:val="15"/>
              </w:rPr>
              <w:t>reported in the</w:t>
            </w:r>
            <w:r>
              <w:rPr>
                <w:spacing w:val="40"/>
                <w:sz w:val="15"/>
              </w:rPr>
              <w:t> </w:t>
            </w:r>
            <w:r>
              <w:rPr>
                <w:sz w:val="15"/>
              </w:rPr>
              <w:t>foundational</w:t>
            </w:r>
            <w:r>
              <w:rPr>
                <w:spacing w:val="-9"/>
                <w:sz w:val="15"/>
              </w:rPr>
              <w:t> </w:t>
            </w:r>
            <w:r>
              <w:rPr>
                <w:sz w:val="15"/>
              </w:rPr>
              <w:t>study</w:t>
            </w:r>
          </w:p>
        </w:tc>
        <w:tc>
          <w:tcPr>
            <w:tcW w:w="2952" w:type="dxa"/>
          </w:tcPr>
          <w:p>
            <w:pPr>
              <w:pStyle w:val="TableParagraph"/>
              <w:spacing w:before="29"/>
              <w:ind w:left="0"/>
              <w:rPr>
                <w:sz w:val="15"/>
              </w:rPr>
            </w:pPr>
          </w:p>
          <w:p>
            <w:pPr>
              <w:pStyle w:val="TableParagraph"/>
              <w:spacing w:before="0"/>
              <w:rPr>
                <w:sz w:val="15"/>
              </w:rPr>
            </w:pPr>
            <w:r>
              <w:rPr>
                <w:spacing w:val="-2"/>
                <w:sz w:val="15"/>
              </w:rPr>
              <w:t>Absent</w:t>
            </w:r>
          </w:p>
        </w:tc>
        <w:tc>
          <w:tcPr>
            <w:tcW w:w="3024" w:type="dxa"/>
          </w:tcPr>
          <w:p>
            <w:pPr>
              <w:pStyle w:val="TableParagraph"/>
              <w:rPr>
                <w:sz w:val="15"/>
              </w:rPr>
            </w:pPr>
            <w:r>
              <w:rPr>
                <w:sz w:val="15"/>
              </w:rPr>
              <w:t>Broad</w:t>
            </w:r>
            <w:r>
              <w:rPr>
                <w:spacing w:val="-9"/>
                <w:sz w:val="15"/>
              </w:rPr>
              <w:t> </w:t>
            </w:r>
            <w:r>
              <w:rPr>
                <w:sz w:val="15"/>
              </w:rPr>
              <w:t>Jewish-Middle</w:t>
            </w:r>
            <w:r>
              <w:rPr>
                <w:spacing w:val="-8"/>
                <w:sz w:val="15"/>
              </w:rPr>
              <w:t> </w:t>
            </w:r>
            <w:r>
              <w:rPr>
                <w:sz w:val="15"/>
              </w:rPr>
              <w:t>Eastern</w:t>
            </w:r>
            <w:r>
              <w:rPr>
                <w:spacing w:val="-8"/>
                <w:sz w:val="15"/>
              </w:rPr>
              <w:t> </w:t>
            </w:r>
            <w:r>
              <w:rPr>
                <w:sz w:val="15"/>
              </w:rPr>
              <w:t>comparison</w:t>
            </w:r>
            <w:r>
              <w:rPr>
                <w:spacing w:val="40"/>
                <w:sz w:val="15"/>
              </w:rPr>
              <w:t> </w:t>
            </w:r>
            <w:r>
              <w:rPr>
                <w:sz w:val="15"/>
              </w:rPr>
              <w:t>could not test Southern Italian overlap</w:t>
            </w:r>
            <w:r>
              <w:rPr>
                <w:spacing w:val="40"/>
                <w:sz w:val="15"/>
              </w:rPr>
              <w:t> </w:t>
            </w:r>
            <w:r>
              <w:rPr>
                <w:spacing w:val="-2"/>
                <w:sz w:val="15"/>
              </w:rPr>
              <w:t>directly.</w:t>
            </w:r>
          </w:p>
        </w:tc>
      </w:tr>
      <w:tr>
        <w:trPr>
          <w:trHeight w:val="410" w:hRule="atLeast"/>
        </w:trPr>
        <w:tc>
          <w:tcPr>
            <w:tcW w:w="1656" w:type="dxa"/>
          </w:tcPr>
          <w:p>
            <w:pPr>
              <w:pStyle w:val="TableParagraph"/>
              <w:spacing w:before="119"/>
              <w:rPr>
                <w:sz w:val="15"/>
              </w:rPr>
            </w:pPr>
            <w:r>
              <w:rPr>
                <w:sz w:val="15"/>
              </w:rPr>
              <w:t>Nebel</w:t>
            </w:r>
            <w:r>
              <w:rPr>
                <w:spacing w:val="-4"/>
                <w:sz w:val="15"/>
              </w:rPr>
              <w:t> </w:t>
            </w:r>
            <w:r>
              <w:rPr>
                <w:sz w:val="15"/>
              </w:rPr>
              <w:t>et</w:t>
            </w:r>
            <w:r>
              <w:rPr>
                <w:spacing w:val="-4"/>
                <w:sz w:val="15"/>
              </w:rPr>
              <w:t> </w:t>
            </w:r>
            <w:r>
              <w:rPr>
                <w:sz w:val="15"/>
              </w:rPr>
              <w:t>al. </w:t>
            </w:r>
            <w:r>
              <w:rPr>
                <w:spacing w:val="-2"/>
                <w:sz w:val="15"/>
              </w:rPr>
              <w:t>(2001)</w:t>
            </w:r>
          </w:p>
        </w:tc>
        <w:tc>
          <w:tcPr>
            <w:tcW w:w="1512" w:type="dxa"/>
          </w:tcPr>
          <w:p>
            <w:pPr>
              <w:pStyle w:val="TableParagraph"/>
              <w:spacing w:before="119"/>
              <w:rPr>
                <w:sz w:val="15"/>
              </w:rPr>
            </w:pPr>
            <w:r>
              <w:rPr>
                <w:spacing w:val="-2"/>
                <w:sz w:val="15"/>
              </w:rPr>
              <w:t>Approximately</w:t>
            </w:r>
            <w:r>
              <w:rPr>
                <w:spacing w:val="10"/>
                <w:sz w:val="15"/>
              </w:rPr>
              <w:t> </w:t>
            </w:r>
            <w:r>
              <w:rPr>
                <w:spacing w:val="-5"/>
                <w:sz w:val="15"/>
              </w:rPr>
              <w:t>79</w:t>
            </w:r>
          </w:p>
        </w:tc>
        <w:tc>
          <w:tcPr>
            <w:tcW w:w="2952" w:type="dxa"/>
          </w:tcPr>
          <w:p>
            <w:pPr>
              <w:pStyle w:val="TableParagraph"/>
              <w:spacing w:before="119"/>
              <w:rPr>
                <w:sz w:val="15"/>
              </w:rPr>
            </w:pPr>
            <w:r>
              <w:rPr>
                <w:spacing w:val="-2"/>
                <w:sz w:val="15"/>
              </w:rPr>
              <w:t>Absent</w:t>
            </w:r>
          </w:p>
        </w:tc>
        <w:tc>
          <w:tcPr>
            <w:tcW w:w="3024" w:type="dxa"/>
          </w:tcPr>
          <w:p>
            <w:pPr>
              <w:pStyle w:val="TableParagraph"/>
              <w:rPr>
                <w:sz w:val="15"/>
              </w:rPr>
            </w:pPr>
            <w:r>
              <w:rPr>
                <w:sz w:val="15"/>
              </w:rPr>
              <w:t>Small</w:t>
            </w:r>
            <w:r>
              <w:rPr>
                <w:spacing w:val="-8"/>
                <w:sz w:val="15"/>
              </w:rPr>
              <w:t> </w:t>
            </w:r>
            <w:r>
              <w:rPr>
                <w:sz w:val="15"/>
              </w:rPr>
              <w:t>Ashkenazi</w:t>
            </w:r>
            <w:r>
              <w:rPr>
                <w:spacing w:val="-7"/>
                <w:sz w:val="15"/>
              </w:rPr>
              <w:t> </w:t>
            </w:r>
            <w:r>
              <w:rPr>
                <w:sz w:val="15"/>
              </w:rPr>
              <w:t>sample</w:t>
            </w:r>
            <w:r>
              <w:rPr>
                <w:spacing w:val="-7"/>
                <w:sz w:val="15"/>
              </w:rPr>
              <w:t> </w:t>
            </w:r>
            <w:r>
              <w:rPr>
                <w:sz w:val="15"/>
              </w:rPr>
              <w:t>and</w:t>
            </w:r>
            <w:r>
              <w:rPr>
                <w:spacing w:val="-8"/>
                <w:sz w:val="15"/>
              </w:rPr>
              <w:t> </w:t>
            </w:r>
            <w:r>
              <w:rPr>
                <w:sz w:val="15"/>
              </w:rPr>
              <w:t>no</w:t>
            </w:r>
            <w:r>
              <w:rPr>
                <w:spacing w:val="-8"/>
                <w:sz w:val="15"/>
              </w:rPr>
              <w:t> </w:t>
            </w:r>
            <w:r>
              <w:rPr>
                <w:sz w:val="15"/>
              </w:rPr>
              <w:t>Southern</w:t>
            </w:r>
            <w:r>
              <w:rPr>
                <w:spacing w:val="40"/>
                <w:sz w:val="15"/>
              </w:rPr>
              <w:t> </w:t>
            </w:r>
            <w:r>
              <w:rPr>
                <w:sz w:val="15"/>
              </w:rPr>
              <w:t>European regional comparison.</w:t>
            </w:r>
          </w:p>
        </w:tc>
      </w:tr>
      <w:tr>
        <w:trPr>
          <w:trHeight w:val="412" w:hRule="atLeast"/>
        </w:trPr>
        <w:tc>
          <w:tcPr>
            <w:tcW w:w="1656" w:type="dxa"/>
          </w:tcPr>
          <w:p>
            <w:pPr>
              <w:pStyle w:val="TableParagraph"/>
              <w:spacing w:before="119"/>
              <w:rPr>
                <w:sz w:val="15"/>
              </w:rPr>
            </w:pPr>
            <w:r>
              <w:rPr>
                <w:sz w:val="15"/>
              </w:rPr>
              <w:t>Behar</w:t>
            </w:r>
            <w:r>
              <w:rPr>
                <w:spacing w:val="-5"/>
                <w:sz w:val="15"/>
              </w:rPr>
              <w:t> </w:t>
            </w:r>
            <w:r>
              <w:rPr>
                <w:sz w:val="15"/>
              </w:rPr>
              <w:t>et</w:t>
            </w:r>
            <w:r>
              <w:rPr>
                <w:spacing w:val="-4"/>
                <w:sz w:val="15"/>
              </w:rPr>
              <w:t> </w:t>
            </w:r>
            <w:r>
              <w:rPr>
                <w:sz w:val="15"/>
              </w:rPr>
              <w:t>al. </w:t>
            </w:r>
            <w:r>
              <w:rPr>
                <w:spacing w:val="-2"/>
                <w:sz w:val="15"/>
              </w:rPr>
              <w:t>(2004)</w:t>
            </w:r>
          </w:p>
        </w:tc>
        <w:tc>
          <w:tcPr>
            <w:tcW w:w="1512" w:type="dxa"/>
          </w:tcPr>
          <w:p>
            <w:pPr>
              <w:pStyle w:val="TableParagraph"/>
              <w:spacing w:before="119"/>
              <w:rPr>
                <w:sz w:val="15"/>
              </w:rPr>
            </w:pPr>
            <w:r>
              <w:rPr>
                <w:spacing w:val="-2"/>
                <w:sz w:val="15"/>
              </w:rPr>
              <w:t>Approximately</w:t>
            </w:r>
            <w:r>
              <w:rPr>
                <w:spacing w:val="10"/>
                <w:sz w:val="15"/>
              </w:rPr>
              <w:t> </w:t>
            </w:r>
            <w:r>
              <w:rPr>
                <w:spacing w:val="-5"/>
                <w:sz w:val="15"/>
              </w:rPr>
              <w:t>442</w:t>
            </w:r>
          </w:p>
        </w:tc>
        <w:tc>
          <w:tcPr>
            <w:tcW w:w="2952" w:type="dxa"/>
          </w:tcPr>
          <w:p>
            <w:pPr>
              <w:pStyle w:val="TableParagraph"/>
              <w:spacing w:before="119"/>
              <w:rPr>
                <w:sz w:val="15"/>
              </w:rPr>
            </w:pPr>
            <w:r>
              <w:rPr>
                <w:spacing w:val="-2"/>
                <w:sz w:val="15"/>
              </w:rPr>
              <w:t>Absent</w:t>
            </w:r>
          </w:p>
        </w:tc>
        <w:tc>
          <w:tcPr>
            <w:tcW w:w="3024" w:type="dxa"/>
          </w:tcPr>
          <w:p>
            <w:pPr>
              <w:pStyle w:val="TableParagraph"/>
              <w:ind w:right="24"/>
              <w:rPr>
                <w:sz w:val="15"/>
              </w:rPr>
            </w:pPr>
            <w:r>
              <w:rPr>
                <w:sz w:val="15"/>
              </w:rPr>
              <w:t>Larger</w:t>
            </w:r>
            <w:r>
              <w:rPr>
                <w:spacing w:val="-6"/>
                <w:sz w:val="15"/>
              </w:rPr>
              <w:t> </w:t>
            </w:r>
            <w:r>
              <w:rPr>
                <w:sz w:val="15"/>
              </w:rPr>
              <w:t>sample</w:t>
            </w:r>
            <w:r>
              <w:rPr>
                <w:spacing w:val="-9"/>
                <w:sz w:val="15"/>
              </w:rPr>
              <w:t> </w:t>
            </w:r>
            <w:r>
              <w:rPr>
                <w:sz w:val="15"/>
              </w:rPr>
              <w:t>but</w:t>
            </w:r>
            <w:r>
              <w:rPr>
                <w:spacing w:val="-8"/>
                <w:sz w:val="15"/>
              </w:rPr>
              <w:t> </w:t>
            </w:r>
            <w:r>
              <w:rPr>
                <w:sz w:val="15"/>
              </w:rPr>
              <w:t>coarse</w:t>
            </w:r>
            <w:r>
              <w:rPr>
                <w:spacing w:val="-5"/>
                <w:sz w:val="15"/>
              </w:rPr>
              <w:t> </w:t>
            </w:r>
            <w:r>
              <w:rPr>
                <w:sz w:val="15"/>
              </w:rPr>
              <w:t>haplogroup</w:t>
            </w:r>
            <w:r>
              <w:rPr>
                <w:spacing w:val="-8"/>
                <w:sz w:val="15"/>
              </w:rPr>
              <w:t> </w:t>
            </w:r>
            <w:r>
              <w:rPr>
                <w:sz w:val="15"/>
              </w:rPr>
              <w:t>bins</w:t>
            </w:r>
            <w:r>
              <w:rPr>
                <w:spacing w:val="40"/>
                <w:sz w:val="15"/>
              </w:rPr>
              <w:t> </w:t>
            </w:r>
            <w:r>
              <w:rPr>
                <w:sz w:val="15"/>
              </w:rPr>
              <w:t>and no Southern Italian regional panel.</w:t>
            </w:r>
          </w:p>
        </w:tc>
      </w:tr>
      <w:tr>
        <w:trPr>
          <w:trHeight w:val="412" w:hRule="atLeast"/>
        </w:trPr>
        <w:tc>
          <w:tcPr>
            <w:tcW w:w="1656" w:type="dxa"/>
          </w:tcPr>
          <w:p>
            <w:pPr>
              <w:pStyle w:val="TableParagraph"/>
              <w:spacing w:before="119"/>
              <w:rPr>
                <w:sz w:val="15"/>
              </w:rPr>
            </w:pPr>
            <w:r>
              <w:rPr>
                <w:sz w:val="15"/>
              </w:rPr>
              <w:t>Shen</w:t>
            </w:r>
            <w:r>
              <w:rPr>
                <w:spacing w:val="-7"/>
                <w:sz w:val="15"/>
              </w:rPr>
              <w:t> </w:t>
            </w:r>
            <w:r>
              <w:rPr>
                <w:sz w:val="15"/>
              </w:rPr>
              <w:t>et</w:t>
            </w:r>
            <w:r>
              <w:rPr>
                <w:spacing w:val="-2"/>
                <w:sz w:val="15"/>
              </w:rPr>
              <w:t> </w:t>
            </w:r>
            <w:r>
              <w:rPr>
                <w:sz w:val="15"/>
              </w:rPr>
              <w:t>al.</w:t>
            </w:r>
            <w:r>
              <w:rPr>
                <w:spacing w:val="-1"/>
                <w:sz w:val="15"/>
              </w:rPr>
              <w:t> </w:t>
            </w:r>
            <w:r>
              <w:rPr>
                <w:spacing w:val="-2"/>
                <w:sz w:val="15"/>
              </w:rPr>
              <w:t>(2004)</w:t>
            </w:r>
          </w:p>
        </w:tc>
        <w:tc>
          <w:tcPr>
            <w:tcW w:w="1512" w:type="dxa"/>
          </w:tcPr>
          <w:p>
            <w:pPr>
              <w:pStyle w:val="TableParagraph"/>
              <w:spacing w:before="119"/>
              <w:rPr>
                <w:sz w:val="15"/>
              </w:rPr>
            </w:pPr>
            <w:r>
              <w:rPr>
                <w:spacing w:val="-2"/>
                <w:sz w:val="15"/>
              </w:rPr>
              <w:t>Approximately</w:t>
            </w:r>
            <w:r>
              <w:rPr>
                <w:spacing w:val="10"/>
                <w:sz w:val="15"/>
              </w:rPr>
              <w:t> </w:t>
            </w:r>
            <w:r>
              <w:rPr>
                <w:spacing w:val="-5"/>
                <w:sz w:val="15"/>
              </w:rPr>
              <w:t>20</w:t>
            </w:r>
          </w:p>
        </w:tc>
        <w:tc>
          <w:tcPr>
            <w:tcW w:w="2952" w:type="dxa"/>
          </w:tcPr>
          <w:p>
            <w:pPr>
              <w:pStyle w:val="TableParagraph"/>
              <w:spacing w:before="119"/>
              <w:rPr>
                <w:sz w:val="15"/>
              </w:rPr>
            </w:pPr>
            <w:r>
              <w:rPr>
                <w:spacing w:val="-2"/>
                <w:sz w:val="15"/>
              </w:rPr>
              <w:t>Absent</w:t>
            </w:r>
          </w:p>
        </w:tc>
        <w:tc>
          <w:tcPr>
            <w:tcW w:w="3024" w:type="dxa"/>
          </w:tcPr>
          <w:p>
            <w:pPr>
              <w:pStyle w:val="TableParagraph"/>
              <w:rPr>
                <w:sz w:val="15"/>
              </w:rPr>
            </w:pPr>
            <w:r>
              <w:rPr>
                <w:sz w:val="15"/>
              </w:rPr>
              <w:t>Very</w:t>
            </w:r>
            <w:r>
              <w:rPr>
                <w:spacing w:val="-8"/>
                <w:sz w:val="15"/>
              </w:rPr>
              <w:t> </w:t>
            </w:r>
            <w:r>
              <w:rPr>
                <w:sz w:val="15"/>
              </w:rPr>
              <w:t>small</w:t>
            </w:r>
            <w:r>
              <w:rPr>
                <w:spacing w:val="-9"/>
                <w:sz w:val="15"/>
              </w:rPr>
              <w:t> </w:t>
            </w:r>
            <w:r>
              <w:rPr>
                <w:sz w:val="15"/>
              </w:rPr>
              <w:t>Ashkenazi</w:t>
            </w:r>
            <w:r>
              <w:rPr>
                <w:spacing w:val="-5"/>
                <w:sz w:val="15"/>
              </w:rPr>
              <w:t> </w:t>
            </w:r>
            <w:r>
              <w:rPr>
                <w:sz w:val="15"/>
              </w:rPr>
              <w:t>sample</w:t>
            </w:r>
            <w:r>
              <w:rPr>
                <w:spacing w:val="-8"/>
                <w:sz w:val="15"/>
              </w:rPr>
              <w:t> </w:t>
            </w:r>
            <w:r>
              <w:rPr>
                <w:sz w:val="15"/>
              </w:rPr>
              <w:t>and</w:t>
            </w:r>
            <w:r>
              <w:rPr>
                <w:spacing w:val="-6"/>
                <w:sz w:val="15"/>
              </w:rPr>
              <w:t> </w:t>
            </w:r>
            <w:r>
              <w:rPr>
                <w:sz w:val="15"/>
              </w:rPr>
              <w:t>limited</w:t>
            </w:r>
            <w:r>
              <w:rPr>
                <w:spacing w:val="40"/>
                <w:sz w:val="15"/>
              </w:rPr>
              <w:t> </w:t>
            </w:r>
            <w:r>
              <w:rPr>
                <w:sz w:val="15"/>
              </w:rPr>
              <w:t>power for geographic inference.</w:t>
            </w:r>
          </w:p>
        </w:tc>
      </w:tr>
      <w:tr>
        <w:trPr>
          <w:trHeight w:val="412" w:hRule="atLeast"/>
        </w:trPr>
        <w:tc>
          <w:tcPr>
            <w:tcW w:w="1656" w:type="dxa"/>
          </w:tcPr>
          <w:p>
            <w:pPr>
              <w:pStyle w:val="TableParagraph"/>
              <w:spacing w:before="119"/>
              <w:rPr>
                <w:sz w:val="15"/>
              </w:rPr>
            </w:pPr>
            <w:r>
              <w:rPr>
                <w:sz w:val="15"/>
              </w:rPr>
              <w:t>Semino</w:t>
            </w:r>
            <w:r>
              <w:rPr>
                <w:spacing w:val="-7"/>
                <w:sz w:val="15"/>
              </w:rPr>
              <w:t> </w:t>
            </w:r>
            <w:r>
              <w:rPr>
                <w:sz w:val="15"/>
              </w:rPr>
              <w:t>et</w:t>
            </w:r>
            <w:r>
              <w:rPr>
                <w:spacing w:val="-3"/>
                <w:sz w:val="15"/>
              </w:rPr>
              <w:t> </w:t>
            </w:r>
            <w:r>
              <w:rPr>
                <w:sz w:val="15"/>
              </w:rPr>
              <w:t>al.</w:t>
            </w:r>
            <w:r>
              <w:rPr>
                <w:spacing w:val="-1"/>
                <w:sz w:val="15"/>
              </w:rPr>
              <w:t> </w:t>
            </w:r>
            <w:r>
              <w:rPr>
                <w:spacing w:val="-2"/>
                <w:sz w:val="15"/>
              </w:rPr>
              <w:t>(2004)</w:t>
            </w:r>
          </w:p>
        </w:tc>
        <w:tc>
          <w:tcPr>
            <w:tcW w:w="1512" w:type="dxa"/>
          </w:tcPr>
          <w:p>
            <w:pPr>
              <w:pStyle w:val="TableParagraph"/>
              <w:spacing w:before="119"/>
              <w:rPr>
                <w:sz w:val="15"/>
              </w:rPr>
            </w:pPr>
            <w:r>
              <w:rPr>
                <w:spacing w:val="-5"/>
                <w:sz w:val="15"/>
              </w:rPr>
              <w:t>77</w:t>
            </w:r>
          </w:p>
        </w:tc>
        <w:tc>
          <w:tcPr>
            <w:tcW w:w="2952" w:type="dxa"/>
          </w:tcPr>
          <w:p>
            <w:pPr>
              <w:pStyle w:val="TableParagraph"/>
              <w:ind w:right="142"/>
              <w:rPr>
                <w:sz w:val="15"/>
              </w:rPr>
            </w:pPr>
            <w:r>
              <w:rPr>
                <w:sz w:val="15"/>
              </w:rPr>
              <w:t>Present:</w:t>
            </w:r>
            <w:r>
              <w:rPr>
                <w:spacing w:val="-9"/>
                <w:sz w:val="15"/>
              </w:rPr>
              <w:t> </w:t>
            </w:r>
            <w:r>
              <w:rPr>
                <w:sz w:val="15"/>
              </w:rPr>
              <w:t>Apulia,</w:t>
            </w:r>
            <w:r>
              <w:rPr>
                <w:spacing w:val="-8"/>
                <w:sz w:val="15"/>
              </w:rPr>
              <w:t> </w:t>
            </w:r>
            <w:r>
              <w:rPr>
                <w:sz w:val="15"/>
              </w:rPr>
              <w:t>Calabria,</w:t>
            </w:r>
            <w:r>
              <w:rPr>
                <w:spacing w:val="-8"/>
                <w:sz w:val="15"/>
              </w:rPr>
              <w:t> </w:t>
            </w:r>
            <w:r>
              <w:rPr>
                <w:sz w:val="15"/>
              </w:rPr>
              <w:t>Cosenza</w:t>
            </w:r>
            <w:r>
              <w:rPr>
                <w:spacing w:val="40"/>
                <w:sz w:val="15"/>
              </w:rPr>
              <w:t> </w:t>
            </w:r>
            <w:r>
              <w:rPr>
                <w:sz w:val="15"/>
              </w:rPr>
              <w:t>Albanian community, and Sicily</w:t>
            </w:r>
          </w:p>
        </w:tc>
        <w:tc>
          <w:tcPr>
            <w:tcW w:w="3024" w:type="dxa"/>
          </w:tcPr>
          <w:p>
            <w:pPr>
              <w:pStyle w:val="TableParagraph"/>
              <w:rPr>
                <w:sz w:val="15"/>
              </w:rPr>
            </w:pPr>
            <w:r>
              <w:rPr>
                <w:sz w:val="15"/>
              </w:rPr>
              <w:t>The</w:t>
            </w:r>
            <w:r>
              <w:rPr>
                <w:spacing w:val="-6"/>
                <w:sz w:val="15"/>
              </w:rPr>
              <w:t> </w:t>
            </w:r>
            <w:r>
              <w:rPr>
                <w:sz w:val="15"/>
              </w:rPr>
              <w:t>principal</w:t>
            </w:r>
            <w:r>
              <w:rPr>
                <w:spacing w:val="-9"/>
                <w:sz w:val="15"/>
              </w:rPr>
              <w:t> </w:t>
            </w:r>
            <w:r>
              <w:rPr>
                <w:sz w:val="15"/>
              </w:rPr>
              <w:t>early</w:t>
            </w:r>
            <w:r>
              <w:rPr>
                <w:spacing w:val="-5"/>
                <w:sz w:val="15"/>
              </w:rPr>
              <w:t> </w:t>
            </w:r>
            <w:r>
              <w:rPr>
                <w:sz w:val="15"/>
              </w:rPr>
              <w:t>study</w:t>
            </w:r>
            <w:r>
              <w:rPr>
                <w:spacing w:val="-6"/>
                <w:sz w:val="15"/>
              </w:rPr>
              <w:t> </w:t>
            </w:r>
            <w:r>
              <w:rPr>
                <w:sz w:val="15"/>
              </w:rPr>
              <w:t>capable</w:t>
            </w:r>
            <w:r>
              <w:rPr>
                <w:spacing w:val="-6"/>
                <w:sz w:val="15"/>
              </w:rPr>
              <w:t> </w:t>
            </w:r>
            <w:r>
              <w:rPr>
                <w:sz w:val="15"/>
              </w:rPr>
              <w:t>of</w:t>
            </w:r>
            <w:r>
              <w:rPr>
                <w:spacing w:val="-7"/>
                <w:sz w:val="15"/>
              </w:rPr>
              <w:t> </w:t>
            </w:r>
            <w:r>
              <w:rPr>
                <w:sz w:val="15"/>
              </w:rPr>
              <w:t>testing</w:t>
            </w:r>
            <w:r>
              <w:rPr>
                <w:spacing w:val="40"/>
                <w:sz w:val="15"/>
              </w:rPr>
              <w:t> </w:t>
            </w:r>
            <w:r>
              <w:rPr>
                <w:sz w:val="15"/>
              </w:rPr>
              <w:t>Southern Italian subclade overlap directly.</w:t>
            </w:r>
          </w:p>
        </w:tc>
      </w:tr>
      <w:tr>
        <w:trPr>
          <w:trHeight w:val="587" w:hRule="atLeast"/>
        </w:trPr>
        <w:tc>
          <w:tcPr>
            <w:tcW w:w="1656" w:type="dxa"/>
          </w:tcPr>
          <w:p>
            <w:pPr>
              <w:pStyle w:val="TableParagraph"/>
              <w:spacing w:before="29"/>
              <w:ind w:left="0"/>
              <w:rPr>
                <w:sz w:val="15"/>
              </w:rPr>
            </w:pPr>
          </w:p>
          <w:p>
            <w:pPr>
              <w:pStyle w:val="TableParagraph"/>
              <w:spacing w:before="0"/>
              <w:rPr>
                <w:sz w:val="15"/>
              </w:rPr>
            </w:pPr>
            <w:r>
              <w:rPr>
                <w:sz w:val="15"/>
              </w:rPr>
              <w:t>Hammer</w:t>
            </w:r>
            <w:r>
              <w:rPr>
                <w:spacing w:val="-5"/>
                <w:sz w:val="15"/>
              </w:rPr>
              <w:t> </w:t>
            </w:r>
            <w:r>
              <w:rPr>
                <w:sz w:val="15"/>
              </w:rPr>
              <w:t>et</w:t>
            </w:r>
            <w:r>
              <w:rPr>
                <w:spacing w:val="-4"/>
                <w:sz w:val="15"/>
              </w:rPr>
              <w:t> </w:t>
            </w:r>
            <w:r>
              <w:rPr>
                <w:sz w:val="15"/>
              </w:rPr>
              <w:t>al.</w:t>
            </w:r>
            <w:r>
              <w:rPr>
                <w:spacing w:val="-1"/>
                <w:sz w:val="15"/>
              </w:rPr>
              <w:t> </w:t>
            </w:r>
            <w:r>
              <w:rPr>
                <w:spacing w:val="-2"/>
                <w:sz w:val="15"/>
              </w:rPr>
              <w:t>(2009)</w:t>
            </w:r>
          </w:p>
        </w:tc>
        <w:tc>
          <w:tcPr>
            <w:tcW w:w="1512" w:type="dxa"/>
          </w:tcPr>
          <w:p>
            <w:pPr>
              <w:pStyle w:val="TableParagraph"/>
              <w:ind w:right="93"/>
              <w:rPr>
                <w:sz w:val="15"/>
              </w:rPr>
            </w:pPr>
            <w:r>
              <w:rPr>
                <w:sz w:val="15"/>
              </w:rPr>
              <w:t>1,575</w:t>
            </w:r>
            <w:r>
              <w:rPr>
                <w:spacing w:val="-9"/>
                <w:sz w:val="15"/>
              </w:rPr>
              <w:t> </w:t>
            </w:r>
            <w:r>
              <w:rPr>
                <w:sz w:val="15"/>
              </w:rPr>
              <w:t>Jewish</w:t>
            </w:r>
            <w:r>
              <w:rPr>
                <w:spacing w:val="-8"/>
                <w:sz w:val="15"/>
              </w:rPr>
              <w:t> </w:t>
            </w:r>
            <w:r>
              <w:rPr>
                <w:sz w:val="15"/>
              </w:rPr>
              <w:t>men</w:t>
            </w:r>
            <w:r>
              <w:rPr>
                <w:spacing w:val="40"/>
                <w:sz w:val="15"/>
              </w:rPr>
              <w:t> </w:t>
            </w:r>
            <w:r>
              <w:rPr>
                <w:sz w:val="15"/>
              </w:rPr>
              <w:t>across</w:t>
            </w:r>
            <w:r>
              <w:rPr>
                <w:spacing w:val="-9"/>
                <w:sz w:val="15"/>
              </w:rPr>
              <w:t> </w:t>
            </w:r>
            <w:r>
              <w:rPr>
                <w:sz w:val="15"/>
              </w:rPr>
              <w:t>diaspora</w:t>
            </w:r>
            <w:r>
              <w:rPr>
                <w:spacing w:val="40"/>
                <w:sz w:val="15"/>
              </w:rPr>
              <w:t> </w:t>
            </w:r>
            <w:r>
              <w:rPr>
                <w:spacing w:val="-2"/>
                <w:sz w:val="15"/>
              </w:rPr>
              <w:t>groups</w:t>
            </w:r>
          </w:p>
        </w:tc>
        <w:tc>
          <w:tcPr>
            <w:tcW w:w="2952" w:type="dxa"/>
          </w:tcPr>
          <w:p>
            <w:pPr>
              <w:pStyle w:val="TableParagraph"/>
              <w:spacing w:before="116"/>
              <w:rPr>
                <w:sz w:val="15"/>
              </w:rPr>
            </w:pPr>
            <w:r>
              <w:rPr>
                <w:sz w:val="15"/>
              </w:rPr>
              <w:t>Absent</w:t>
            </w:r>
            <w:r>
              <w:rPr>
                <w:spacing w:val="-9"/>
                <w:sz w:val="15"/>
              </w:rPr>
              <w:t> </w:t>
            </w:r>
            <w:r>
              <w:rPr>
                <w:sz w:val="15"/>
              </w:rPr>
              <w:t>from</w:t>
            </w:r>
            <w:r>
              <w:rPr>
                <w:spacing w:val="-8"/>
                <w:sz w:val="15"/>
              </w:rPr>
              <w:t> </w:t>
            </w:r>
            <w:r>
              <w:rPr>
                <w:sz w:val="15"/>
              </w:rPr>
              <w:t>the</w:t>
            </w:r>
            <w:r>
              <w:rPr>
                <w:spacing w:val="-8"/>
                <w:sz w:val="15"/>
              </w:rPr>
              <w:t> </w:t>
            </w:r>
            <w:r>
              <w:rPr>
                <w:sz w:val="15"/>
              </w:rPr>
              <w:t>relevant</w:t>
            </w:r>
            <w:r>
              <w:rPr>
                <w:spacing w:val="-9"/>
                <w:sz w:val="15"/>
              </w:rPr>
              <w:t> </w:t>
            </w:r>
            <w:r>
              <w:rPr>
                <w:sz w:val="15"/>
              </w:rPr>
              <w:t>Ashkenazi</w:t>
            </w:r>
            <w:r>
              <w:rPr>
                <w:spacing w:val="40"/>
                <w:sz w:val="15"/>
              </w:rPr>
              <w:t> </w:t>
            </w:r>
            <w:r>
              <w:rPr>
                <w:spacing w:val="-2"/>
                <w:sz w:val="15"/>
              </w:rPr>
              <w:t>comparison</w:t>
            </w:r>
          </w:p>
        </w:tc>
        <w:tc>
          <w:tcPr>
            <w:tcW w:w="3024" w:type="dxa"/>
          </w:tcPr>
          <w:p>
            <w:pPr>
              <w:pStyle w:val="TableParagraph"/>
              <w:ind w:right="24"/>
              <w:rPr>
                <w:sz w:val="15"/>
              </w:rPr>
            </w:pPr>
            <w:r>
              <w:rPr>
                <w:sz w:val="15"/>
              </w:rPr>
              <w:t>Ashkenazi and non-Ashkenazi samples</w:t>
            </w:r>
            <w:r>
              <w:rPr>
                <w:spacing w:val="40"/>
                <w:sz w:val="15"/>
              </w:rPr>
              <w:t> </w:t>
            </w:r>
            <w:r>
              <w:rPr>
                <w:sz w:val="15"/>
              </w:rPr>
              <w:t>pooled</w:t>
            </w:r>
            <w:r>
              <w:rPr>
                <w:spacing w:val="-9"/>
                <w:sz w:val="15"/>
              </w:rPr>
              <w:t> </w:t>
            </w:r>
            <w:r>
              <w:rPr>
                <w:sz w:val="15"/>
              </w:rPr>
              <w:t>in</w:t>
            </w:r>
            <w:r>
              <w:rPr>
                <w:spacing w:val="-8"/>
                <w:sz w:val="15"/>
              </w:rPr>
              <w:t> </w:t>
            </w:r>
            <w:r>
              <w:rPr>
                <w:sz w:val="15"/>
              </w:rPr>
              <w:t>important</w:t>
            </w:r>
            <w:r>
              <w:rPr>
                <w:spacing w:val="-8"/>
                <w:sz w:val="15"/>
              </w:rPr>
              <w:t> </w:t>
            </w:r>
            <w:r>
              <w:rPr>
                <w:sz w:val="15"/>
              </w:rPr>
              <w:t>summaries;</w:t>
            </w:r>
            <w:r>
              <w:rPr>
                <w:spacing w:val="-9"/>
                <w:sz w:val="15"/>
              </w:rPr>
              <w:t> </w:t>
            </w:r>
            <w:r>
              <w:rPr>
                <w:sz w:val="15"/>
              </w:rPr>
              <w:t>complete</w:t>
            </w:r>
            <w:r>
              <w:rPr>
                <w:spacing w:val="40"/>
                <w:sz w:val="15"/>
              </w:rPr>
              <w:t> </w:t>
            </w:r>
            <w:r>
              <w:rPr>
                <w:sz w:val="15"/>
              </w:rPr>
              <w:t>subgroup frequencies not reported.</w:t>
            </w:r>
          </w:p>
        </w:tc>
      </w:tr>
    </w:tbl>
    <w:p>
      <w:pPr>
        <w:keepNext w:val="0"/>
        <w:keepLines/>
        <w:spacing w:before="90"/>
        <w:ind w:left="131" w:right="477" w:firstLine="0"/>
        <w:jc w:val="left"/>
        <w:rPr>
          <w:sz w:val="18"/>
        </w:rPr>
      </w:pPr>
      <w:r>
        <w:rPr>
          <w:sz w:val="18"/>
        </w:rPr>
        <w:t>Table</w:t>
      </w:r>
      <w:r>
        <w:rPr>
          <w:spacing w:val="-2"/>
          <w:sz w:val="18"/>
        </w:rPr>
        <w:t> </w:t>
      </w:r>
      <w:r>
        <w:rPr>
          <w:sz w:val="18"/>
        </w:rPr>
        <w:t>4.</w:t>
      </w:r>
      <w:r>
        <w:rPr>
          <w:spacing w:val="-4"/>
          <w:sz w:val="18"/>
        </w:rPr>
        <w:t> </w:t>
      </w:r>
      <w:r>
        <w:rPr>
          <w:sz w:val="18"/>
        </w:rPr>
        <w:t>Foundational</w:t>
      </w:r>
      <w:r>
        <w:rPr>
          <w:spacing w:val="-4"/>
          <w:sz w:val="18"/>
        </w:rPr>
        <w:t> </w:t>
      </w:r>
      <w:r>
        <w:rPr>
          <w:sz w:val="18"/>
        </w:rPr>
        <w:t>Y-chromosomal</w:t>
      </w:r>
      <w:r>
        <w:rPr>
          <w:spacing w:val="-4"/>
          <w:sz w:val="18"/>
        </w:rPr>
        <w:t> </w:t>
      </w:r>
      <w:r>
        <w:rPr>
          <w:sz w:val="18"/>
        </w:rPr>
        <w:t>studies</w:t>
      </w:r>
      <w:r>
        <w:rPr>
          <w:spacing w:val="-4"/>
          <w:sz w:val="18"/>
        </w:rPr>
        <w:t> </w:t>
      </w:r>
      <w:r>
        <w:rPr>
          <w:sz w:val="18"/>
        </w:rPr>
        <w:t>and</w:t>
      </w:r>
      <w:r>
        <w:rPr>
          <w:spacing w:val="-4"/>
          <w:sz w:val="18"/>
        </w:rPr>
        <w:t> </w:t>
      </w:r>
      <w:r>
        <w:rPr>
          <w:sz w:val="18"/>
        </w:rPr>
        <w:t>Southern</w:t>
      </w:r>
      <w:r>
        <w:rPr>
          <w:spacing w:val="-3"/>
          <w:sz w:val="18"/>
        </w:rPr>
        <w:t> </w:t>
      </w:r>
      <w:r>
        <w:rPr>
          <w:sz w:val="18"/>
        </w:rPr>
        <w:t>Italian</w:t>
      </w:r>
      <w:r>
        <w:rPr>
          <w:spacing w:val="-3"/>
          <w:sz w:val="18"/>
        </w:rPr>
        <w:t> </w:t>
      </w:r>
      <w:r>
        <w:rPr>
          <w:sz w:val="18"/>
        </w:rPr>
        <w:t>comparator</w:t>
      </w:r>
      <w:r>
        <w:rPr>
          <w:spacing w:val="-3"/>
          <w:sz w:val="18"/>
        </w:rPr>
        <w:t> </w:t>
      </w:r>
      <w:r>
        <w:rPr>
          <w:sz w:val="18"/>
        </w:rPr>
        <w:t>coverage.</w:t>
      </w:r>
      <w:r>
        <w:rPr>
          <w:spacing w:val="-4"/>
          <w:sz w:val="18"/>
        </w:rPr>
        <w:t> </w:t>
      </w:r>
      <w:r>
        <w:rPr>
          <w:sz w:val="18"/>
        </w:rPr>
        <w:t>Sample</w:t>
      </w:r>
      <w:r>
        <w:rPr>
          <w:spacing w:val="-2"/>
          <w:sz w:val="18"/>
        </w:rPr>
        <w:t> </w:t>
      </w:r>
      <w:r>
        <w:rPr>
          <w:sz w:val="18"/>
        </w:rPr>
        <w:t>descriptions</w:t>
      </w:r>
      <w:r>
        <w:rPr>
          <w:spacing w:val="-5"/>
          <w:sz w:val="18"/>
        </w:rPr>
        <w:t> </w:t>
      </w:r>
      <w:r>
        <w:rPr>
          <w:sz w:val="18"/>
        </w:rPr>
        <w:t>follow</w:t>
      </w:r>
      <w:r>
        <w:rPr>
          <w:spacing w:val="-3"/>
          <w:sz w:val="18"/>
        </w:rPr>
        <w:t> </w:t>
      </w:r>
      <w:r>
        <w:rPr>
          <w:sz w:val="18"/>
        </w:rPr>
        <w:t>the</w:t>
      </w:r>
      <w:r>
        <w:rPr>
          <w:spacing w:val="40"/>
          <w:sz w:val="18"/>
        </w:rPr>
        <w:t> </w:t>
      </w:r>
      <w:r>
        <w:rPr>
          <w:sz w:val="18"/>
        </w:rPr>
        <w:t>cited studies and the earlier manuscript audit; approximate values are identified as such.</w:t>
      </w:r>
    </w:p>
    <w:p>
      <w:pPr>
        <w:pStyle w:val="TableParagraph"/>
        <w:spacing w:after="0"/>
        <w:rPr>
          <w:sz w:val="15"/>
        </w:rPr>
        <w:sectPr>
          <w:pgSz w:w="11910" w:h="16840"/>
          <w:pgMar w:header="390" w:footer="444" w:top="940" w:bottom="640" w:left="992" w:right="992"/>
        </w:sectPr>
      </w:pPr>
    </w:p>
    <w:p>
      <w:pPr>
        <w:pStyle w:val="BodyText"/>
        <w:spacing w:before="11"/>
        <w:ind w:left="0" w:firstLine="0"/>
        <w:jc w:val="left"/>
        <w:rPr>
          <w:sz w:val="11"/>
        </w:rPr>
      </w:pPr>
    </w:p>
    <w:tbl>
      <w:tblPr>
        <w:tblW w:w="0" w:type="auto"/>
        <w:jc w:val="left"/>
        <w:tblInd w:w="453" w:type="dxa"/>
        <w:tblBorders>
          <w:top w:val="single" w:sz="4" w:space="0" w:color="898989"/>
          <w:left w:val="single" w:sz="4" w:space="0" w:color="898989"/>
          <w:bottom w:val="single" w:sz="4" w:space="0" w:color="898989"/>
          <w:right w:val="single" w:sz="4" w:space="0" w:color="898989"/>
          <w:insideH w:val="single" w:sz="4" w:space="0" w:color="898989"/>
          <w:insideV w:val="single" w:sz="4" w:space="0" w:color="898989"/>
        </w:tblBorders>
        <w:tblLayout w:type="fixed"/>
        <w:tblCellMar>
          <w:top w:w="0" w:type="dxa"/>
          <w:left w:w="0" w:type="dxa"/>
          <w:bottom w:w="0" w:type="dxa"/>
          <w:right w:w="0" w:type="dxa"/>
        </w:tblCellMar>
        <w:tblLook w:val="01E0"/>
      </w:tblPr>
      <w:tblGrid>
        <w:gridCol w:w="3672"/>
        <w:gridCol w:w="1037"/>
        <w:gridCol w:w="1037"/>
        <w:gridCol w:w="1095"/>
        <w:gridCol w:w="1095"/>
        <w:gridCol w:w="1095"/>
      </w:tblGrid>
      <w:tr>
        <w:trPr>
          <w:trHeight w:val="249" w:hRule="atLeast"/>
          <w:tblHeader w:val="true"/>
        </w:trPr>
        <w:tc>
          <w:tcPr>
            <w:tcW w:w="3672" w:type="dxa"/>
            <w:shd w:val="clear" w:color="auto" w:fill="DDE6EF"/>
          </w:tcPr>
          <w:p>
            <w:pPr>
              <w:pStyle w:val="TableParagraph"/>
              <w:rPr>
                <w:sz w:val="16"/>
              </w:rPr>
            </w:pPr>
            <w:r>
              <w:rPr>
                <w:spacing w:val="-2"/>
                <w:sz w:val="16"/>
              </w:rPr>
              <w:t>Population</w:t>
            </w:r>
          </w:p>
        </w:tc>
        <w:tc>
          <w:tcPr>
            <w:tcW w:w="1037" w:type="dxa"/>
            <w:shd w:val="clear" w:color="auto" w:fill="DDE6EF"/>
          </w:tcPr>
          <w:p>
            <w:pPr>
              <w:pStyle w:val="TableParagraph"/>
              <w:rPr>
                <w:sz w:val="16"/>
              </w:rPr>
            </w:pPr>
            <w:r>
              <w:rPr>
                <w:sz w:val="16"/>
              </w:rPr>
              <w:t>Sample</w:t>
            </w:r>
            <w:r>
              <w:rPr>
                <w:spacing w:val="-4"/>
                <w:sz w:val="16"/>
              </w:rPr>
              <w:t> size</w:t>
            </w:r>
          </w:p>
        </w:tc>
        <w:tc>
          <w:tcPr>
            <w:tcW w:w="1037" w:type="dxa"/>
            <w:shd w:val="clear" w:color="auto" w:fill="DDE6EF"/>
          </w:tcPr>
          <w:p>
            <w:pPr>
              <w:pStyle w:val="TableParagraph"/>
              <w:rPr>
                <w:sz w:val="16"/>
              </w:rPr>
            </w:pPr>
            <w:r>
              <w:rPr>
                <w:sz w:val="16"/>
              </w:rPr>
              <w:t>E-</w:t>
            </w:r>
            <w:r>
              <w:rPr>
                <w:spacing w:val="-5"/>
                <w:sz w:val="16"/>
              </w:rPr>
              <w:t>M78</w:t>
            </w:r>
          </w:p>
        </w:tc>
        <w:tc>
          <w:tcPr>
            <w:tcW w:w="1095" w:type="dxa"/>
            <w:shd w:val="clear" w:color="auto" w:fill="DDE6EF"/>
          </w:tcPr>
          <w:p>
            <w:pPr>
              <w:pStyle w:val="TableParagraph"/>
              <w:rPr>
                <w:sz w:val="16"/>
              </w:rPr>
            </w:pPr>
            <w:r>
              <w:rPr>
                <w:sz w:val="16"/>
              </w:rPr>
              <w:t>E-</w:t>
            </w:r>
            <w:r>
              <w:rPr>
                <w:spacing w:val="-4"/>
                <w:sz w:val="16"/>
              </w:rPr>
              <w:t>M123</w:t>
            </w:r>
          </w:p>
        </w:tc>
        <w:tc>
          <w:tcPr>
            <w:tcW w:w="1095" w:type="dxa"/>
            <w:shd w:val="clear" w:color="auto" w:fill="DDE6EF"/>
          </w:tcPr>
          <w:p>
            <w:pPr>
              <w:pStyle w:val="TableParagraph"/>
              <w:ind w:left="106"/>
              <w:rPr>
                <w:sz w:val="16"/>
              </w:rPr>
            </w:pPr>
            <w:r>
              <w:rPr>
                <w:spacing w:val="-2"/>
                <w:sz w:val="16"/>
              </w:rPr>
              <w:t>J1-</w:t>
            </w:r>
            <w:r>
              <w:rPr>
                <w:spacing w:val="-4"/>
                <w:sz w:val="16"/>
              </w:rPr>
              <w:t>M267</w:t>
            </w:r>
          </w:p>
        </w:tc>
        <w:tc>
          <w:tcPr>
            <w:tcW w:w="1095" w:type="dxa"/>
            <w:shd w:val="clear" w:color="auto" w:fill="DDE6EF"/>
          </w:tcPr>
          <w:p>
            <w:pPr>
              <w:pStyle w:val="TableParagraph"/>
              <w:ind w:left="106"/>
              <w:rPr>
                <w:sz w:val="16"/>
              </w:rPr>
            </w:pPr>
            <w:r>
              <w:rPr>
                <w:spacing w:val="-2"/>
                <w:sz w:val="16"/>
              </w:rPr>
              <w:t>J2-</w:t>
            </w:r>
            <w:r>
              <w:rPr>
                <w:spacing w:val="-4"/>
                <w:sz w:val="16"/>
              </w:rPr>
              <w:t>M172</w:t>
            </w:r>
          </w:p>
        </w:tc>
      </w:tr>
      <w:tr>
        <w:trPr>
          <w:trHeight w:val="246" w:hRule="atLeast"/>
        </w:trPr>
        <w:tc>
          <w:tcPr>
            <w:tcW w:w="3672" w:type="dxa"/>
          </w:tcPr>
          <w:p>
            <w:pPr>
              <w:pStyle w:val="TableParagraph"/>
              <w:rPr>
                <w:sz w:val="16"/>
              </w:rPr>
            </w:pPr>
            <w:r>
              <w:rPr>
                <w:sz w:val="16"/>
              </w:rPr>
              <w:t>Ashkenazi</w:t>
            </w:r>
            <w:r>
              <w:rPr>
                <w:spacing w:val="-7"/>
                <w:sz w:val="16"/>
              </w:rPr>
              <w:t> </w:t>
            </w:r>
            <w:r>
              <w:rPr>
                <w:spacing w:val="-4"/>
                <w:sz w:val="16"/>
              </w:rPr>
              <w:t>Jews</w:t>
            </w:r>
          </w:p>
        </w:tc>
        <w:tc>
          <w:tcPr>
            <w:tcW w:w="1037" w:type="dxa"/>
          </w:tcPr>
          <w:p>
            <w:pPr>
              <w:pStyle w:val="TableParagraph"/>
              <w:rPr>
                <w:sz w:val="16"/>
              </w:rPr>
            </w:pPr>
            <w:r>
              <w:rPr>
                <w:spacing w:val="-5"/>
                <w:sz w:val="16"/>
              </w:rPr>
              <w:t>77</w:t>
            </w:r>
          </w:p>
        </w:tc>
        <w:tc>
          <w:tcPr>
            <w:tcW w:w="1037" w:type="dxa"/>
          </w:tcPr>
          <w:p>
            <w:pPr>
              <w:pStyle w:val="TableParagraph"/>
              <w:rPr>
                <w:sz w:val="16"/>
              </w:rPr>
            </w:pPr>
            <w:r>
              <w:rPr>
                <w:spacing w:val="-5"/>
                <w:sz w:val="16"/>
              </w:rPr>
              <w:t>5.2</w:t>
            </w:r>
          </w:p>
        </w:tc>
        <w:tc>
          <w:tcPr>
            <w:tcW w:w="1095" w:type="dxa"/>
          </w:tcPr>
          <w:p>
            <w:pPr>
              <w:pStyle w:val="TableParagraph"/>
              <w:rPr>
                <w:sz w:val="16"/>
              </w:rPr>
            </w:pPr>
            <w:r>
              <w:rPr>
                <w:spacing w:val="-4"/>
                <w:sz w:val="16"/>
              </w:rPr>
              <w:t>11.7</w:t>
            </w:r>
          </w:p>
        </w:tc>
        <w:tc>
          <w:tcPr>
            <w:tcW w:w="1095" w:type="dxa"/>
          </w:tcPr>
          <w:p>
            <w:pPr>
              <w:pStyle w:val="TableParagraph"/>
              <w:ind w:left="106"/>
              <w:rPr>
                <w:sz w:val="16"/>
              </w:rPr>
            </w:pPr>
            <w:r>
              <w:rPr>
                <w:spacing w:val="-4"/>
                <w:sz w:val="16"/>
              </w:rPr>
              <w:t>14.6</w:t>
            </w:r>
          </w:p>
        </w:tc>
        <w:tc>
          <w:tcPr>
            <w:tcW w:w="1095" w:type="dxa"/>
          </w:tcPr>
          <w:p>
            <w:pPr>
              <w:pStyle w:val="TableParagraph"/>
              <w:ind w:left="106"/>
              <w:rPr>
                <w:sz w:val="16"/>
              </w:rPr>
            </w:pPr>
            <w:r>
              <w:rPr>
                <w:spacing w:val="-4"/>
                <w:sz w:val="16"/>
              </w:rPr>
              <w:t>23.2</w:t>
            </w:r>
          </w:p>
        </w:tc>
      </w:tr>
      <w:tr>
        <w:trPr>
          <w:trHeight w:val="246" w:hRule="atLeast"/>
        </w:trPr>
        <w:tc>
          <w:tcPr>
            <w:tcW w:w="3672" w:type="dxa"/>
          </w:tcPr>
          <w:p>
            <w:pPr>
              <w:pStyle w:val="TableParagraph"/>
              <w:rPr>
                <w:sz w:val="16"/>
              </w:rPr>
            </w:pPr>
            <w:r>
              <w:rPr>
                <w:sz w:val="16"/>
              </w:rPr>
              <w:t>Italian,</w:t>
            </w:r>
            <w:r>
              <w:rPr>
                <w:spacing w:val="-7"/>
                <w:sz w:val="16"/>
              </w:rPr>
              <w:t> </w:t>
            </w:r>
            <w:r>
              <w:rPr>
                <w:spacing w:val="-2"/>
                <w:sz w:val="16"/>
              </w:rPr>
              <w:t>Apulia</w:t>
            </w:r>
          </w:p>
        </w:tc>
        <w:tc>
          <w:tcPr>
            <w:tcW w:w="1037" w:type="dxa"/>
          </w:tcPr>
          <w:p>
            <w:pPr>
              <w:pStyle w:val="TableParagraph"/>
              <w:rPr>
                <w:sz w:val="16"/>
              </w:rPr>
            </w:pPr>
            <w:r>
              <w:rPr>
                <w:spacing w:val="-5"/>
                <w:sz w:val="16"/>
              </w:rPr>
              <w:t>86</w:t>
            </w:r>
          </w:p>
        </w:tc>
        <w:tc>
          <w:tcPr>
            <w:tcW w:w="1037" w:type="dxa"/>
          </w:tcPr>
          <w:p>
            <w:pPr>
              <w:pStyle w:val="TableParagraph"/>
              <w:rPr>
                <w:sz w:val="16"/>
              </w:rPr>
            </w:pPr>
            <w:r>
              <w:rPr>
                <w:spacing w:val="-5"/>
                <w:sz w:val="16"/>
              </w:rPr>
              <w:t>0.0</w:t>
            </w:r>
          </w:p>
        </w:tc>
        <w:tc>
          <w:tcPr>
            <w:tcW w:w="1095" w:type="dxa"/>
          </w:tcPr>
          <w:p>
            <w:pPr>
              <w:pStyle w:val="TableParagraph"/>
              <w:rPr>
                <w:sz w:val="16"/>
              </w:rPr>
            </w:pPr>
            <w:r>
              <w:rPr>
                <w:spacing w:val="-4"/>
                <w:sz w:val="16"/>
              </w:rPr>
              <w:t>11.6</w:t>
            </w:r>
          </w:p>
        </w:tc>
        <w:tc>
          <w:tcPr>
            <w:tcW w:w="1095" w:type="dxa"/>
          </w:tcPr>
          <w:p>
            <w:pPr>
              <w:pStyle w:val="TableParagraph"/>
              <w:ind w:left="106"/>
              <w:rPr>
                <w:sz w:val="16"/>
              </w:rPr>
            </w:pPr>
            <w:r>
              <w:rPr>
                <w:spacing w:val="-5"/>
                <w:sz w:val="16"/>
              </w:rPr>
              <w:t>2.3</w:t>
            </w:r>
          </w:p>
        </w:tc>
        <w:tc>
          <w:tcPr>
            <w:tcW w:w="1095" w:type="dxa"/>
          </w:tcPr>
          <w:p>
            <w:pPr>
              <w:pStyle w:val="TableParagraph"/>
              <w:ind w:left="106"/>
              <w:rPr>
                <w:sz w:val="16"/>
              </w:rPr>
            </w:pPr>
            <w:r>
              <w:rPr>
                <w:spacing w:val="-4"/>
                <w:sz w:val="16"/>
              </w:rPr>
              <w:t>29.1</w:t>
            </w:r>
          </w:p>
        </w:tc>
      </w:tr>
      <w:tr>
        <w:trPr>
          <w:trHeight w:val="249" w:hRule="atLeast"/>
        </w:trPr>
        <w:tc>
          <w:tcPr>
            <w:tcW w:w="3672" w:type="dxa"/>
          </w:tcPr>
          <w:p>
            <w:pPr>
              <w:pStyle w:val="TableParagraph"/>
              <w:rPr>
                <w:sz w:val="16"/>
              </w:rPr>
            </w:pPr>
            <w:r>
              <w:rPr>
                <w:sz w:val="16"/>
              </w:rPr>
              <w:t>Italian,</w:t>
            </w:r>
            <w:r>
              <w:rPr>
                <w:spacing w:val="-7"/>
                <w:sz w:val="16"/>
              </w:rPr>
              <w:t> </w:t>
            </w:r>
            <w:r>
              <w:rPr>
                <w:sz w:val="16"/>
              </w:rPr>
              <w:t>Calabria</w:t>
            </w:r>
            <w:r>
              <w:rPr>
                <w:spacing w:val="-4"/>
                <w:sz w:val="16"/>
              </w:rPr>
              <w:t> </w:t>
            </w:r>
            <w:r>
              <w:rPr>
                <w:spacing w:val="-10"/>
                <w:sz w:val="16"/>
              </w:rPr>
              <w:t>1</w:t>
            </w:r>
          </w:p>
        </w:tc>
        <w:tc>
          <w:tcPr>
            <w:tcW w:w="1037" w:type="dxa"/>
          </w:tcPr>
          <w:p>
            <w:pPr>
              <w:pStyle w:val="TableParagraph"/>
              <w:rPr>
                <w:sz w:val="16"/>
              </w:rPr>
            </w:pPr>
            <w:r>
              <w:rPr>
                <w:spacing w:val="-5"/>
                <w:sz w:val="16"/>
              </w:rPr>
              <w:t>80</w:t>
            </w:r>
          </w:p>
        </w:tc>
        <w:tc>
          <w:tcPr>
            <w:tcW w:w="1037" w:type="dxa"/>
          </w:tcPr>
          <w:p>
            <w:pPr>
              <w:pStyle w:val="TableParagraph"/>
              <w:rPr>
                <w:sz w:val="16"/>
              </w:rPr>
            </w:pPr>
            <w:r>
              <w:rPr>
                <w:spacing w:val="-4"/>
                <w:sz w:val="16"/>
              </w:rPr>
              <w:t>16.3</w:t>
            </w:r>
          </w:p>
        </w:tc>
        <w:tc>
          <w:tcPr>
            <w:tcW w:w="1095" w:type="dxa"/>
          </w:tcPr>
          <w:p>
            <w:pPr>
              <w:pStyle w:val="TableParagraph"/>
              <w:rPr>
                <w:sz w:val="16"/>
              </w:rPr>
            </w:pPr>
            <w:r>
              <w:rPr>
                <w:spacing w:val="-5"/>
                <w:sz w:val="16"/>
              </w:rPr>
              <w:t>2.5</w:t>
            </w:r>
          </w:p>
        </w:tc>
        <w:tc>
          <w:tcPr>
            <w:tcW w:w="1095" w:type="dxa"/>
          </w:tcPr>
          <w:p>
            <w:pPr>
              <w:pStyle w:val="TableParagraph"/>
              <w:ind w:left="106"/>
              <w:rPr>
                <w:sz w:val="16"/>
              </w:rPr>
            </w:pPr>
            <w:r>
              <w:rPr>
                <w:spacing w:val="-5"/>
                <w:sz w:val="16"/>
              </w:rPr>
              <w:t>1.8</w:t>
            </w:r>
          </w:p>
        </w:tc>
        <w:tc>
          <w:tcPr>
            <w:tcW w:w="1095" w:type="dxa"/>
          </w:tcPr>
          <w:p>
            <w:pPr>
              <w:pStyle w:val="TableParagraph"/>
              <w:ind w:left="106"/>
              <w:rPr>
                <w:sz w:val="16"/>
              </w:rPr>
            </w:pPr>
            <w:r>
              <w:rPr>
                <w:spacing w:val="-4"/>
                <w:sz w:val="16"/>
              </w:rPr>
              <w:t>22.8</w:t>
            </w:r>
          </w:p>
        </w:tc>
      </w:tr>
      <w:tr>
        <w:trPr>
          <w:trHeight w:val="246" w:hRule="atLeast"/>
        </w:trPr>
        <w:tc>
          <w:tcPr>
            <w:tcW w:w="3672" w:type="dxa"/>
          </w:tcPr>
          <w:p>
            <w:pPr>
              <w:pStyle w:val="TableParagraph"/>
              <w:rPr>
                <w:sz w:val="16"/>
              </w:rPr>
            </w:pPr>
            <w:r>
              <w:rPr>
                <w:sz w:val="16"/>
              </w:rPr>
              <w:t>Italian,</w:t>
            </w:r>
            <w:r>
              <w:rPr>
                <w:spacing w:val="-7"/>
                <w:sz w:val="16"/>
              </w:rPr>
              <w:t> </w:t>
            </w:r>
            <w:r>
              <w:rPr>
                <w:sz w:val="16"/>
              </w:rPr>
              <w:t>Calabria</w:t>
            </w:r>
            <w:r>
              <w:rPr>
                <w:spacing w:val="-4"/>
                <w:sz w:val="16"/>
              </w:rPr>
              <w:t> </w:t>
            </w:r>
            <w:r>
              <w:rPr>
                <w:sz w:val="16"/>
              </w:rPr>
              <w:t>2,</w:t>
            </w:r>
            <w:r>
              <w:rPr>
                <w:spacing w:val="-6"/>
                <w:sz w:val="16"/>
              </w:rPr>
              <w:t> </w:t>
            </w:r>
            <w:r>
              <w:rPr>
                <w:sz w:val="16"/>
              </w:rPr>
              <w:t>Albanian</w:t>
            </w:r>
            <w:r>
              <w:rPr>
                <w:spacing w:val="-6"/>
                <w:sz w:val="16"/>
              </w:rPr>
              <w:t> </w:t>
            </w:r>
            <w:r>
              <w:rPr>
                <w:sz w:val="16"/>
              </w:rPr>
              <w:t>community,</w:t>
            </w:r>
            <w:r>
              <w:rPr>
                <w:spacing w:val="-6"/>
                <w:sz w:val="16"/>
              </w:rPr>
              <w:t> </w:t>
            </w:r>
            <w:r>
              <w:rPr>
                <w:spacing w:val="-2"/>
                <w:sz w:val="16"/>
              </w:rPr>
              <w:t>Cosenza</w:t>
            </w:r>
          </w:p>
        </w:tc>
        <w:tc>
          <w:tcPr>
            <w:tcW w:w="1037" w:type="dxa"/>
          </w:tcPr>
          <w:p>
            <w:pPr>
              <w:pStyle w:val="TableParagraph"/>
              <w:rPr>
                <w:sz w:val="16"/>
              </w:rPr>
            </w:pPr>
            <w:r>
              <w:rPr>
                <w:spacing w:val="-5"/>
                <w:sz w:val="16"/>
              </w:rPr>
              <w:t>68</w:t>
            </w:r>
          </w:p>
        </w:tc>
        <w:tc>
          <w:tcPr>
            <w:tcW w:w="1037" w:type="dxa"/>
          </w:tcPr>
          <w:p>
            <w:pPr>
              <w:pStyle w:val="TableParagraph"/>
              <w:rPr>
                <w:sz w:val="16"/>
              </w:rPr>
            </w:pPr>
            <w:r>
              <w:rPr>
                <w:spacing w:val="-5"/>
                <w:sz w:val="16"/>
              </w:rPr>
              <w:t>5.9</w:t>
            </w:r>
          </w:p>
        </w:tc>
        <w:tc>
          <w:tcPr>
            <w:tcW w:w="1095" w:type="dxa"/>
          </w:tcPr>
          <w:p>
            <w:pPr>
              <w:pStyle w:val="TableParagraph"/>
              <w:rPr>
                <w:sz w:val="16"/>
              </w:rPr>
            </w:pPr>
            <w:r>
              <w:rPr>
                <w:spacing w:val="-4"/>
                <w:sz w:val="16"/>
              </w:rPr>
              <w:t>13.2</w:t>
            </w:r>
          </w:p>
        </w:tc>
        <w:tc>
          <w:tcPr>
            <w:tcW w:w="1095" w:type="dxa"/>
          </w:tcPr>
          <w:p>
            <w:pPr>
              <w:pStyle w:val="TableParagraph"/>
              <w:ind w:left="106"/>
              <w:rPr>
                <w:sz w:val="16"/>
              </w:rPr>
            </w:pPr>
            <w:r>
              <w:rPr>
                <w:spacing w:val="-5"/>
                <w:sz w:val="16"/>
              </w:rPr>
              <w:t>0.0</w:t>
            </w:r>
          </w:p>
        </w:tc>
        <w:tc>
          <w:tcPr>
            <w:tcW w:w="1095" w:type="dxa"/>
          </w:tcPr>
          <w:p>
            <w:pPr>
              <w:pStyle w:val="TableParagraph"/>
              <w:ind w:left="106"/>
              <w:rPr>
                <w:sz w:val="16"/>
              </w:rPr>
            </w:pPr>
            <w:r>
              <w:rPr>
                <w:spacing w:val="-4"/>
                <w:sz w:val="16"/>
              </w:rPr>
              <w:t>20.0</w:t>
            </w:r>
          </w:p>
        </w:tc>
      </w:tr>
      <w:tr>
        <w:trPr>
          <w:trHeight w:val="246" w:hRule="atLeast"/>
        </w:trPr>
        <w:tc>
          <w:tcPr>
            <w:tcW w:w="3672" w:type="dxa"/>
          </w:tcPr>
          <w:p>
            <w:pPr>
              <w:pStyle w:val="TableParagraph"/>
              <w:rPr>
                <w:sz w:val="16"/>
              </w:rPr>
            </w:pPr>
            <w:r>
              <w:rPr>
                <w:sz w:val="16"/>
              </w:rPr>
              <w:t>Italian,</w:t>
            </w:r>
            <w:r>
              <w:rPr>
                <w:spacing w:val="-7"/>
                <w:sz w:val="16"/>
              </w:rPr>
              <w:t> </w:t>
            </w:r>
            <w:r>
              <w:rPr>
                <w:spacing w:val="-2"/>
                <w:sz w:val="16"/>
              </w:rPr>
              <w:t>Sicily</w:t>
            </w:r>
          </w:p>
        </w:tc>
        <w:tc>
          <w:tcPr>
            <w:tcW w:w="1037" w:type="dxa"/>
          </w:tcPr>
          <w:p>
            <w:pPr>
              <w:pStyle w:val="TableParagraph"/>
              <w:rPr>
                <w:sz w:val="16"/>
              </w:rPr>
            </w:pPr>
            <w:r>
              <w:rPr>
                <w:spacing w:val="-5"/>
                <w:sz w:val="16"/>
              </w:rPr>
              <w:t>55</w:t>
            </w:r>
          </w:p>
        </w:tc>
        <w:tc>
          <w:tcPr>
            <w:tcW w:w="1037" w:type="dxa"/>
          </w:tcPr>
          <w:p>
            <w:pPr>
              <w:pStyle w:val="TableParagraph"/>
              <w:rPr>
                <w:sz w:val="16"/>
              </w:rPr>
            </w:pPr>
            <w:r>
              <w:rPr>
                <w:spacing w:val="-4"/>
                <w:sz w:val="16"/>
              </w:rPr>
              <w:t>12.7</w:t>
            </w:r>
          </w:p>
        </w:tc>
        <w:tc>
          <w:tcPr>
            <w:tcW w:w="1095" w:type="dxa"/>
          </w:tcPr>
          <w:p>
            <w:pPr>
              <w:pStyle w:val="TableParagraph"/>
              <w:rPr>
                <w:sz w:val="16"/>
              </w:rPr>
            </w:pPr>
            <w:r>
              <w:rPr>
                <w:spacing w:val="-5"/>
                <w:sz w:val="16"/>
              </w:rPr>
              <w:t>3.6</w:t>
            </w:r>
          </w:p>
        </w:tc>
        <w:tc>
          <w:tcPr>
            <w:tcW w:w="1095" w:type="dxa"/>
          </w:tcPr>
          <w:p>
            <w:pPr>
              <w:pStyle w:val="TableParagraph"/>
              <w:ind w:left="106"/>
              <w:rPr>
                <w:sz w:val="16"/>
              </w:rPr>
            </w:pPr>
            <w:r>
              <w:rPr>
                <w:spacing w:val="-5"/>
                <w:sz w:val="16"/>
              </w:rPr>
              <w:t>7.1</w:t>
            </w:r>
          </w:p>
        </w:tc>
        <w:tc>
          <w:tcPr>
            <w:tcW w:w="1095" w:type="dxa"/>
          </w:tcPr>
          <w:p>
            <w:pPr>
              <w:pStyle w:val="TableParagraph"/>
              <w:ind w:left="106"/>
              <w:rPr>
                <w:sz w:val="16"/>
              </w:rPr>
            </w:pPr>
            <w:r>
              <w:rPr>
                <w:spacing w:val="-4"/>
                <w:sz w:val="16"/>
              </w:rPr>
              <w:t>16.7</w:t>
            </w:r>
          </w:p>
        </w:tc>
      </w:tr>
    </w:tbl>
    <w:p>
      <w:pPr>
        <w:spacing w:before="62"/>
        <w:ind w:left="131" w:right="148" w:firstLine="0"/>
        <w:jc w:val="left"/>
        <w:rPr>
          <w:sz w:val="18"/>
        </w:rPr>
      </w:pPr>
      <w:r>
        <w:rPr>
          <w:sz w:val="18"/>
        </w:rPr>
        <w:t>Table 5. Semino et al. (2004) Y-chromosomal frequencies for Ashkenazi Jews and Southern Italian regional samples.</w:t>
      </w:r>
      <w:r>
        <w:rPr>
          <w:spacing w:val="40"/>
          <w:sz w:val="18"/>
        </w:rPr>
        <w:t> </w:t>
      </w:r>
      <w:r>
        <w:rPr>
          <w:sz w:val="18"/>
        </w:rPr>
        <w:t>Frequencies</w:t>
      </w:r>
      <w:r>
        <w:rPr>
          <w:spacing w:val="-2"/>
          <w:sz w:val="18"/>
        </w:rPr>
        <w:t> </w:t>
      </w:r>
      <w:r>
        <w:rPr>
          <w:sz w:val="18"/>
        </w:rPr>
        <w:t>are</w:t>
      </w:r>
      <w:r>
        <w:rPr>
          <w:spacing w:val="-3"/>
          <w:sz w:val="18"/>
        </w:rPr>
        <w:t> </w:t>
      </w:r>
      <w:r>
        <w:rPr>
          <w:sz w:val="18"/>
        </w:rPr>
        <w:t>percentages.</w:t>
      </w:r>
      <w:r>
        <w:rPr>
          <w:spacing w:val="-2"/>
          <w:sz w:val="18"/>
        </w:rPr>
        <w:t> </w:t>
      </w:r>
      <w:r>
        <w:rPr>
          <w:sz w:val="18"/>
        </w:rPr>
        <w:t>Regional</w:t>
      </w:r>
      <w:r>
        <w:rPr>
          <w:spacing w:val="-5"/>
          <w:sz w:val="18"/>
        </w:rPr>
        <w:t> </w:t>
      </w:r>
      <w:r>
        <w:rPr>
          <w:sz w:val="18"/>
        </w:rPr>
        <w:t>overlap</w:t>
      </w:r>
      <w:r>
        <w:rPr>
          <w:spacing w:val="-3"/>
          <w:sz w:val="18"/>
        </w:rPr>
        <w:t> </w:t>
      </w:r>
      <w:r>
        <w:rPr>
          <w:sz w:val="18"/>
        </w:rPr>
        <w:t>and</w:t>
      </w:r>
      <w:r>
        <w:rPr>
          <w:spacing w:val="-1"/>
          <w:sz w:val="18"/>
        </w:rPr>
        <w:t> </w:t>
      </w:r>
      <w:r>
        <w:rPr>
          <w:sz w:val="18"/>
        </w:rPr>
        <w:t>heterogeneity</w:t>
      </w:r>
      <w:r>
        <w:rPr>
          <w:spacing w:val="-1"/>
          <w:sz w:val="18"/>
        </w:rPr>
        <w:t> </w:t>
      </w:r>
      <w:r>
        <w:rPr>
          <w:sz w:val="18"/>
        </w:rPr>
        <w:t>do</w:t>
      </w:r>
      <w:r>
        <w:rPr>
          <w:spacing w:val="-3"/>
          <w:sz w:val="18"/>
        </w:rPr>
        <w:t> </w:t>
      </w:r>
      <w:r>
        <w:rPr>
          <w:sz w:val="18"/>
        </w:rPr>
        <w:t>not</w:t>
      </w:r>
      <w:r>
        <w:rPr>
          <w:spacing w:val="-2"/>
          <w:sz w:val="18"/>
        </w:rPr>
        <w:t> </w:t>
      </w:r>
      <w:r>
        <w:rPr>
          <w:sz w:val="18"/>
        </w:rPr>
        <w:t>prove</w:t>
      </w:r>
      <w:r>
        <w:rPr>
          <w:spacing w:val="-3"/>
          <w:sz w:val="18"/>
        </w:rPr>
        <w:t> </w:t>
      </w:r>
      <w:r>
        <w:rPr>
          <w:sz w:val="18"/>
        </w:rPr>
        <w:t>a</w:t>
      </w:r>
      <w:r>
        <w:rPr>
          <w:spacing w:val="-1"/>
          <w:sz w:val="18"/>
        </w:rPr>
        <w:t> </w:t>
      </w:r>
      <w:r>
        <w:rPr>
          <w:sz w:val="18"/>
        </w:rPr>
        <w:t>unique</w:t>
      </w:r>
      <w:r>
        <w:rPr>
          <w:spacing w:val="-3"/>
          <w:sz w:val="18"/>
        </w:rPr>
        <w:t> </w:t>
      </w:r>
      <w:r>
        <w:rPr>
          <w:sz w:val="18"/>
        </w:rPr>
        <w:t>source</w:t>
      </w:r>
      <w:r>
        <w:rPr>
          <w:spacing w:val="-1"/>
          <w:sz w:val="18"/>
        </w:rPr>
        <w:t> </w:t>
      </w:r>
      <w:r>
        <w:rPr>
          <w:sz w:val="18"/>
        </w:rPr>
        <w:t>population,</w:t>
      </w:r>
      <w:r>
        <w:rPr>
          <w:spacing w:val="-2"/>
          <w:sz w:val="18"/>
        </w:rPr>
        <w:t> </w:t>
      </w:r>
      <w:r>
        <w:rPr>
          <w:sz w:val="18"/>
        </w:rPr>
        <w:t>but</w:t>
      </w:r>
      <w:r>
        <w:rPr>
          <w:spacing w:val="-2"/>
          <w:sz w:val="18"/>
        </w:rPr>
        <w:t> </w:t>
      </w:r>
      <w:r>
        <w:rPr>
          <w:sz w:val="18"/>
        </w:rPr>
        <w:t>they</w:t>
      </w:r>
      <w:r>
        <w:rPr>
          <w:spacing w:val="-1"/>
          <w:sz w:val="18"/>
        </w:rPr>
        <w:t> </w:t>
      </w:r>
      <w:r>
        <w:rPr>
          <w:sz w:val="18"/>
        </w:rPr>
        <w:t>prevent</w:t>
      </w:r>
      <w:r>
        <w:rPr>
          <w:spacing w:val="40"/>
          <w:sz w:val="18"/>
        </w:rPr>
        <w:t> </w:t>
      </w:r>
      <w:r>
        <w:rPr>
          <w:sz w:val="18"/>
        </w:rPr>
        <w:t>broadly Mediterranean lineages from being assigned to the Levant by default.</w:t>
      </w:r>
    </w:p>
    <w:p>
      <w:pPr>
        <w:pStyle w:val="Heading2"/>
        <w:numPr>
          <w:ilvl w:val="1"/>
          <w:numId w:val="1"/>
        </w:numPr>
        <w:tabs>
          <w:tab w:pos="482" w:val="left" w:leader="none"/>
        </w:tabs>
        <w:spacing w:line="240" w:lineRule="auto" w:before="181" w:after="0"/>
        <w:ind w:left="482" w:right="0" w:hanging="351"/>
        <w:jc w:val="both"/>
      </w:pPr>
      <w:r>
        <w:rPr/>
        <w:t>Implications</w:t>
      </w:r>
      <w:r>
        <w:rPr>
          <w:spacing w:val="-7"/>
        </w:rPr>
        <w:t> </w:t>
      </w:r>
      <w:r>
        <w:rPr/>
        <w:t>for</w:t>
      </w:r>
      <w:r>
        <w:rPr>
          <w:spacing w:val="-6"/>
        </w:rPr>
        <w:t> </w:t>
      </w:r>
      <w:r>
        <w:rPr/>
        <w:t>future</w:t>
      </w:r>
      <w:r>
        <w:rPr>
          <w:spacing w:val="-7"/>
        </w:rPr>
        <w:t> </w:t>
      </w:r>
      <w:r>
        <w:rPr/>
        <w:t>population-genetic</w:t>
      </w:r>
      <w:r>
        <w:rPr>
          <w:spacing w:val="-6"/>
        </w:rPr>
        <w:t> </w:t>
      </w:r>
      <w:r>
        <w:rPr>
          <w:spacing w:val="-2"/>
        </w:rPr>
        <w:t>studies</w:t>
      </w:r>
    </w:p>
    <w:p>
      <w:pPr>
        <w:pStyle w:val="BodyText"/>
        <w:spacing w:line="259" w:lineRule="auto" w:before="102"/>
        <w:ind w:right="126"/>
      </w:pPr>
      <w:r>
        <w:rPr/>
        <w:t>Studies</w:t>
      </w:r>
      <w:r>
        <w:rPr>
          <w:spacing w:val="-2"/>
        </w:rPr>
        <w:t> </w:t>
      </w:r>
      <w:r>
        <w:rPr/>
        <w:t>of</w:t>
      </w:r>
      <w:r>
        <w:rPr>
          <w:spacing w:val="-1"/>
        </w:rPr>
        <w:t> </w:t>
      </w:r>
      <w:r>
        <w:rPr/>
        <w:t>Ashkenazi</w:t>
      </w:r>
      <w:r>
        <w:rPr>
          <w:spacing w:val="-3"/>
        </w:rPr>
        <w:t> </w:t>
      </w:r>
      <w:r>
        <w:rPr/>
        <w:t>origins</w:t>
      </w:r>
      <w:r>
        <w:rPr>
          <w:spacing w:val="-2"/>
        </w:rPr>
        <w:t> </w:t>
      </w:r>
      <w:r>
        <w:rPr/>
        <w:t>should</w:t>
      </w:r>
      <w:r>
        <w:rPr>
          <w:spacing w:val="-2"/>
        </w:rPr>
        <w:t> </w:t>
      </w:r>
      <w:r>
        <w:rPr/>
        <w:t>include</w:t>
      </w:r>
      <w:r>
        <w:rPr>
          <w:spacing w:val="-2"/>
        </w:rPr>
        <w:t> </w:t>
      </w:r>
      <w:r>
        <w:rPr/>
        <w:t>Southern</w:t>
      </w:r>
      <w:r>
        <w:rPr>
          <w:spacing w:val="-2"/>
        </w:rPr>
        <w:t> </w:t>
      </w:r>
      <w:r>
        <w:rPr/>
        <w:t>Italian,</w:t>
      </w:r>
      <w:r>
        <w:rPr>
          <w:spacing w:val="-2"/>
        </w:rPr>
        <w:t> </w:t>
      </w:r>
      <w:r>
        <w:rPr/>
        <w:t>Sicilian,</w:t>
      </w:r>
      <w:r>
        <w:rPr>
          <w:spacing w:val="-2"/>
        </w:rPr>
        <w:t> </w:t>
      </w:r>
      <w:r>
        <w:rPr/>
        <w:t>Maltese,</w:t>
      </w:r>
      <w:r>
        <w:rPr>
          <w:spacing w:val="-2"/>
        </w:rPr>
        <w:t> </w:t>
      </w:r>
      <w:r>
        <w:rPr/>
        <w:t>Aegean,</w:t>
      </w:r>
      <w:r>
        <w:rPr>
          <w:spacing w:val="-2"/>
        </w:rPr>
        <w:t> </w:t>
      </w:r>
      <w:r>
        <w:rPr/>
        <w:t>and</w:t>
      </w:r>
      <w:r>
        <w:rPr>
          <w:spacing w:val="-2"/>
        </w:rPr>
        <w:t> </w:t>
      </w:r>
      <w:r>
        <w:rPr/>
        <w:t>Italian</w:t>
      </w:r>
      <w:r>
        <w:rPr>
          <w:spacing w:val="-2"/>
        </w:rPr>
        <w:t> </w:t>
      </w:r>
      <w:r>
        <w:rPr/>
        <w:t>Jewish comparators directly rather than treating Northern Italian, Tuscan, or Sardinian populations as interchangeable representatives of Italy. Analyses should report matched source-panel perturbations, source counts, sample sizes, coordinate or genotype provenance, and the change in fit when relevant comparators are removed.</w:t>
      </w:r>
    </w:p>
    <w:p>
      <w:pPr>
        <w:pStyle w:val="BodyText"/>
        <w:spacing w:line="256" w:lineRule="auto" w:before="101"/>
        <w:ind w:right="123"/>
      </w:pPr>
      <w:r>
        <w:rPr/>
        <w:t>The present results motivate raw-genotype replication rather than replacing it. A future analysis should use individual-level data with documented SNP and sample quality control, explicit linkage-disequilibrium treatment, alternative outgroup configurations where appropriate, jackknife or bootstrap uncertainty, and ancient genomes from Mediterranean Jewish communities. Such work can test whether the directional</w:t>
      </w:r>
      <w:r>
        <w:rPr>
          <w:spacing w:val="40"/>
        </w:rPr>
        <w:t> </w:t>
      </w:r>
      <w:r>
        <w:rPr/>
        <w:t>panel effects observed here persist in formal genotype-based models.</w:t>
      </w:r>
    </w:p>
    <w:p>
      <w:pPr>
        <w:pStyle w:val="BodyText"/>
        <w:spacing w:before="24"/>
        <w:ind w:left="0" w:firstLine="0"/>
        <w:jc w:val="left"/>
      </w:pPr>
    </w:p>
    <w:p>
      <w:pPr>
        <w:pStyle w:val="Heading1"/>
        <w:numPr>
          <w:ilvl w:val="0"/>
          <w:numId w:val="1"/>
        </w:numPr>
        <w:tabs>
          <w:tab w:pos="383" w:val="left" w:leader="none"/>
        </w:tabs>
        <w:spacing w:line="240" w:lineRule="auto" w:before="0" w:after="0"/>
        <w:ind w:left="383" w:right="0" w:hanging="252"/>
        <w:jc w:val="both"/>
      </w:pPr>
      <w:r>
        <w:rPr>
          <w:spacing w:val="-2"/>
        </w:rPr>
        <w:t>Limitations</w:t>
      </w:r>
    </w:p>
    <w:p>
      <w:pPr>
        <w:pStyle w:val="BodyText"/>
        <w:spacing w:line="256" w:lineRule="auto" w:before="146"/>
        <w:ind w:right="125"/>
      </w:pPr>
      <w:r>
        <w:rPr/>
        <w:t>Global25 is a compressed coordinate representation. The study cannot audit or repeat the upstream marker-level quality-control and linkage-disequilibrium procedures from the coordinates alone.</w:t>
      </w:r>
    </w:p>
    <w:p>
      <w:pPr>
        <w:pStyle w:val="BodyText"/>
        <w:spacing w:line="259" w:lineRule="auto" w:before="104"/>
        <w:ind w:right="125"/>
      </w:pPr>
      <w:r>
        <w:rPr/>
        <w:t>The calculator outputs constrained similarity weights without formal confidence intervals. Correlated sources can substitute for one another, and individual coefficients are not literal historical ancestry </w:t>
      </w:r>
      <w:r>
        <w:rPr>
          <w:spacing w:val="-2"/>
        </w:rPr>
        <w:t>percentages.</w:t>
      </w:r>
    </w:p>
    <w:p>
      <w:pPr>
        <w:pStyle w:val="BodyText"/>
        <w:spacing w:line="256" w:lineRule="auto" w:before="100"/>
        <w:ind w:right="124"/>
      </w:pPr>
      <w:r>
        <w:rPr/>
        <w:t>Several</w:t>
      </w:r>
      <w:r>
        <w:rPr>
          <w:spacing w:val="-2"/>
        </w:rPr>
        <w:t> </w:t>
      </w:r>
      <w:r>
        <w:rPr/>
        <w:t>population</w:t>
      </w:r>
      <w:r>
        <w:rPr>
          <w:spacing w:val="-2"/>
        </w:rPr>
        <w:t> </w:t>
      </w:r>
      <w:r>
        <w:rPr/>
        <w:t>averages</w:t>
      </w:r>
      <w:r>
        <w:rPr>
          <w:spacing w:val="-2"/>
        </w:rPr>
        <w:t> </w:t>
      </w:r>
      <w:r>
        <w:rPr/>
        <w:t>have</w:t>
      </w:r>
      <w:r>
        <w:rPr>
          <w:spacing w:val="-2"/>
        </w:rPr>
        <w:t> </w:t>
      </w:r>
      <w:r>
        <w:rPr/>
        <w:t>small</w:t>
      </w:r>
      <w:r>
        <w:rPr>
          <w:spacing w:val="-2"/>
        </w:rPr>
        <w:t> </w:t>
      </w:r>
      <w:r>
        <w:rPr/>
        <w:t>or</w:t>
      </w:r>
      <w:r>
        <w:rPr>
          <w:spacing w:val="-3"/>
        </w:rPr>
        <w:t> </w:t>
      </w:r>
      <w:r>
        <w:rPr/>
        <w:t>unequal</w:t>
      </w:r>
      <w:r>
        <w:rPr>
          <w:spacing w:val="-2"/>
        </w:rPr>
        <w:t> </w:t>
      </w:r>
      <w:r>
        <w:rPr/>
        <w:t>sample</w:t>
      </w:r>
      <w:r>
        <w:rPr>
          <w:spacing w:val="-2"/>
        </w:rPr>
        <w:t> </w:t>
      </w:r>
      <w:r>
        <w:rPr/>
        <w:t>sizes,</w:t>
      </w:r>
      <w:r>
        <w:rPr>
          <w:spacing w:val="-2"/>
        </w:rPr>
        <w:t> </w:t>
      </w:r>
      <w:r>
        <w:rPr/>
        <w:t>including</w:t>
      </w:r>
      <w:r>
        <w:rPr>
          <w:spacing w:val="-1"/>
        </w:rPr>
        <w:t> </w:t>
      </w:r>
      <w:r>
        <w:rPr/>
        <w:t>regional</w:t>
      </w:r>
      <w:r>
        <w:rPr>
          <w:spacing w:val="-2"/>
        </w:rPr>
        <w:t> </w:t>
      </w:r>
      <w:r>
        <w:rPr/>
        <w:t>targets</w:t>
      </w:r>
      <w:r>
        <w:rPr>
          <w:spacing w:val="-2"/>
        </w:rPr>
        <w:t> </w:t>
      </w:r>
      <w:r>
        <w:rPr/>
        <w:t>with</w:t>
      </w:r>
      <w:r>
        <w:rPr>
          <w:spacing w:val="-1"/>
        </w:rPr>
        <w:t> </w:t>
      </w:r>
      <w:r>
        <w:rPr/>
        <w:t>n=2</w:t>
      </w:r>
      <w:r>
        <w:rPr>
          <w:spacing w:val="-1"/>
        </w:rPr>
        <w:t> </w:t>
      </w:r>
      <w:r>
        <w:rPr/>
        <w:t>and the Italki average with n=9. Stability is therefore interpreted at the category level rather than as precision for any single regional coefficient.</w:t>
      </w:r>
    </w:p>
    <w:p>
      <w:pPr>
        <w:pStyle w:val="BodyText"/>
        <w:spacing w:line="254" w:lineRule="auto" w:before="107"/>
        <w:ind w:right="126"/>
      </w:pPr>
      <w:r>
        <w:rPr/>
        <w:t>Modern</w:t>
      </w:r>
      <w:r>
        <w:rPr>
          <w:spacing w:val="-2"/>
        </w:rPr>
        <w:t> </w:t>
      </w:r>
      <w:r>
        <w:rPr/>
        <w:t>populations</w:t>
      </w:r>
      <w:r>
        <w:rPr>
          <w:spacing w:val="-1"/>
        </w:rPr>
        <w:t> </w:t>
      </w:r>
      <w:r>
        <w:rPr/>
        <w:t>are</w:t>
      </w:r>
      <w:r>
        <w:rPr>
          <w:spacing w:val="-2"/>
        </w:rPr>
        <w:t> </w:t>
      </w:r>
      <w:r>
        <w:rPr/>
        <w:t>imperfect</w:t>
      </w:r>
      <w:r>
        <w:rPr>
          <w:spacing w:val="-1"/>
        </w:rPr>
        <w:t> </w:t>
      </w:r>
      <w:r>
        <w:rPr/>
        <w:t>proxies</w:t>
      </w:r>
      <w:r>
        <w:rPr>
          <w:spacing w:val="-1"/>
        </w:rPr>
        <w:t> </w:t>
      </w:r>
      <w:r>
        <w:rPr/>
        <w:t>for</w:t>
      </w:r>
      <w:r>
        <w:rPr>
          <w:spacing w:val="-2"/>
        </w:rPr>
        <w:t> </w:t>
      </w:r>
      <w:r>
        <w:rPr/>
        <w:t>historical</w:t>
      </w:r>
      <w:r>
        <w:rPr>
          <w:spacing w:val="-2"/>
        </w:rPr>
        <w:t> </w:t>
      </w:r>
      <w:r>
        <w:rPr/>
        <w:t>populations.</w:t>
      </w:r>
      <w:r>
        <w:rPr>
          <w:spacing w:val="-3"/>
        </w:rPr>
        <w:t> </w:t>
      </w:r>
      <w:r>
        <w:rPr/>
        <w:t>Geographic</w:t>
      </w:r>
      <w:r>
        <w:rPr>
          <w:spacing w:val="-3"/>
        </w:rPr>
        <w:t> </w:t>
      </w:r>
      <w:r>
        <w:rPr/>
        <w:t>labels</w:t>
      </w:r>
      <w:r>
        <w:rPr>
          <w:spacing w:val="-1"/>
        </w:rPr>
        <w:t> </w:t>
      </w:r>
      <w:r>
        <w:rPr/>
        <w:t>identify</w:t>
      </w:r>
      <w:r>
        <w:rPr>
          <w:spacing w:val="-2"/>
        </w:rPr>
        <w:t> </w:t>
      </w:r>
      <w:r>
        <w:rPr/>
        <w:t>sampled variation and do not establish direct descent from the named group.</w:t>
      </w:r>
    </w:p>
    <w:p>
      <w:pPr>
        <w:pStyle w:val="BodyText"/>
        <w:spacing w:line="256" w:lineRule="auto" w:before="110"/>
        <w:ind w:right="125"/>
      </w:pPr>
      <w:r>
        <w:rPr/>
        <w:t>The experiment suite is one connected sensitivity analysis rather than a set of independent hypothesis tests. Repetition across experiments is a robustness pattern, not a basis for multiplying statistical </w:t>
      </w:r>
      <w:r>
        <w:rPr>
          <w:spacing w:val="-2"/>
        </w:rPr>
        <w:t>significance.</w:t>
      </w:r>
    </w:p>
    <w:p>
      <w:pPr>
        <w:pStyle w:val="BodyText"/>
        <w:spacing w:line="254" w:lineRule="auto" w:before="107"/>
        <w:ind w:right="124" w:firstLine="317"/>
      </w:pPr>
      <w:r>
        <w:rPr/>
        <w:t>The descriptive web-platform FST outputs in the Supplementary Appendix lack an independently auditable marker-level pipeline and are not primary evidence.</w:t>
      </w:r>
    </w:p>
    <w:p>
      <w:pPr>
        <w:pStyle w:val="BodyText"/>
        <w:spacing w:line="254" w:lineRule="auto" w:before="109"/>
        <w:ind w:right="122"/>
      </w:pPr>
      <w:r>
        <w:rPr/>
        <w:t>Historical and Y-chromosomal evidence provide context but cannot independently quantify genome-wide ancestry or identify a unique formation event.</w:t>
      </w:r>
    </w:p>
    <w:p>
      <w:pPr>
        <w:pStyle w:val="BodyText"/>
        <w:spacing w:before="22"/>
        <w:ind w:left="0" w:firstLine="0"/>
        <w:jc w:val="left"/>
      </w:pPr>
    </w:p>
    <w:p>
      <w:pPr>
        <w:pStyle w:val="Heading1"/>
        <w:numPr>
          <w:ilvl w:val="0"/>
          <w:numId w:val="1"/>
        </w:numPr>
        <w:tabs>
          <w:tab w:pos="383" w:val="left" w:leader="none"/>
        </w:tabs>
        <w:spacing w:line="240" w:lineRule="auto" w:before="0" w:after="0"/>
        <w:ind w:left="383" w:right="0" w:hanging="252"/>
        <w:jc w:val="both"/>
      </w:pPr>
      <w:r>
        <w:rPr>
          <w:spacing w:val="-2"/>
        </w:rPr>
        <w:t>Conclusions</w:t>
      </w:r>
    </w:p>
    <w:p>
      <w:pPr>
        <w:pStyle w:val="BodyText"/>
        <w:spacing w:line="259" w:lineRule="auto" w:before="146"/>
        <w:ind w:right="122"/>
      </w:pPr>
      <w:r>
        <w:rPr/>
        <w:t>The familiar Ashkenazi Europe-Levant cline is not stable under matched changes to the reference panel. This result addresses a recurring comparator architecture present across foundational Y-chromosomal papers, landmark autosomal studies, and the influential synthesis of Ostrer and Skorecki (2013), rather</w:t>
      </w:r>
      <w:r>
        <w:rPr>
          <w:spacing w:val="40"/>
        </w:rPr>
        <w:t> </w:t>
      </w:r>
      <w:r>
        <w:rPr/>
        <w:t>than a minor defect in a few peripheral analyses. With Italki, Southern Italian, Sicilian, Maltese, and Aegean sources present, they form the largest fitted direction. When those sources are removed, north-shifted Italian and Levantine proxies absorb the missing signal, and the fit becomes substantially worse.</w:t>
      </w:r>
    </w:p>
    <w:p>
      <w:pPr>
        <w:pStyle w:val="BodyText"/>
        <w:spacing w:after="0" w:line="259" w:lineRule="auto"/>
        <w:sectPr>
          <w:pgSz w:w="11910" w:h="16840"/>
          <w:pgMar w:header="390" w:footer="444" w:top="940" w:bottom="640" w:left="992" w:right="992"/>
        </w:sectPr>
      </w:pPr>
    </w:p>
    <w:p>
      <w:pPr>
        <w:pStyle w:val="BodyText"/>
        <w:spacing w:line="259" w:lineRule="auto" w:before="92"/>
        <w:ind w:right="125"/>
      </w:pPr>
      <w:r>
        <w:rPr/>
        <w:t>The results do not erase eastern Mediterranean or Levant-related continuity. They change the geographic scale and certainty that can be assigned to proxy coefficients. Repeated conclusions across the literature are not fully independent geographic confirmations when the same central Mediterranean comparator gap is inherited across studies. Within the declared coordinate system, the most stable finding</w:t>
      </w:r>
      <w:r>
        <w:rPr>
          <w:spacing w:val="40"/>
        </w:rPr>
        <w:t> </w:t>
      </w:r>
      <w:r>
        <w:rPr/>
        <w:t>is a large Italian Jewish and central Mediterranean-associated fitted affinity. Smaller Levantine-continuity and Northern/Eastern European weights remain panel-dependent and, in at least one regional model,</w:t>
      </w:r>
      <w:r>
        <w:rPr>
          <w:spacing w:val="40"/>
        </w:rPr>
        <w:t> </w:t>
      </w:r>
      <w:r>
        <w:rPr/>
        <w:t>partly function as opposing correction vectors rather than independent additive ancestry fractions.</w:t>
      </w:r>
    </w:p>
    <w:p>
      <w:pPr>
        <w:pStyle w:val="BodyText"/>
        <w:spacing w:line="259" w:lineRule="auto" w:before="100"/>
        <w:ind w:right="124"/>
      </w:pPr>
      <w:r>
        <w:rPr/>
        <w:t>Reference-panel sensitivity should therefore be a standard requirement before clinal placement or</w:t>
      </w:r>
      <w:r>
        <w:rPr>
          <w:spacing w:val="40"/>
        </w:rPr>
        <w:t> </w:t>
      </w:r>
      <w:r>
        <w:rPr/>
        <w:t>proxy coefficients are converted into historical ancestry claims. The next decisive test is a raw-genotype analysis with transparent quality control, linkage-disequilibrium handling, dense Southern Italian and Italian Jewish sampling, and relevant ancient Mediterranean Jewish genomes.</w:t>
      </w:r>
    </w:p>
    <w:p>
      <w:pPr>
        <w:pStyle w:val="BodyText"/>
        <w:spacing w:before="10"/>
        <w:ind w:left="0" w:firstLine="0"/>
        <w:jc w:val="left"/>
      </w:pPr>
    </w:p>
    <w:p>
      <w:pPr>
        <w:pStyle w:val="Heading1"/>
        <w:spacing w:before="1"/>
      </w:pPr>
      <w:r>
        <w:rPr/>
        <w:t>Data</w:t>
      </w:r>
      <w:r>
        <w:rPr>
          <w:spacing w:val="-8"/>
        </w:rPr>
        <w:t> </w:t>
      </w:r>
      <w:r>
        <w:rPr/>
        <w:t>Availability</w:t>
      </w:r>
      <w:r>
        <w:rPr>
          <w:spacing w:val="-9"/>
        </w:rPr>
        <w:t> </w:t>
      </w:r>
      <w:r>
        <w:rPr/>
        <w:t>and</w:t>
      </w:r>
      <w:r>
        <w:rPr>
          <w:spacing w:val="-6"/>
        </w:rPr>
        <w:t> </w:t>
      </w:r>
      <w:r>
        <w:rPr>
          <w:spacing w:val="-2"/>
        </w:rPr>
        <w:t>Reproducibility</w:t>
      </w:r>
    </w:p>
    <w:p>
      <w:pPr>
        <w:pStyle w:val="BodyText"/>
        <w:spacing w:line="256" w:lineRule="auto" w:before="148"/>
        <w:ind w:right="124"/>
      </w:pPr>
      <w:r>
        <w:rPr/>
        <w:t>The</w:t>
      </w:r>
      <w:r>
        <w:rPr>
          <w:spacing w:val="-1"/>
        </w:rPr>
        <w:t> </w:t>
      </w:r>
      <w:r>
        <w:rPr/>
        <w:t>accompanying Version</w:t>
      </w:r>
      <w:r>
        <w:rPr>
          <w:spacing w:val="-3"/>
        </w:rPr>
        <w:t> </w:t>
      </w:r>
      <w:r>
        <w:rPr/>
        <w:t>1 data</w:t>
      </w:r>
      <w:r>
        <w:rPr>
          <w:spacing w:val="-1"/>
        </w:rPr>
        <w:t> </w:t>
      </w:r>
      <w:r>
        <w:rPr/>
        <w:t>package</w:t>
      </w:r>
      <w:r>
        <w:rPr>
          <w:spacing w:val="-1"/>
        </w:rPr>
        <w:t> </w:t>
      </w:r>
      <w:r>
        <w:rPr/>
        <w:t>contains the</w:t>
      </w:r>
      <w:r>
        <w:rPr>
          <w:spacing w:val="-1"/>
        </w:rPr>
        <w:t> </w:t>
      </w:r>
      <w:r>
        <w:rPr/>
        <w:t>manuscript,</w:t>
      </w:r>
      <w:r>
        <w:rPr>
          <w:spacing w:val="-3"/>
        </w:rPr>
        <w:t> </w:t>
      </w:r>
      <w:r>
        <w:rPr/>
        <w:t>supplementary</w:t>
      </w:r>
      <w:r>
        <w:rPr>
          <w:spacing w:val="-2"/>
        </w:rPr>
        <w:t> </w:t>
      </w:r>
      <w:r>
        <w:rPr/>
        <w:t>appendix,</w:t>
      </w:r>
      <w:r>
        <w:rPr>
          <w:spacing w:val="-1"/>
        </w:rPr>
        <w:t> </w:t>
      </w:r>
      <w:r>
        <w:rPr/>
        <w:t>metadata, integrity records, and a commit-specific record identifying the Global25 Experiments 1-15 archive used for the analysis. The linked analysis archive contains declared source and target rows, raw and grouped outputs, comparison tables, figures, screenshots, scripts, methods documentation, provenance records, and file-integrity records.</w:t>
      </w:r>
    </w:p>
    <w:p>
      <w:pPr>
        <w:pStyle w:val="BodyText"/>
        <w:spacing w:before="23"/>
        <w:ind w:left="0" w:firstLine="0"/>
        <w:jc w:val="left"/>
      </w:pPr>
    </w:p>
    <w:p>
      <w:pPr>
        <w:pStyle w:val="Heading1"/>
        <w:spacing w:before="1"/>
      </w:pPr>
      <w:r>
        <w:rPr/>
        <w:t>Ethics</w:t>
      </w:r>
      <w:r>
        <w:rPr>
          <w:spacing w:val="-8"/>
        </w:rPr>
        <w:t> </w:t>
      </w:r>
      <w:r>
        <w:rPr>
          <w:spacing w:val="-2"/>
        </w:rPr>
        <w:t>Statement</w:t>
      </w:r>
    </w:p>
    <w:p>
      <w:pPr>
        <w:pStyle w:val="BodyText"/>
        <w:spacing w:line="256" w:lineRule="auto" w:before="145"/>
        <w:ind w:right="127"/>
      </w:pPr>
      <w:r>
        <w:rPr/>
        <w:t>This study reports secondary analyses of previously published or publicly distributed population-level data and introduces no new participant recruitment, biological sampling, genotyping, or sequencing.</w:t>
      </w:r>
    </w:p>
    <w:p>
      <w:pPr>
        <w:pStyle w:val="BodyText"/>
        <w:spacing w:before="17"/>
        <w:ind w:left="0" w:firstLine="0"/>
        <w:jc w:val="left"/>
      </w:pPr>
    </w:p>
    <w:p>
      <w:pPr>
        <w:pStyle w:val="Heading1"/>
      </w:pPr>
      <w:r>
        <w:rPr/>
        <w:t>Funding</w:t>
      </w:r>
      <w:r>
        <w:rPr>
          <w:spacing w:val="-11"/>
        </w:rPr>
        <w:t> </w:t>
      </w:r>
      <w:r>
        <w:rPr>
          <w:spacing w:val="-2"/>
        </w:rPr>
        <w:t>Statement</w:t>
      </w:r>
    </w:p>
    <w:p>
      <w:pPr>
        <w:pStyle w:val="BodyText"/>
        <w:spacing w:before="146"/>
        <w:ind w:left="448" w:firstLine="0"/>
        <w:jc w:val="left"/>
      </w:pPr>
      <w:r>
        <w:rPr/>
        <w:t>The</w:t>
      </w:r>
      <w:r>
        <w:rPr>
          <w:spacing w:val="-8"/>
        </w:rPr>
        <w:t> </w:t>
      </w:r>
      <w:r>
        <w:rPr/>
        <w:t>author</w:t>
      </w:r>
      <w:r>
        <w:rPr>
          <w:spacing w:val="-6"/>
        </w:rPr>
        <w:t> </w:t>
      </w:r>
      <w:r>
        <w:rPr/>
        <w:t>received</w:t>
      </w:r>
      <w:r>
        <w:rPr>
          <w:spacing w:val="-5"/>
        </w:rPr>
        <w:t> </w:t>
      </w:r>
      <w:r>
        <w:rPr/>
        <w:t>no</w:t>
      </w:r>
      <w:r>
        <w:rPr>
          <w:spacing w:val="-5"/>
        </w:rPr>
        <w:t> </w:t>
      </w:r>
      <w:r>
        <w:rPr/>
        <w:t>financial</w:t>
      </w:r>
      <w:r>
        <w:rPr>
          <w:spacing w:val="-5"/>
        </w:rPr>
        <w:t> </w:t>
      </w:r>
      <w:r>
        <w:rPr/>
        <w:t>support</w:t>
      </w:r>
      <w:r>
        <w:rPr>
          <w:spacing w:val="-7"/>
        </w:rPr>
        <w:t> </w:t>
      </w:r>
      <w:r>
        <w:rPr/>
        <w:t>for</w:t>
      </w:r>
      <w:r>
        <w:rPr>
          <w:spacing w:val="-6"/>
        </w:rPr>
        <w:t> </w:t>
      </w:r>
      <w:r>
        <w:rPr/>
        <w:t>the</w:t>
      </w:r>
      <w:r>
        <w:rPr>
          <w:spacing w:val="-6"/>
        </w:rPr>
        <w:t> </w:t>
      </w:r>
      <w:r>
        <w:rPr/>
        <w:t>research,</w:t>
      </w:r>
      <w:r>
        <w:rPr>
          <w:spacing w:val="-5"/>
        </w:rPr>
        <w:t> </w:t>
      </w:r>
      <w:r>
        <w:rPr/>
        <w:t>authorship,</w:t>
      </w:r>
      <w:r>
        <w:rPr>
          <w:spacing w:val="-5"/>
        </w:rPr>
        <w:t> </w:t>
      </w:r>
      <w:r>
        <w:rPr/>
        <w:t>or</w:t>
      </w:r>
      <w:r>
        <w:rPr>
          <w:spacing w:val="-6"/>
        </w:rPr>
        <w:t> </w:t>
      </w:r>
      <w:r>
        <w:rPr/>
        <w:t>publication</w:t>
      </w:r>
      <w:r>
        <w:rPr>
          <w:spacing w:val="-6"/>
        </w:rPr>
        <w:t> </w:t>
      </w:r>
      <w:r>
        <w:rPr/>
        <w:t>of</w:t>
      </w:r>
      <w:r>
        <w:rPr>
          <w:spacing w:val="-4"/>
        </w:rPr>
        <w:t> </w:t>
      </w:r>
      <w:r>
        <w:rPr/>
        <w:t>this</w:t>
      </w:r>
      <w:r>
        <w:rPr>
          <w:spacing w:val="-5"/>
        </w:rPr>
        <w:t> </w:t>
      </w:r>
      <w:r>
        <w:rPr>
          <w:spacing w:val="-2"/>
        </w:rPr>
        <w:t>study.</w:t>
      </w:r>
    </w:p>
    <w:p>
      <w:pPr>
        <w:pStyle w:val="BodyText"/>
        <w:spacing w:before="34"/>
        <w:ind w:left="0" w:firstLine="0"/>
        <w:jc w:val="left"/>
      </w:pPr>
    </w:p>
    <w:p>
      <w:pPr>
        <w:pStyle w:val="Heading1"/>
      </w:pPr>
      <w:r>
        <w:t>Conflict of Interest Disclosure</w:t>
      </w:r>
    </w:p>
    <w:p>
      <w:pPr>
        <w:pStyle w:val="BodyText"/>
        <w:spacing w:before="144"/>
        <w:ind w:left="448" w:firstLine="0"/>
        <w:jc w:val="left"/>
      </w:pPr>
      <w:r>
        <w:t>The author of this preprint declares that they have no financial conflict of interest with the content of this article and no non-financial conflict of interest to disclose.</w:t>
      </w:r>
    </w:p>
    <w:p>
      <w:pPr>
        <w:pStyle w:val="Heading1"/>
        <w:keepNext/>
        <w:spacing w:before="90" w:after="60"/>
      </w:pPr>
      <w:r>
        <w:rPr>
          <w:spacing w:val="-2"/>
        </w:rPr>
        <w:t>References</w:t>
      </w:r>
    </w:p>
    <w:p>
      <w:pPr>
        <w:keepLines/>
        <w:spacing w:before="0" w:after="0" w:line="240" w:lineRule="auto"/>
        <w:ind w:left="360" w:hanging="360"/>
      </w:pPr>
      <w:r>
        <w:rPr>
          <w:rFonts w:ascii="Times New Roman" w:hAnsi="Times New Roman" w:eastAsia="Times New Roman" w:cs="Times New Roman"/>
          <w:sz w:val="18"/>
        </w:rPr>
        <w:t xml:space="preserve">Atzmon, G., Hao, L., Pe'er, I., Velez, C., Pearlman, A., Palamara, P. F., et al. (2010). Abraham's children in the genome era: major Jewish diaspora populations comprise distinct genetic clusters with shared Middle Eastern ancestry. American Journal of Human Genetics, 86, 850-859. </w:t>
      </w:r>
      <w:hyperlink r:id="rId14">
        <w:r>
          <w:rPr>
            <w:rFonts w:ascii="Times New Roman" w:hAnsi="Times New Roman" w:eastAsia="Times New Roman" w:cs="Times New Roman"/>
            <w:sz w:val="18"/>
            <w:szCs w:val="18"/>
            <w:color w:val="0563C1"/>
            <w:u w:val="single"/>
          </w:rPr>
          <w:t>https://doi.org/10.1016/j.ajhg.2010.04.015</w:t>
        </w:r>
      </w:hyperlink>
    </w:p>
    <w:p>
      <w:pPr>
        <w:keepLines/>
        <w:spacing w:before="0" w:after="0" w:line="240" w:lineRule="auto"/>
        <w:ind w:left="360" w:hanging="360"/>
      </w:pPr>
      <w:r>
        <w:rPr>
          <w:rFonts w:ascii="Times New Roman" w:hAnsi="Times New Roman" w:eastAsia="Times New Roman" w:cs="Times New Roman"/>
          <w:sz w:val="18"/>
        </w:rPr>
        <w:t xml:space="preserve">Behar, D. M., Garrigan, D., Kaplan, M. E., Mobasher, Z., Rosengarten, D., Karafet, T. M., et al. (2004). Contrasting patterns of Y chromosome variation in Ashkenazi Jewish and host non-Jewish European populations. Human Genetics, 114, 354-365. </w:t>
      </w:r>
      <w:hyperlink r:id="rId15">
        <w:r>
          <w:rPr>
            <w:rFonts w:ascii="Times New Roman" w:hAnsi="Times New Roman" w:eastAsia="Times New Roman" w:cs="Times New Roman"/>
            <w:sz w:val="18"/>
            <w:szCs w:val="18"/>
            <w:color w:val="0563C1"/>
            <w:u w:val="single"/>
          </w:rPr>
          <w:t>https://doi.org/10.1007/s00439-003-1073-7</w:t>
        </w:r>
      </w:hyperlink>
    </w:p>
    <w:p>
      <w:pPr>
        <w:keepLines/>
        <w:spacing w:before="0" w:after="0" w:line="240" w:lineRule="auto"/>
        <w:ind w:left="360" w:hanging="360"/>
      </w:pPr>
      <w:r>
        <w:rPr>
          <w:rFonts w:ascii="Times New Roman" w:hAnsi="Times New Roman" w:eastAsia="Times New Roman" w:cs="Times New Roman"/>
          <w:sz w:val="18"/>
        </w:rPr>
        <w:t xml:space="preserve">Behar, D. M., Yunusbayev, B., Metspalu, M., Metspalu, E., Rosset, S., Parik, J., et al. (2010). The genome-wide structure of the Jewish people. Nature, 466, 238-242. </w:t>
      </w:r>
      <w:hyperlink r:id="rId16">
        <w:r>
          <w:rPr>
            <w:rFonts w:ascii="Times New Roman" w:hAnsi="Times New Roman" w:eastAsia="Times New Roman" w:cs="Times New Roman"/>
            <w:sz w:val="18"/>
            <w:szCs w:val="18"/>
            <w:color w:val="0563C1"/>
            <w:u w:val="single"/>
          </w:rPr>
          <w:t>https://doi.org/10.1038/nature09103</w:t>
        </w:r>
      </w:hyperlink>
    </w:p>
    <w:p>
      <w:pPr>
        <w:keepLines/>
        <w:spacing w:before="0" w:after="0" w:line="240" w:lineRule="auto"/>
        <w:ind w:left="360" w:hanging="360"/>
      </w:pPr>
      <w:r>
        <w:rPr>
          <w:rFonts w:ascii="Times New Roman" w:hAnsi="Times New Roman" w:eastAsia="Times New Roman" w:cs="Times New Roman"/>
          <w:sz w:val="18"/>
        </w:rPr>
        <w:t xml:space="preserve">Brace, S., Diekmann, Y., Booth, T., Macleod, R., Timpson, A., Stephen, W., et al. (2022). Genomes from a medieval mass burial show Ashkenazi-associated hereditary diseases pre-date the 12th century. Current Biology, 32, 4350-4359.e6. </w:t>
      </w:r>
      <w:hyperlink r:id="rId17">
        <w:r>
          <w:rPr>
            <w:rFonts w:ascii="Times New Roman" w:hAnsi="Times New Roman" w:eastAsia="Times New Roman" w:cs="Times New Roman"/>
            <w:sz w:val="18"/>
            <w:szCs w:val="18"/>
            <w:color w:val="0563C1"/>
            <w:u w:val="single"/>
          </w:rPr>
          <w:t>https://doi.org/10.1016/j.cub.2022.08.036</w:t>
        </w:r>
      </w:hyperlink>
    </w:p>
    <w:p>
      <w:pPr>
        <w:keepLines/>
        <w:spacing w:before="0" w:after="0" w:line="240" w:lineRule="auto"/>
        <w:ind w:left="360" w:hanging="360"/>
      </w:pPr>
      <w:r>
        <w:rPr>
          <w:rFonts w:ascii="Times New Roman" w:hAnsi="Times New Roman" w:eastAsia="Times New Roman" w:cs="Times New Roman"/>
          <w:sz w:val="18"/>
        </w:rPr>
        <w:t xml:space="preserve">Bray, S. M., Mulle, J. G., Dodd, A. F., Pulver, A. E., Wooding, S., and Warren, S. T. (2010). Signatures of founder effects, admixture, and selection in the Ashkenazi Jewish population. Proceedings of the National Academy of Sciences USA, 107, 16222-16227. </w:t>
      </w:r>
      <w:hyperlink r:id="rId18">
        <w:r>
          <w:rPr>
            <w:rFonts w:ascii="Times New Roman" w:hAnsi="Times New Roman" w:eastAsia="Times New Roman" w:cs="Times New Roman"/>
            <w:sz w:val="18"/>
            <w:szCs w:val="18"/>
            <w:color w:val="0563C1"/>
            <w:u w:val="single"/>
          </w:rPr>
          <w:t>https://doi.org/10.1073/pnas.1004381107</w:t>
        </w:r>
      </w:hyperlink>
    </w:p>
    <w:p>
      <w:pPr>
        <w:keepLines/>
        <w:spacing w:before="0" w:after="0" w:line="240" w:lineRule="auto"/>
        <w:ind w:left="360" w:hanging="360"/>
      </w:pPr>
      <w:r>
        <w:rPr>
          <w:rFonts w:ascii="Times New Roman" w:hAnsi="Times New Roman" w:eastAsia="Times New Roman" w:cs="Times New Roman"/>
          <w:sz w:val="18"/>
        </w:rPr>
        <w:t xml:space="preserve">Campbell, C. L., Palamara, P. F., Dubrovsky, M., Botigue, L. R., Fellous, M., Atzmon, G., et al. (2012). North African Jewish and non-Jewish populations form distinctive, orthogonal clusters. Proceedings of the National Academy of Sciences USA, 109, 13865-13870. </w:t>
      </w:r>
      <w:hyperlink r:id="rId19">
        <w:r>
          <w:rPr>
            <w:rFonts w:ascii="Times New Roman" w:hAnsi="Times New Roman" w:eastAsia="Times New Roman" w:cs="Times New Roman"/>
            <w:sz w:val="18"/>
            <w:szCs w:val="18"/>
            <w:color w:val="0563C1"/>
            <w:u w:val="single"/>
          </w:rPr>
          <w:t>https://doi.org/10.1073/pnas.1204840109</w:t>
        </w:r>
      </w:hyperlink>
    </w:p>
    <w:p>
      <w:pPr>
        <w:keepLines/>
        <w:spacing w:before="0" w:after="0" w:line="240" w:lineRule="auto"/>
        <w:ind w:left="360" w:hanging="360"/>
      </w:pPr>
      <w:r>
        <w:rPr>
          <w:rFonts w:ascii="Times New Roman" w:hAnsi="Times New Roman" w:eastAsia="Times New Roman" w:cs="Times New Roman"/>
          <w:sz w:val="18"/>
        </w:rPr>
        <w:t>Chazan, R. (1987). European Jewry and the First Crusade. University of California Press.</w:t>
      </w:r>
    </w:p>
    <w:p>
      <w:pPr>
        <w:keepLines/>
        <w:spacing w:before="0" w:after="0" w:line="240" w:lineRule="auto"/>
        <w:ind w:left="360" w:hanging="360"/>
      </w:pPr>
      <w:r>
        <w:rPr>
          <w:rFonts w:ascii="Times New Roman" w:hAnsi="Times New Roman" w:eastAsia="Times New Roman" w:cs="Times New Roman"/>
          <w:sz w:val="18"/>
        </w:rPr>
        <w:t xml:space="preserve">Drineas, P., Tsetsos, F., Plantinga, A., Lazaridis, I., Yannaki, E., Razou, A., et al. (2019). Genetic history of the population of Crete. Annals of Human Genetics, 83, 373-388. </w:t>
      </w:r>
      <w:hyperlink r:id="rId20">
        <w:r>
          <w:rPr>
            <w:rFonts w:ascii="Times New Roman" w:hAnsi="Times New Roman" w:eastAsia="Times New Roman" w:cs="Times New Roman"/>
            <w:sz w:val="18"/>
            <w:szCs w:val="18"/>
            <w:color w:val="0563C1"/>
            <w:u w:val="single"/>
          </w:rPr>
          <w:t>https://doi.org/10.1111/ahg.12328</w:t>
        </w:r>
      </w:hyperlink>
    </w:p>
    <w:p>
      <w:pPr>
        <w:keepLines/>
        <w:spacing w:before="0" w:after="0" w:line="240" w:lineRule="auto"/>
        <w:ind w:left="360" w:hanging="360"/>
      </w:pPr>
      <w:r>
        <w:rPr>
          <w:rFonts w:ascii="Times New Roman" w:hAnsi="Times New Roman" w:eastAsia="Times New Roman" w:cs="Times New Roman"/>
          <w:sz w:val="18"/>
        </w:rPr>
        <w:t>Feldman, L. H. (1993). Jew and Gentile in the Ancient World. Princeton University Press.</w:t>
      </w:r>
    </w:p>
    <w:p>
      <w:pPr>
        <w:keepLines/>
        <w:spacing w:before="0" w:after="0" w:line="240" w:lineRule="auto"/>
        <w:ind w:left="360" w:hanging="360"/>
      </w:pPr>
      <w:r>
        <w:rPr>
          <w:rFonts w:ascii="Times New Roman" w:hAnsi="Times New Roman" w:eastAsia="Times New Roman" w:cs="Times New Roman"/>
          <w:sz w:val="18"/>
        </w:rPr>
        <w:t>Grossman, A. (1995). The Early Sages of Ashkenaz. Magnes Press.</w:t>
      </w:r>
    </w:p>
    <w:p>
      <w:pPr>
        <w:keepLines/>
        <w:spacing w:before="0" w:after="0" w:line="240" w:lineRule="auto"/>
        <w:ind w:left="360" w:hanging="360"/>
      </w:pPr>
      <w:r>
        <w:rPr>
          <w:rFonts w:ascii="Times New Roman" w:hAnsi="Times New Roman" w:eastAsia="Times New Roman" w:cs="Times New Roman"/>
          <w:sz w:val="18"/>
        </w:rPr>
        <w:t>Gruen, E. S. (2002). Diaspora: Jews Amidst Greeks and Romans. Harvard University Press.</w:t>
      </w:r>
    </w:p>
    <w:p>
      <w:pPr>
        <w:keepLines/>
        <w:spacing w:before="0" w:after="0" w:line="240" w:lineRule="auto"/>
        <w:ind w:left="360" w:hanging="360"/>
      </w:pPr>
      <w:r>
        <w:rPr>
          <w:rFonts w:ascii="Times New Roman" w:hAnsi="Times New Roman" w:eastAsia="Times New Roman" w:cs="Times New Roman"/>
          <w:sz w:val="18"/>
        </w:rPr>
        <w:t xml:space="preserve">Hammer, M. F., Redd, A. J., Wood, E. T., Bonner, M. R., Jarjanazi, H., Karafet, T., et al. (2000). Jewish and Middle Eastern non-Jewish populations share a common pool of Y-chromosome biallelic haplotypes. Proceedings of the National Academy of Sciences USA, 97, 6769-6774. </w:t>
      </w:r>
      <w:hyperlink r:id="rId22">
        <w:r>
          <w:rPr>
            <w:rFonts w:ascii="Times New Roman" w:hAnsi="Times New Roman" w:eastAsia="Times New Roman" w:cs="Times New Roman"/>
            <w:sz w:val="18"/>
            <w:szCs w:val="18"/>
            <w:color w:val="0563C1"/>
            <w:u w:val="single"/>
          </w:rPr>
          <w:t>https://doi.org/10.1073/pnas.100115997</w:t>
        </w:r>
      </w:hyperlink>
    </w:p>
    <w:p>
      <w:pPr>
        <w:keepLines/>
        <w:spacing w:before="0" w:after="0" w:line="240" w:lineRule="auto"/>
        <w:ind w:left="360" w:hanging="360"/>
      </w:pPr>
      <w:r>
        <w:rPr>
          <w:rFonts w:ascii="Times New Roman" w:hAnsi="Times New Roman" w:eastAsia="Times New Roman" w:cs="Times New Roman"/>
          <w:sz w:val="18"/>
        </w:rPr>
        <w:t xml:space="preserve">Hammer, M. F., Behar, D. M., Karafet, T. M., Mendez, F. L., Hallmark, B., Erez, T., et al. (2009). Extended Y chromosome haplotypes resolve multiple and unique lineages of the Jewish priesthood. Human Genetics, 126, 707-717. </w:t>
      </w:r>
      <w:hyperlink r:id="rId21">
        <w:r>
          <w:rPr>
            <w:rFonts w:ascii="Times New Roman" w:hAnsi="Times New Roman" w:eastAsia="Times New Roman" w:cs="Times New Roman"/>
            <w:sz w:val="18"/>
            <w:szCs w:val="18"/>
            <w:color w:val="0563C1"/>
            <w:u w:val="single"/>
          </w:rPr>
          <w:t>https://doi.org/10.1007/s00439-009-0727-5</w:t>
        </w:r>
      </w:hyperlink>
    </w:p>
    <w:p>
      <w:pPr>
        <w:keepLines/>
        <w:spacing w:before="0" w:after="0" w:line="240" w:lineRule="auto"/>
        <w:ind w:left="360" w:hanging="360"/>
      </w:pPr>
      <w:r>
        <w:rPr>
          <w:rFonts w:ascii="Times New Roman" w:hAnsi="Times New Roman" w:eastAsia="Times New Roman" w:cs="Times New Roman"/>
          <w:sz w:val="18"/>
        </w:rPr>
        <w:t xml:space="preserve">Kopelman, N. M., Stone, L., Wang, C., Gefel, D., Feldman, M. W., Hillel, J., and Rosenberg, N. A. (2009). Genomic microsatellites identify shared Jewish ancestry intermediate between Middle Eastern and European populations. BMC Genetics, 10, 80. </w:t>
      </w:r>
      <w:hyperlink r:id="rId23">
        <w:r>
          <w:rPr>
            <w:rFonts w:ascii="Times New Roman" w:hAnsi="Times New Roman" w:eastAsia="Times New Roman" w:cs="Times New Roman"/>
            <w:sz w:val="18"/>
            <w:szCs w:val="18"/>
            <w:color w:val="0563C1"/>
            <w:u w:val="single"/>
          </w:rPr>
          <w:t>https://doi.org/10.1186/1471-2156-10-80</w:t>
        </w:r>
      </w:hyperlink>
    </w:p>
    <w:p>
      <w:pPr>
        <w:keepLines/>
        <w:spacing w:before="0" w:after="0" w:line="240" w:lineRule="auto"/>
        <w:ind w:left="360" w:hanging="360"/>
      </w:pPr>
      <w:r>
        <w:rPr>
          <w:rFonts w:ascii="Times New Roman" w:hAnsi="Times New Roman" w:eastAsia="Times New Roman" w:cs="Times New Roman"/>
          <w:sz w:val="18"/>
        </w:rPr>
        <w:t xml:space="preserve">Lawson, D. J., van Dorp, L., and Falush, D. (2018). A tutorial on how not to over-interpret STRUCTURE and ADMIXTURE bar plots. Nature Communications, 9, 3258. </w:t>
      </w:r>
      <w:hyperlink r:id="rId24">
        <w:r>
          <w:rPr>
            <w:rFonts w:ascii="Times New Roman" w:hAnsi="Times New Roman" w:eastAsia="Times New Roman" w:cs="Times New Roman"/>
            <w:sz w:val="18"/>
            <w:szCs w:val="18"/>
            <w:color w:val="0563C1"/>
            <w:u w:val="single"/>
          </w:rPr>
          <w:t>https://doi.org/10.1038/s41467-018-05257-7</w:t>
        </w:r>
      </w:hyperlink>
    </w:p>
    <w:p>
      <w:pPr>
        <w:keepLines/>
        <w:spacing w:before="0" w:after="0" w:line="240" w:lineRule="auto"/>
        <w:ind w:left="360" w:hanging="360"/>
      </w:pPr>
      <w:r>
        <w:rPr>
          <w:rFonts w:ascii="Times New Roman" w:hAnsi="Times New Roman" w:eastAsia="Times New Roman" w:cs="Times New Roman"/>
          <w:sz w:val="18"/>
        </w:rPr>
        <w:t xml:space="preserve">Lerga-Jaso, J., Novkovic, B., Unnikrishnan, D., Bamunusinghe, V., Hatorangan, M. R., Manson, C., et al. (2025). Tracing human genetic histories and natural selection with precise local ancestry inference. Nature Communications, 16, 4576. </w:t>
      </w:r>
      <w:hyperlink r:id="rId25">
        <w:r>
          <w:rPr>
            <w:rFonts w:ascii="Times New Roman" w:hAnsi="Times New Roman" w:eastAsia="Times New Roman" w:cs="Times New Roman"/>
            <w:sz w:val="18"/>
            <w:szCs w:val="18"/>
            <w:color w:val="0563C1"/>
            <w:u w:val="single"/>
          </w:rPr>
          <w:t>https://doi.org/10.1038/s41467-025-59936-3</w:t>
        </w:r>
      </w:hyperlink>
    </w:p>
    <w:p>
      <w:pPr>
        <w:keepLines/>
        <w:spacing w:before="0" w:after="0" w:line="240" w:lineRule="auto"/>
        <w:ind w:left="360" w:hanging="360"/>
      </w:pPr>
      <w:r>
        <w:rPr>
          <w:rFonts w:ascii="Times New Roman" w:hAnsi="Times New Roman" w:eastAsia="Times New Roman" w:cs="Times New Roman"/>
          <w:sz w:val="18"/>
        </w:rPr>
        <w:t xml:space="preserve">Listman, J. B., Hasin, D., Kranzler, H. R., Malison, R. T., Mutirangura, A., Sughondhabirom, A., et al. (2010). Identification of population substructure among Jews using STR markers and dependence on reference populations included. BMC Genetics, 11, 48. </w:t>
      </w:r>
      <w:hyperlink r:id="rId26">
        <w:r>
          <w:rPr>
            <w:rFonts w:ascii="Times New Roman" w:hAnsi="Times New Roman" w:eastAsia="Times New Roman" w:cs="Times New Roman"/>
            <w:sz w:val="18"/>
            <w:szCs w:val="18"/>
            <w:color w:val="0563C1"/>
            <w:u w:val="single"/>
          </w:rPr>
          <w:t>https://doi.org/10.1186/1471-2156-11-48</w:t>
        </w:r>
      </w:hyperlink>
    </w:p>
    <w:p>
      <w:pPr>
        <w:keepLines/>
        <w:spacing w:before="0" w:after="0" w:line="240" w:lineRule="auto"/>
        <w:ind w:left="360" w:hanging="360"/>
      </w:pPr>
      <w:r>
        <w:rPr>
          <w:rFonts w:ascii="Times New Roman" w:hAnsi="Times New Roman" w:eastAsia="Times New Roman" w:cs="Times New Roman"/>
          <w:sz w:val="18"/>
        </w:rPr>
        <w:t xml:space="preserve">Nebel, A., Filon, D., Brinkmann, B., Majumder, P. P., Faerman, M., and Oppenheim, A. (2001). The Y chromosome pool of Jews as part of the genetic landscape of the Middle East. American Journal of Human Genetics, 69, 1095-1112. </w:t>
      </w:r>
      <w:hyperlink r:id="rId27">
        <w:r>
          <w:rPr>
            <w:rFonts w:ascii="Times New Roman" w:hAnsi="Times New Roman" w:eastAsia="Times New Roman" w:cs="Times New Roman"/>
            <w:sz w:val="18"/>
            <w:szCs w:val="18"/>
            <w:color w:val="0563C1"/>
            <w:u w:val="single"/>
          </w:rPr>
          <w:t>https://doi.org/10.1086/324070</w:t>
        </w:r>
      </w:hyperlink>
    </w:p>
    <w:p>
      <w:pPr>
        <w:keepLines/>
        <w:spacing w:before="0" w:after="0" w:line="240" w:lineRule="auto"/>
        <w:ind w:left="360" w:hanging="360"/>
      </w:pPr>
      <w:r>
        <w:rPr>
          <w:rFonts w:ascii="Times New Roman" w:hAnsi="Times New Roman" w:eastAsia="Times New Roman" w:cs="Times New Roman"/>
          <w:sz w:val="18"/>
        </w:rPr>
        <w:t xml:space="preserve">Ostrer, H., and Skorecki, K. (2013). The population genetics of the Jewish people. Human Genetics, 132, 119-127. </w:t>
      </w:r>
      <w:hyperlink r:id="rId28">
        <w:r>
          <w:rPr>
            <w:rFonts w:ascii="Times New Roman" w:hAnsi="Times New Roman" w:eastAsia="Times New Roman" w:cs="Times New Roman"/>
            <w:sz w:val="18"/>
            <w:szCs w:val="18"/>
            <w:color w:val="0563C1"/>
            <w:u w:val="single"/>
          </w:rPr>
          <w:t>https://doi.org/10.1007/s00439-012-1235-6</w:t>
        </w:r>
      </w:hyperlink>
    </w:p>
    <w:p>
      <w:pPr>
        <w:keepLines/>
        <w:spacing w:before="0" w:after="0" w:line="240" w:lineRule="auto"/>
        <w:ind w:left="360" w:hanging="360"/>
      </w:pPr>
      <w:r>
        <w:rPr>
          <w:rFonts w:ascii="Times New Roman" w:hAnsi="Times New Roman" w:eastAsia="Times New Roman" w:cs="Times New Roman"/>
          <w:sz w:val="18"/>
        </w:rPr>
        <w:t>Roth, C. (1946). History of the Jews in Italy. Jewish Publication Society.</w:t>
      </w:r>
    </w:p>
    <w:p>
      <w:pPr>
        <w:keepLines/>
        <w:spacing w:before="0" w:after="0" w:line="240" w:lineRule="auto"/>
        <w:ind w:left="360" w:hanging="360"/>
      </w:pPr>
      <w:r>
        <w:rPr>
          <w:rFonts w:ascii="Times New Roman" w:hAnsi="Times New Roman" w:eastAsia="Times New Roman" w:cs="Times New Roman"/>
          <w:sz w:val="18"/>
        </w:rPr>
        <w:t>Rutgers, L. V. (1995). The Jews in Late Ancient Rome. Brill.</w:t>
      </w:r>
    </w:p>
    <w:p>
      <w:pPr>
        <w:keepLines/>
        <w:spacing w:before="0" w:after="0" w:line="240" w:lineRule="auto"/>
        <w:ind w:left="360" w:hanging="360"/>
      </w:pPr>
      <w:r>
        <w:rPr>
          <w:rFonts w:ascii="Times New Roman" w:hAnsi="Times New Roman" w:eastAsia="Times New Roman" w:cs="Times New Roman"/>
          <w:sz w:val="18"/>
        </w:rPr>
        <w:t xml:space="preserve">Schuenemann, V. J., Peltzer, A., Welte, B., van Pelt, W. P., Molak, M., Wang, C. C., et al. (2017). Ancient Egyptian mummy genomes suggest an increase of Sub-Saharan African ancestry in post-Roman periods. Nature Communications, 8, 15694. </w:t>
      </w:r>
      <w:hyperlink r:id="rId29">
        <w:r>
          <w:rPr>
            <w:rFonts w:ascii="Times New Roman" w:hAnsi="Times New Roman" w:eastAsia="Times New Roman" w:cs="Times New Roman"/>
            <w:sz w:val="18"/>
            <w:szCs w:val="18"/>
            <w:color w:val="0563C1"/>
            <w:u w:val="single"/>
          </w:rPr>
          <w:t>https://doi.org/10.1038/ncomms15694</w:t>
        </w:r>
      </w:hyperlink>
    </w:p>
    <w:p>
      <w:pPr>
        <w:keepLines/>
        <w:spacing w:before="0" w:after="0" w:line="240" w:lineRule="auto"/>
        <w:ind w:left="360" w:hanging="360"/>
      </w:pPr>
      <w:r>
        <w:rPr>
          <w:rFonts w:ascii="Times New Roman" w:hAnsi="Times New Roman" w:eastAsia="Times New Roman" w:cs="Times New Roman"/>
          <w:sz w:val="18"/>
        </w:rPr>
        <w:t xml:space="preserve">Semino, O., Magri, C., Benuzzi, G., Lin, A. A., Al-Zahery, N., Battaglia, V., et al. (2004). Origin, diffusion, and differentiation of Y-chromosome haplogroups E and J: inferences on the neolithization of Europe and later migratory events in the Mediterranean area. American Journal of Human Genetics, 74, 1023-1034. </w:t>
      </w:r>
      <w:hyperlink r:id="rId30">
        <w:r>
          <w:rPr>
            <w:rFonts w:ascii="Times New Roman" w:hAnsi="Times New Roman" w:eastAsia="Times New Roman" w:cs="Times New Roman"/>
            <w:sz w:val="18"/>
            <w:szCs w:val="18"/>
            <w:color w:val="0563C1"/>
            <w:u w:val="single"/>
          </w:rPr>
          <w:t>https://doi.org/10.1086/386295</w:t>
        </w:r>
      </w:hyperlink>
    </w:p>
    <w:p>
      <w:pPr>
        <w:keepLines/>
        <w:spacing w:before="0" w:after="0" w:line="240" w:lineRule="auto"/>
        <w:ind w:left="360" w:hanging="360"/>
      </w:pPr>
      <w:r>
        <w:rPr>
          <w:rFonts w:ascii="Times New Roman" w:hAnsi="Times New Roman" w:eastAsia="Times New Roman" w:cs="Times New Roman"/>
          <w:sz w:val="18"/>
        </w:rPr>
        <w:t xml:space="preserve">Shen, P., Lavi, T., Kivisild, T., Chou, V., Sengun, D., Gefel, D., et al. (2004). Reconstruction of patrilineages and matrilineages of Samaritans and other Israeli populations from Y-chromosome and mitochondrial DNA sequence variation. Human Mutation, 24, 248-260. </w:t>
      </w:r>
      <w:hyperlink r:id="rId31">
        <w:r>
          <w:rPr>
            <w:rFonts w:ascii="Times New Roman" w:hAnsi="Times New Roman" w:eastAsia="Times New Roman" w:cs="Times New Roman"/>
            <w:sz w:val="18"/>
            <w:szCs w:val="18"/>
            <w:color w:val="0563C1"/>
            <w:u w:val="single"/>
          </w:rPr>
          <w:t>https://doi.org/10.1002/humu.20077</w:t>
        </w:r>
      </w:hyperlink>
    </w:p>
    <w:p>
      <w:pPr>
        <w:keepLines/>
        <w:spacing w:before="0" w:after="0" w:line="240" w:lineRule="auto"/>
        <w:ind w:left="360" w:hanging="360"/>
      </w:pPr>
      <w:r>
        <w:rPr>
          <w:rFonts w:ascii="Times New Roman" w:hAnsi="Times New Roman" w:eastAsia="Times New Roman" w:cs="Times New Roman"/>
          <w:sz w:val="18"/>
        </w:rPr>
        <w:t xml:space="preserve">Tian, C., Kosoy, R., Nassir, R., Lee, A., Villoslada, P., Klareskog, L., et al. (2009). European population genetic substructure: further definition of ancestry informative markers for distinguishing among diverse European ethnic groups. Molecular Medicine, 15, 371-383. </w:t>
      </w:r>
      <w:hyperlink r:id="rId32">
        <w:r>
          <w:rPr>
            <w:rFonts w:ascii="Times New Roman" w:hAnsi="Times New Roman" w:eastAsia="Times New Roman" w:cs="Times New Roman"/>
            <w:sz w:val="18"/>
            <w:szCs w:val="18"/>
            <w:color w:val="0563C1"/>
            <w:u w:val="single"/>
          </w:rPr>
          <w:t>https://doi.org/10.2119/molmed.2009.00094</w:t>
        </w:r>
      </w:hyperlink>
    </w:p>
    <w:p>
      <w:pPr>
        <w:keepLines/>
        <w:spacing w:before="0" w:after="0" w:line="240" w:lineRule="auto"/>
        <w:ind w:left="360" w:hanging="360"/>
      </w:pPr>
      <w:r>
        <w:rPr>
          <w:rFonts w:ascii="Times New Roman" w:hAnsi="Times New Roman" w:eastAsia="Times New Roman" w:cs="Times New Roman"/>
          <w:sz w:val="18"/>
        </w:rPr>
        <w:t xml:space="preserve">Waldman, S., Backenroth, D., Harney, E., Flohr, S., Neff, N. C., Buckley, G. M., et al. (2022). Genome-wide data from medieval German Jews show that the Ashkenazi founder event pre-dated the 14th century. Cell, 185, 4703-4716.e16. </w:t>
      </w:r>
      <w:hyperlink r:id="rId33">
        <w:r>
          <w:rPr>
            <w:rFonts w:ascii="Times New Roman" w:hAnsi="Times New Roman" w:eastAsia="Times New Roman" w:cs="Times New Roman"/>
            <w:sz w:val="18"/>
            <w:szCs w:val="18"/>
            <w:color w:val="0563C1"/>
            <w:u w:val="single"/>
          </w:rPr>
          <w:t>https://doi.org/10.1016/j.cell.2022.11.002</w:t>
        </w:r>
      </w:hyperlink>
    </w:p>
    <w:p>
      <w:pPr>
        <w:keepLines/>
        <w:spacing w:before="0" w:after="0" w:line="240" w:lineRule="auto"/>
        <w:ind w:left="360" w:hanging="360"/>
      </w:pPr>
      <w:r>
        <w:rPr>
          <w:rFonts w:ascii="Times New Roman" w:hAnsi="Times New Roman" w:eastAsia="Times New Roman" w:cs="Times New Roman"/>
          <w:sz w:val="18"/>
        </w:rPr>
        <w:t xml:space="preserve">Xue, J., Lencz, T., Darvasi, A., Pe'er, I., and Carmi, S. (2017). The time and place of European admixture in Ashkenazi Jewish history. PLOS Genetics, 13, e1006644. </w:t>
      </w:r>
      <w:hyperlink r:id="rId34">
        <w:r>
          <w:rPr>
            <w:rFonts w:ascii="Times New Roman" w:hAnsi="Times New Roman" w:eastAsia="Times New Roman" w:cs="Times New Roman"/>
            <w:sz w:val="18"/>
            <w:szCs w:val="18"/>
            <w:color w:val="0563C1"/>
            <w:u w:val="single"/>
          </w:rPr>
          <w:t>https://doi.org/10.1371/journal.pgen.1006644</w:t>
        </w:r>
      </w:hyperlink>
    </w:p>
    <w:p>
      <w:pPr>
        <w:keepLines/>
        <w:spacing w:before="0" w:after="0" w:line="240" w:lineRule="auto"/>
        <w:ind w:left="360" w:hanging="360"/>
      </w:pPr>
      <w:r>
        <w:rPr>
          <w:rFonts w:ascii="Times New Roman" w:hAnsi="Times New Roman" w:eastAsia="Times New Roman" w:cs="Times New Roman"/>
          <w:sz w:val="18"/>
        </w:rPr>
        <w:t xml:space="preserve">Zoossmann-Diskin, A. (2010). The origin of Eastern European Jews revealed by autosomal, sex chromosomal and mtDNA polymorphisms. Biology Direct, 5, 57. </w:t>
      </w:r>
      <w:hyperlink r:id="rId35">
        <w:r>
          <w:rPr>
            <w:rFonts w:ascii="Times New Roman" w:hAnsi="Times New Roman" w:eastAsia="Times New Roman" w:cs="Times New Roman"/>
            <w:sz w:val="18"/>
            <w:szCs w:val="18"/>
            <w:color w:val="0563C1"/>
            <w:u w:val="single"/>
          </w:rPr>
          <w:t>https://doi.org/10.1186/1745-6150-5-57</w:t>
        </w:r>
      </w:hyperlink>
    </w:p>
    <w:sectPr>
      <w:pgSz w:w="11910" w:h="16840"/>
      <w:pgMar w:header="390" w:footer="444" w:top="940" w:bottom="6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191552">
              <wp:simplePos x="0" y="0"/>
              <wp:positionH relativeFrom="page">
                <wp:posOffset>3804920</wp:posOffset>
              </wp:positionH>
              <wp:positionV relativeFrom="page">
                <wp:posOffset>10267800</wp:posOffset>
              </wp:positionV>
              <wp:extent cx="153670" cy="160020"/>
              <wp:effectExtent l="0" t="0" r="0" b="0"/>
              <wp:wrapNone/>
              <wp:docPr id="2" name="Textbox 2" descr="Centered page number footer." title="Page number footer"/>
              <wp:cNvGraphicFramePr>
                <a:graphicFrameLocks/>
              </wp:cNvGraphicFramePr>
              <a:graphic>
                <a:graphicData uri="http://schemas.microsoft.com/office/word/2010/wordprocessingShape">
                  <wps:wsp>
                    <wps:cNvPr id="2" name="Textbox 2"/>
                    <wps:cNvSpPr txBox="1"/>
                    <wps:spPr>
                      <a:xfrm>
                        <a:off x="0" y="0"/>
                        <a:ext cx="153670" cy="160020"/>
                      </a:xfrm>
                      <a:prstGeom prst="rect">
                        <a:avLst/>
                      </a:prstGeom>
                    </wps:spPr>
                    <wps:txbx>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9.600006pt;margin-top:808.48822pt;width:12.1pt;height:12.6pt;mso-position-horizontal-relative:page;mso-position-vertical-relative:page;z-index:-16124928" type="#_x0000_t202" id="docshape2" filled="false" stroked="false">
              <v:textbox inset="0,0,0,0">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191040">
              <wp:simplePos x="0" y="0"/>
              <wp:positionH relativeFrom="page">
                <wp:posOffset>5281676</wp:posOffset>
              </wp:positionH>
              <wp:positionV relativeFrom="page">
                <wp:posOffset>242321</wp:posOffset>
              </wp:positionV>
              <wp:extent cx="1581785" cy="145415"/>
              <wp:effectExtent l="0" t="0" r="0" b="0"/>
              <wp:wrapNone/>
              <wp:docPr id="1" name="Textbox 1" descr="Running header with author surname and abbreviated manuscript title." title="Running header"/>
              <wp:cNvGraphicFramePr>
                <a:graphicFrameLocks/>
              </wp:cNvGraphicFramePr>
              <a:graphic>
                <a:graphicData uri="http://schemas.microsoft.com/office/word/2010/wordprocessingShape">
                  <wps:wsp>
                    <wps:cNvPr id="1" name="Textbox 1"/>
                    <wps:cNvSpPr txBox="1"/>
                    <wps:spPr>
                      <a:xfrm>
                        <a:off x="0" y="0"/>
                        <a:ext cx="1581785" cy="145415"/>
                      </a:xfrm>
                      <a:prstGeom prst="rect">
                        <a:avLst/>
                      </a:prstGeom>
                    </wps:spPr>
                    <wps:txbx>
                      <w:txbxContent>
                        <w:p>
                          <w:pPr>
                            <w:spacing w:before="20"/>
                            <w:ind w:left="20" w:right="0" w:firstLine="0"/>
                            <w:jc w:val="left"/>
                            <w:rPr>
                              <w:sz w:val="16"/>
                            </w:rPr>
                          </w:pPr>
                          <w:r>
                            <w:rPr>
                              <w:sz w:val="16"/>
                            </w:rPr>
                            <w:t>Parker</w:t>
                          </w:r>
                          <w:r>
                            <w:rPr>
                              <w:spacing w:val="-5"/>
                              <w:sz w:val="16"/>
                            </w:rPr>
                            <w:t> </w:t>
                          </w:r>
                          <w:r>
                            <w:rPr>
                              <w:sz w:val="16"/>
                            </w:rPr>
                            <w:t>-</w:t>
                          </w:r>
                          <w:r>
                            <w:rPr>
                              <w:spacing w:val="-8"/>
                              <w:sz w:val="16"/>
                            </w:rPr>
                            <w:t> </w:t>
                          </w:r>
                          <w:r>
                            <w:rPr>
                              <w:sz w:val="16"/>
                            </w:rPr>
                            <w:t>Reference-panel</w:t>
                          </w:r>
                          <w:r>
                            <w:rPr>
                              <w:spacing w:val="-7"/>
                              <w:sz w:val="16"/>
                            </w:rPr>
                            <w:t> </w:t>
                          </w:r>
                          <w:r>
                            <w:rPr>
                              <w:spacing w:val="-2"/>
                              <w:sz w:val="16"/>
                            </w:rPr>
                            <w:t>sensitivity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880005pt;margin-top:19.080421pt;width:124.55pt;height:11.45pt;mso-position-horizontal-relative:page;mso-position-vertical-relative:page;z-index:-16125440" type="#_x0000_t202" id="docshape1" filled="false" stroked="false">
              <v:textbox inset="0,0,0,0">
                <w:txbxContent>
                  <w:p>
                    <w:pPr>
                      <w:spacing w:before="20"/>
                      <w:ind w:left="20" w:right="0" w:firstLine="0"/>
                      <w:jc w:val="left"/>
                      <w:rPr>
                        <w:sz w:val="16"/>
                      </w:rPr>
                    </w:pPr>
                    <w:r>
                      <w:rPr>
                        <w:sz w:val="16"/>
                      </w:rPr>
                      <w:t>Parker</w:t>
                    </w:r>
                    <w:r>
                      <w:rPr>
                        <w:spacing w:val="-5"/>
                        <w:sz w:val="16"/>
                      </w:rPr>
                      <w:t> </w:t>
                    </w:r>
                    <w:r>
                      <w:rPr>
                        <w:sz w:val="16"/>
                      </w:rPr>
                      <w:t>-</w:t>
                    </w:r>
                    <w:r>
                      <w:rPr>
                        <w:spacing w:val="-8"/>
                        <w:sz w:val="16"/>
                      </w:rPr>
                      <w:t> </w:t>
                    </w:r>
                    <w:r>
                      <w:rPr>
                        <w:sz w:val="16"/>
                      </w:rPr>
                      <w:t>Reference-panel</w:t>
                    </w:r>
                    <w:r>
                      <w:rPr>
                        <w:spacing w:val="-7"/>
                        <w:sz w:val="16"/>
                      </w:rPr>
                      <w:t> </w:t>
                    </w:r>
                    <w:r>
                      <w:rPr>
                        <w:spacing w:val="-2"/>
                        <w:sz w:val="16"/>
                      </w:rPr>
                      <w:t>sensitivity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85" w:hanging="255"/>
        <w:jc w:val="left"/>
      </w:pPr>
      <w:rPr>
        <w:rFonts w:hint="default" w:ascii="Cambria" w:hAnsi="Cambria" w:eastAsia="Cambria" w:cs="Cambria"/>
        <w:b w:val="0"/>
        <w:bCs w:val="0"/>
        <w:i w:val="0"/>
        <w:iCs w:val="0"/>
        <w:spacing w:val="0"/>
        <w:w w:val="99"/>
        <w:sz w:val="26"/>
        <w:szCs w:val="26"/>
        <w:lang w:val="en-US" w:eastAsia="en-US" w:bidi="ar-SA"/>
      </w:rPr>
    </w:lvl>
    <w:lvl w:ilvl="1">
      <w:start w:val="1"/>
      <w:numFmt w:val="decimal"/>
      <w:lvlText w:val="%1.%2"/>
      <w:lvlJc w:val="left"/>
      <w:pPr>
        <w:ind w:left="484" w:hanging="353"/>
        <w:jc w:val="left"/>
      </w:pPr>
      <w:rPr>
        <w:rFonts w:hint="default" w:ascii="Cambria" w:hAnsi="Cambria" w:eastAsia="Cambria" w:cs="Cambria"/>
        <w:b w:val="0"/>
        <w:bCs w:val="0"/>
        <w:i w:val="0"/>
        <w:iCs w:val="0"/>
        <w:spacing w:val="-1"/>
        <w:w w:val="100"/>
        <w:sz w:val="23"/>
        <w:szCs w:val="23"/>
        <w:lang w:val="en-US" w:eastAsia="en-US" w:bidi="ar-SA"/>
      </w:rPr>
    </w:lvl>
    <w:lvl w:ilvl="2">
      <w:start w:val="0"/>
      <w:numFmt w:val="bullet"/>
      <w:lvlText w:val="•"/>
      <w:lvlJc w:val="left"/>
      <w:pPr>
        <w:ind w:left="1529" w:hanging="353"/>
      </w:pPr>
      <w:rPr>
        <w:rFonts w:hint="default"/>
        <w:lang w:val="en-US" w:eastAsia="en-US" w:bidi="ar-SA"/>
      </w:rPr>
    </w:lvl>
    <w:lvl w:ilvl="3">
      <w:start w:val="0"/>
      <w:numFmt w:val="bullet"/>
      <w:lvlText w:val="•"/>
      <w:lvlJc w:val="left"/>
      <w:pPr>
        <w:ind w:left="2578" w:hanging="353"/>
      </w:pPr>
      <w:rPr>
        <w:rFonts w:hint="default"/>
        <w:lang w:val="en-US" w:eastAsia="en-US" w:bidi="ar-SA"/>
      </w:rPr>
    </w:lvl>
    <w:lvl w:ilvl="4">
      <w:start w:val="0"/>
      <w:numFmt w:val="bullet"/>
      <w:lvlText w:val="•"/>
      <w:lvlJc w:val="left"/>
      <w:pPr>
        <w:ind w:left="3628" w:hanging="353"/>
      </w:pPr>
      <w:rPr>
        <w:rFonts w:hint="default"/>
        <w:lang w:val="en-US" w:eastAsia="en-US" w:bidi="ar-SA"/>
      </w:rPr>
    </w:lvl>
    <w:lvl w:ilvl="5">
      <w:start w:val="0"/>
      <w:numFmt w:val="bullet"/>
      <w:lvlText w:val="•"/>
      <w:lvlJc w:val="left"/>
      <w:pPr>
        <w:ind w:left="4677" w:hanging="353"/>
      </w:pPr>
      <w:rPr>
        <w:rFonts w:hint="default"/>
        <w:lang w:val="en-US" w:eastAsia="en-US" w:bidi="ar-SA"/>
      </w:rPr>
    </w:lvl>
    <w:lvl w:ilvl="6">
      <w:start w:val="0"/>
      <w:numFmt w:val="bullet"/>
      <w:lvlText w:val="•"/>
      <w:lvlJc w:val="left"/>
      <w:pPr>
        <w:ind w:left="5727" w:hanging="353"/>
      </w:pPr>
      <w:rPr>
        <w:rFonts w:hint="default"/>
        <w:lang w:val="en-US" w:eastAsia="en-US" w:bidi="ar-SA"/>
      </w:rPr>
    </w:lvl>
    <w:lvl w:ilvl="7">
      <w:start w:val="0"/>
      <w:numFmt w:val="bullet"/>
      <w:lvlText w:val="•"/>
      <w:lvlJc w:val="left"/>
      <w:pPr>
        <w:ind w:left="6776" w:hanging="353"/>
      </w:pPr>
      <w:rPr>
        <w:rFonts w:hint="default"/>
        <w:lang w:val="en-US" w:eastAsia="en-US" w:bidi="ar-SA"/>
      </w:rPr>
    </w:lvl>
    <w:lvl w:ilvl="8">
      <w:start w:val="0"/>
      <w:numFmt w:val="bullet"/>
      <w:lvlText w:val="•"/>
      <w:lvlJc w:val="left"/>
      <w:pPr>
        <w:ind w:left="7825" w:hanging="35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99"/>
      <w:ind w:left="131" w:firstLine="316"/>
      <w:jc w:val="both"/>
    </w:pPr>
    <w:rPr>
      <w:rFonts w:ascii="Cambria" w:hAnsi="Cambria" w:eastAsia="Cambria" w:cs="Cambria"/>
      <w:sz w:val="21"/>
      <w:szCs w:val="21"/>
      <w:lang w:val="en-US" w:eastAsia="en-US" w:bidi="ar-SA"/>
    </w:rPr>
  </w:style>
  <w:style w:styleId="Heading1" w:type="paragraph">
    <w:name w:val="Heading 1"/>
    <w:basedOn w:val="Normal"/>
    <w:uiPriority w:val="1"/>
    <w:qFormat/>
    <w:pPr>
      <w:ind w:left="131"/>
      <w:outlineLvl w:val="1"/>
    </w:pPr>
    <w:rPr>
      <w:rFonts w:ascii="Cambria" w:hAnsi="Cambria" w:eastAsia="Cambria" w:cs="Cambria"/>
      <w:sz w:val="26"/>
      <w:szCs w:val="26"/>
      <w:lang w:val="en-US" w:eastAsia="en-US" w:bidi="ar-SA"/>
    </w:rPr>
  </w:style>
  <w:style w:styleId="Heading2" w:type="paragraph">
    <w:name w:val="Heading 2"/>
    <w:basedOn w:val="Normal"/>
    <w:uiPriority w:val="1"/>
    <w:qFormat/>
    <w:pPr>
      <w:spacing w:before="178"/>
      <w:ind w:left="482" w:hanging="351"/>
      <w:jc w:val="both"/>
      <w:outlineLvl w:val="2"/>
    </w:pPr>
    <w:rPr>
      <w:rFonts w:ascii="Cambria" w:hAnsi="Cambria" w:eastAsia="Cambria" w:cs="Cambria"/>
      <w:sz w:val="23"/>
      <w:szCs w:val="23"/>
      <w:lang w:val="en-US" w:eastAsia="en-US" w:bidi="ar-SA"/>
    </w:rPr>
  </w:style>
  <w:style w:styleId="Title" w:type="paragraph">
    <w:name w:val="Title"/>
    <w:basedOn w:val="Normal"/>
    <w:uiPriority w:val="1"/>
    <w:qFormat/>
    <w:pPr>
      <w:spacing w:before="91"/>
      <w:ind w:left="111" w:right="109"/>
      <w:jc w:val="center"/>
    </w:pPr>
    <w:rPr>
      <w:rFonts w:ascii="Cambria" w:hAnsi="Cambria" w:eastAsia="Cambria" w:cs="Cambria"/>
      <w:sz w:val="32"/>
      <w:szCs w:val="32"/>
      <w:lang w:val="en-US" w:eastAsia="en-US" w:bidi="ar-SA"/>
    </w:rPr>
  </w:style>
  <w:style w:styleId="ListParagraph" w:type="paragraph">
    <w:name w:val="List Paragraph"/>
    <w:basedOn w:val="Normal"/>
    <w:uiPriority w:val="1"/>
    <w:qFormat/>
    <w:pPr>
      <w:ind w:left="482" w:hanging="351"/>
      <w:jc w:val="both"/>
    </w:pPr>
    <w:rPr>
      <w:rFonts w:ascii="Cambria" w:hAnsi="Cambria" w:eastAsia="Cambria" w:cs="Cambria"/>
      <w:lang w:val="en-US" w:eastAsia="en-US" w:bidi="ar-SA"/>
    </w:rPr>
  </w:style>
  <w:style w:styleId="TableParagraph" w:type="paragraph">
    <w:name w:val="Table Paragraph"/>
    <w:basedOn w:val="Normal"/>
    <w:uiPriority w:val="1"/>
    <w:qFormat/>
    <w:pPr>
      <w:spacing w:before="30"/>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tevenparker@ashkenaziresearch.org"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hyperlink" Target="https://doi.org/10.1016/j.ajhg.2010.04.015" TargetMode="External"/><Relationship Id="rId15" Type="http://schemas.openxmlformats.org/officeDocument/2006/relationships/hyperlink" Target="https://doi.org/10.1007/s00439-003-1073-7" TargetMode="External"/><Relationship Id="rId16" Type="http://schemas.openxmlformats.org/officeDocument/2006/relationships/hyperlink" Target="https://doi.org/10.1038/nature09103" TargetMode="External"/><Relationship Id="rId17" Type="http://schemas.openxmlformats.org/officeDocument/2006/relationships/hyperlink" Target="https://doi.org/10.1016/j.cub.2022.08.036" TargetMode="External"/><Relationship Id="rId18" Type="http://schemas.openxmlformats.org/officeDocument/2006/relationships/hyperlink" Target="https://doi.org/10.1073/pnas.1004381107" TargetMode="External"/><Relationship Id="rId19" Type="http://schemas.openxmlformats.org/officeDocument/2006/relationships/hyperlink" Target="https://doi.org/10.1073/pnas.1204840109" TargetMode="External"/><Relationship Id="rId20" Type="http://schemas.openxmlformats.org/officeDocument/2006/relationships/hyperlink" Target="https://doi.org/10.1111/ahg.12328" TargetMode="External"/><Relationship Id="rId21" Type="http://schemas.openxmlformats.org/officeDocument/2006/relationships/hyperlink" Target="https://doi.org/10.1007/s00439-009-0727-5" TargetMode="External"/><Relationship Id="rId22" Type="http://schemas.openxmlformats.org/officeDocument/2006/relationships/hyperlink" Target="https://doi.org/10.1073/pnas.100115997" TargetMode="External"/><Relationship Id="rId23" Type="http://schemas.openxmlformats.org/officeDocument/2006/relationships/hyperlink" Target="https://doi.org/10.1186/1471-2156-10-80" TargetMode="External"/><Relationship Id="rId24" Type="http://schemas.openxmlformats.org/officeDocument/2006/relationships/hyperlink" Target="https://doi.org/10.1038/s41467-018-05257-7" TargetMode="External"/><Relationship Id="rId25" Type="http://schemas.openxmlformats.org/officeDocument/2006/relationships/hyperlink" Target="https://doi.org/10.1038/s41467-025-59936-3" TargetMode="External"/><Relationship Id="rId26" Type="http://schemas.openxmlformats.org/officeDocument/2006/relationships/hyperlink" Target="https://doi.org/10.1186/1471-2156-11-48" TargetMode="External"/><Relationship Id="rId27" Type="http://schemas.openxmlformats.org/officeDocument/2006/relationships/hyperlink" Target="https://doi.org/10.1086/324070" TargetMode="External"/><Relationship Id="rId28" Type="http://schemas.openxmlformats.org/officeDocument/2006/relationships/hyperlink" Target="https://doi.org/10.1007/s00439-012-1235-6" TargetMode="External"/><Relationship Id="rId29" Type="http://schemas.openxmlformats.org/officeDocument/2006/relationships/hyperlink" Target="https://doi.org/10.1038/ncomms15694" TargetMode="External"/><Relationship Id="rId30" Type="http://schemas.openxmlformats.org/officeDocument/2006/relationships/hyperlink" Target="https://doi.org/10.1086/386295" TargetMode="External"/><Relationship Id="rId31" Type="http://schemas.openxmlformats.org/officeDocument/2006/relationships/hyperlink" Target="https://doi.org/10.1002/humu.20077" TargetMode="External"/><Relationship Id="rId32" Type="http://schemas.openxmlformats.org/officeDocument/2006/relationships/hyperlink" Target="https://doi.org/10.2119/molmed.2009.00094" TargetMode="External"/><Relationship Id="rId33" Type="http://schemas.openxmlformats.org/officeDocument/2006/relationships/hyperlink" Target="https://doi.org/10.1016/j.cell.2022.11.002" TargetMode="External"/><Relationship Id="rId34" Type="http://schemas.openxmlformats.org/officeDocument/2006/relationships/hyperlink" Target="https://doi.org/10.1371/journal.pgen.1006644" TargetMode="External"/><Relationship Id="rId35" Type="http://schemas.openxmlformats.org/officeDocument/2006/relationships/hyperlink" Target="https://doi.org/10.1186/1745-6150-5-57"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Manager/>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Parker</dc:creator>
  <cp:category/>
  <dc:description/>
  <cp:keywords>Ashkenazi Jews, reference-panel sensitivity, Global25, Southern Italy, Italki, central Mediterranean</cp:keywords>
  <dc:subject>Version 1 preprint manuscript</dc:subject>
  <dc:title>Ashkenazi Population Structure Reassessed: Reference-Panel Sensitivity and the Europe-Levant Cline</dc:title>
  <dcterms:created xsi:type="dcterms:W3CDTF">2026-07-17T14:37:47Z</dcterms:created>
  <dcterms:modified xsi:type="dcterms:W3CDTF">2026-07-17T14:37:47Z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2026-07-17T00:00:00Z</vt:filetime>
  </property>
  <property fmtid="{D5CDD505-2E9C-101B-9397-08002B2CF9AE}" pid="3" name="Creator">
    <vt:lpwstr>Acrobat PDFMaker 26 for Word</vt:lpwstr>
  </property>
  <property fmtid="{D5CDD505-2E9C-101B-9397-08002B2CF9AE}" pid="4" name="LastSaved">
    <vt:filetime>2026-07-17T00:00:00Z</vt:filetime>
  </property>
  <property fmtid="{D5CDD505-2E9C-101B-9397-08002B2CF9AE}" pid="5" name="Producer">
    <vt:lpwstr>Adobe PDF Library 26.1.25</vt:lpwstr>
  </property>
  <property fmtid="{D5CDD505-2E9C-101B-9397-08002B2CF9AE}" pid="6" name="SourceModified">
    <vt:lpwstr>D:20260717212548</vt:lpwstr>
  </property>
</Properties>
</file>