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4"/>
        </w:rPr>
        <w:t>Supplementary Appendix</w:t>
      </w:r>
    </w:p>
    <w:p>
      <w:pPr>
        <w:jc w:val="center"/>
      </w:pPr>
      <w:r>
        <w:rPr>
          <w:rFonts w:ascii="Arial" w:hAnsi="Arial"/>
          <w:b/>
          <w:sz w:val="24"/>
        </w:rPr>
        <w:t>Ashkenazi Population Structure Reassessed: Reference-Panel Sensitivity and the Europe-Levant Cline</w:t>
      </w:r>
    </w:p>
    <w:p>
      <w:pPr>
        <w:jc w:val="center"/>
      </w:pPr>
      <w:r>
        <w:rPr>
          <w:rFonts w:ascii="Arial" w:hAnsi="Arial"/>
          <w:sz w:val="20"/>
        </w:rPr>
        <w:t>Steven Parker</w:t>
      </w:r>
    </w:p>
    <w:p>
      <w:r>
        <w:rPr>
          <w:b/>
          <w:sz w:val="24"/>
        </w:rPr>
        <w:t>Scope</w:t>
      </w:r>
    </w:p>
    <w:p>
      <w:r>
        <w:t>This appendix preserves the limited pairwise FST outputs retained in the manuscript as descriptive secondary comparisons. The values were obtained through the IllustrativeDNA Admix Lab web interface using Human Origins v62.0 with Adjust Pseudohaploids set to NO. The underlying genotype files and the complete web-platform filtering pipeline were not available for independent audit. These tables are therefore not treated as primary evidence, formal demographic estimates, or a command-line replication.</w:t>
      </w:r>
    </w:p>
    <w:p>
      <w:r>
        <w:rPr>
          <w:b/>
          <w:sz w:val="20"/>
        </w:rPr>
        <w:t>Table S1. Pairwise FST distances from Jew_Ashkenazi.HO to declared comparator populations.</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4"/>
        <w:gridCol w:w="2494"/>
        <w:gridCol w:w="2494"/>
        <w:gridCol w:w="2494"/>
      </w:tblGrid>
      <w:tr>
        <w:trPr>
          <w:tblHeader w:val="true"/>
        </w:trPr>
        <w:tc>
          <w:tcPr>
            <w:tcW w:type="dxa" w:w="737"/>
            <w:vAlign w:val="center"/>
            <w:shd w:fill="D9EAF7"/>
          </w:tcPr>
          <w:p>
            <w:pPr>
              <w:spacing w:after="0"/>
            </w:pPr>
            <w:r/>
            <w:r>
              <w:rPr>
                <w:rFonts w:ascii="Arial" w:hAnsi="Arial"/>
                <w:b/>
                <w:sz w:val="17"/>
              </w:rPr>
              <w:t>Rank</w:t>
            </w:r>
          </w:p>
        </w:tc>
        <w:tc>
          <w:tcPr>
            <w:tcW w:type="dxa" w:w="4422"/>
            <w:vAlign w:val="center"/>
            <w:shd w:fill="D9EAF7"/>
          </w:tcPr>
          <w:p>
            <w:pPr>
              <w:spacing w:after="0"/>
            </w:pPr>
            <w:r/>
            <w:r>
              <w:rPr>
                <w:rFonts w:ascii="Arial" w:hAnsi="Arial"/>
                <w:b/>
                <w:sz w:val="17"/>
              </w:rPr>
              <w:t>Comparator population</w:t>
            </w:r>
          </w:p>
        </w:tc>
        <w:tc>
          <w:tcPr>
            <w:tcW w:type="dxa" w:w="1701"/>
            <w:vAlign w:val="center"/>
            <w:shd w:fill="D9EAF7"/>
          </w:tcPr>
          <w:p>
            <w:pPr>
              <w:spacing w:after="0"/>
            </w:pPr>
            <w:r/>
            <w:r>
              <w:rPr>
                <w:rFonts w:ascii="Arial" w:hAnsi="Arial"/>
                <w:b/>
                <w:sz w:val="17"/>
              </w:rPr>
              <w:t>FST distance</w:t>
            </w:r>
          </w:p>
        </w:tc>
        <w:tc>
          <w:tcPr>
            <w:tcW w:type="dxa" w:w="1701"/>
            <w:vAlign w:val="center"/>
            <w:shd w:fill="D9EAF7"/>
          </w:tcPr>
          <w:p>
            <w:pPr>
              <w:spacing w:after="0"/>
            </w:pPr>
            <w:r/>
            <w:r>
              <w:rPr>
                <w:rFonts w:ascii="Arial" w:hAnsi="Arial"/>
                <w:b/>
                <w:sz w:val="17"/>
              </w:rPr>
              <w:t>Standard error</w:t>
            </w:r>
          </w:p>
        </w:tc>
      </w:tr>
      <w:tr>
        <w:tc>
          <w:tcPr>
            <w:tcW w:type="dxa" w:w="737"/>
            <w:vAlign w:val="center"/>
          </w:tcPr>
          <w:p>
            <w:pPr>
              <w:spacing w:after="0"/>
            </w:pPr>
            <w:r/>
            <w:r>
              <w:rPr>
                <w:rFonts w:ascii="Arial" w:hAnsi="Arial"/>
                <w:b w:val="0"/>
                <w:sz w:val="17"/>
              </w:rPr>
              <w:t>1</w:t>
            </w:r>
          </w:p>
        </w:tc>
        <w:tc>
          <w:tcPr>
            <w:tcW w:type="dxa" w:w="4422"/>
            <w:vAlign w:val="center"/>
          </w:tcPr>
          <w:p>
            <w:pPr>
              <w:spacing w:after="0"/>
            </w:pPr>
            <w:r/>
            <w:r>
              <w:rPr>
                <w:rFonts w:ascii="Arial" w:hAnsi="Arial"/>
                <w:b w:val="0"/>
                <w:sz w:val="17"/>
              </w:rPr>
              <w:t>Cretan.DG</w:t>
            </w:r>
          </w:p>
        </w:tc>
        <w:tc>
          <w:tcPr>
            <w:tcW w:type="dxa" w:w="1701"/>
            <w:vAlign w:val="center"/>
          </w:tcPr>
          <w:p>
            <w:pPr>
              <w:spacing w:after="0"/>
            </w:pPr>
            <w:r/>
            <w:r>
              <w:rPr>
                <w:rFonts w:ascii="Arial" w:hAnsi="Arial"/>
                <w:b w:val="0"/>
                <w:sz w:val="17"/>
              </w:rPr>
              <w:t>0.0049</w:t>
            </w:r>
          </w:p>
        </w:tc>
        <w:tc>
          <w:tcPr>
            <w:tcW w:type="dxa" w:w="1701"/>
            <w:vAlign w:val="center"/>
          </w:tcPr>
          <w:p>
            <w:pPr>
              <w:spacing w:after="0"/>
            </w:pPr>
            <w:r/>
            <w:r>
              <w:rPr>
                <w:rFonts w:ascii="Arial" w:hAnsi="Arial"/>
                <w:b w:val="0"/>
                <w:sz w:val="17"/>
              </w:rPr>
              <w:t>0.00124</w:t>
            </w:r>
          </w:p>
        </w:tc>
      </w:tr>
      <w:tr>
        <w:tc>
          <w:tcPr>
            <w:tcW w:type="dxa" w:w="737"/>
            <w:vAlign w:val="center"/>
          </w:tcPr>
          <w:p>
            <w:pPr>
              <w:spacing w:after="0"/>
            </w:pPr>
            <w:r/>
            <w:r>
              <w:rPr>
                <w:rFonts w:ascii="Arial" w:hAnsi="Arial"/>
                <w:b w:val="0"/>
                <w:sz w:val="17"/>
              </w:rPr>
              <w:t>2</w:t>
            </w:r>
          </w:p>
        </w:tc>
        <w:tc>
          <w:tcPr>
            <w:tcW w:type="dxa" w:w="4422"/>
            <w:vAlign w:val="center"/>
          </w:tcPr>
          <w:p>
            <w:pPr>
              <w:spacing w:after="0"/>
            </w:pPr>
            <w:r/>
            <w:r>
              <w:rPr>
                <w:rFonts w:ascii="Arial" w:hAnsi="Arial"/>
                <w:b w:val="0"/>
                <w:sz w:val="17"/>
              </w:rPr>
              <w:t>Italian_South.HO</w:t>
            </w:r>
          </w:p>
        </w:tc>
        <w:tc>
          <w:tcPr>
            <w:tcW w:type="dxa" w:w="1701"/>
            <w:vAlign w:val="center"/>
          </w:tcPr>
          <w:p>
            <w:pPr>
              <w:spacing w:after="0"/>
            </w:pPr>
            <w:r/>
            <w:r>
              <w:rPr>
                <w:rFonts w:ascii="Arial" w:hAnsi="Arial"/>
                <w:b w:val="0"/>
                <w:sz w:val="17"/>
              </w:rPr>
              <w:t>0.0049</w:t>
            </w:r>
          </w:p>
        </w:tc>
        <w:tc>
          <w:tcPr>
            <w:tcW w:type="dxa" w:w="1701"/>
            <w:vAlign w:val="center"/>
          </w:tcPr>
          <w:p>
            <w:pPr>
              <w:spacing w:after="0"/>
            </w:pPr>
            <w:r/>
            <w:r>
              <w:rPr>
                <w:rFonts w:ascii="Arial" w:hAnsi="Arial"/>
                <w:b w:val="0"/>
                <w:sz w:val="17"/>
              </w:rPr>
              <w:t>0.00033</w:t>
            </w:r>
          </w:p>
        </w:tc>
      </w:tr>
      <w:tr>
        <w:tc>
          <w:tcPr>
            <w:tcW w:type="dxa" w:w="737"/>
            <w:vAlign w:val="center"/>
          </w:tcPr>
          <w:p>
            <w:pPr>
              <w:spacing w:after="0"/>
            </w:pPr>
            <w:r/>
            <w:r>
              <w:rPr>
                <w:rFonts w:ascii="Arial" w:hAnsi="Arial"/>
                <w:b w:val="0"/>
                <w:sz w:val="17"/>
              </w:rPr>
              <w:t>3</w:t>
            </w:r>
          </w:p>
        </w:tc>
        <w:tc>
          <w:tcPr>
            <w:tcW w:type="dxa" w:w="4422"/>
            <w:vAlign w:val="center"/>
          </w:tcPr>
          <w:p>
            <w:pPr>
              <w:spacing w:after="0"/>
            </w:pPr>
            <w:r/>
            <w:r>
              <w:rPr>
                <w:rFonts w:ascii="Arial" w:hAnsi="Arial"/>
                <w:b w:val="0"/>
                <w:sz w:val="17"/>
              </w:rPr>
              <w:t>Sicilian.HO</w:t>
            </w:r>
          </w:p>
        </w:tc>
        <w:tc>
          <w:tcPr>
            <w:tcW w:type="dxa" w:w="1701"/>
            <w:vAlign w:val="center"/>
          </w:tcPr>
          <w:p>
            <w:pPr>
              <w:spacing w:after="0"/>
            </w:pPr>
            <w:r/>
            <w:r>
              <w:rPr>
                <w:rFonts w:ascii="Arial" w:hAnsi="Arial"/>
                <w:b w:val="0"/>
                <w:sz w:val="17"/>
              </w:rPr>
              <w:t>0.0052</w:t>
            </w:r>
          </w:p>
        </w:tc>
        <w:tc>
          <w:tcPr>
            <w:tcW w:type="dxa" w:w="1701"/>
            <w:vAlign w:val="center"/>
          </w:tcPr>
          <w:p>
            <w:pPr>
              <w:spacing w:after="0"/>
            </w:pPr>
            <w:r/>
            <w:r>
              <w:rPr>
                <w:rFonts w:ascii="Arial" w:hAnsi="Arial"/>
                <w:b w:val="0"/>
                <w:sz w:val="17"/>
              </w:rPr>
              <w:t>0.00041</w:t>
            </w:r>
          </w:p>
        </w:tc>
      </w:tr>
      <w:tr>
        <w:tc>
          <w:tcPr>
            <w:tcW w:type="dxa" w:w="737"/>
            <w:vAlign w:val="center"/>
          </w:tcPr>
          <w:p>
            <w:pPr>
              <w:spacing w:after="0"/>
            </w:pPr>
            <w:r/>
            <w:r>
              <w:rPr>
                <w:rFonts w:ascii="Arial" w:hAnsi="Arial"/>
                <w:b w:val="0"/>
                <w:sz w:val="17"/>
              </w:rPr>
              <w:t>4</w:t>
            </w:r>
          </w:p>
        </w:tc>
        <w:tc>
          <w:tcPr>
            <w:tcW w:type="dxa" w:w="4422"/>
            <w:vAlign w:val="center"/>
          </w:tcPr>
          <w:p>
            <w:pPr>
              <w:spacing w:after="0"/>
            </w:pPr>
            <w:r/>
            <w:r>
              <w:rPr>
                <w:rFonts w:ascii="Arial" w:hAnsi="Arial"/>
                <w:b w:val="0"/>
                <w:sz w:val="17"/>
              </w:rPr>
              <w:t>Greek.HO</w:t>
            </w:r>
          </w:p>
        </w:tc>
        <w:tc>
          <w:tcPr>
            <w:tcW w:type="dxa" w:w="1701"/>
            <w:vAlign w:val="center"/>
          </w:tcPr>
          <w:p>
            <w:pPr>
              <w:spacing w:after="0"/>
            </w:pPr>
            <w:r/>
            <w:r>
              <w:rPr>
                <w:rFonts w:ascii="Arial" w:hAnsi="Arial"/>
                <w:b w:val="0"/>
                <w:sz w:val="17"/>
              </w:rPr>
              <w:t>0.0055</w:t>
            </w:r>
          </w:p>
        </w:tc>
        <w:tc>
          <w:tcPr>
            <w:tcW w:type="dxa" w:w="1701"/>
            <w:vAlign w:val="center"/>
          </w:tcPr>
          <w:p>
            <w:pPr>
              <w:spacing w:after="0"/>
            </w:pPr>
            <w:r/>
            <w:r>
              <w:rPr>
                <w:rFonts w:ascii="Arial" w:hAnsi="Arial"/>
                <w:b w:val="0"/>
                <w:sz w:val="17"/>
              </w:rPr>
              <w:t>0.00035</w:t>
            </w:r>
          </w:p>
        </w:tc>
      </w:tr>
      <w:tr>
        <w:tc>
          <w:tcPr>
            <w:tcW w:type="dxa" w:w="737"/>
            <w:vAlign w:val="center"/>
          </w:tcPr>
          <w:p>
            <w:pPr>
              <w:spacing w:after="0"/>
            </w:pPr>
            <w:r/>
            <w:r>
              <w:rPr>
                <w:rFonts w:ascii="Arial" w:hAnsi="Arial"/>
                <w:b w:val="0"/>
                <w:sz w:val="17"/>
              </w:rPr>
              <w:t>5</w:t>
            </w:r>
          </w:p>
        </w:tc>
        <w:tc>
          <w:tcPr>
            <w:tcW w:type="dxa" w:w="4422"/>
            <w:vAlign w:val="center"/>
          </w:tcPr>
          <w:p>
            <w:pPr>
              <w:spacing w:after="0"/>
            </w:pPr>
            <w:r/>
            <w:r>
              <w:rPr>
                <w:rFonts w:ascii="Arial" w:hAnsi="Arial"/>
                <w:b w:val="0"/>
                <w:sz w:val="17"/>
              </w:rPr>
              <w:t>Maltese.HO</w:t>
            </w:r>
          </w:p>
        </w:tc>
        <w:tc>
          <w:tcPr>
            <w:tcW w:type="dxa" w:w="1701"/>
            <w:vAlign w:val="center"/>
          </w:tcPr>
          <w:p>
            <w:pPr>
              <w:spacing w:after="0"/>
            </w:pPr>
            <w:r/>
            <w:r>
              <w:rPr>
                <w:rFonts w:ascii="Arial" w:hAnsi="Arial"/>
                <w:b w:val="0"/>
                <w:sz w:val="17"/>
              </w:rPr>
              <w:t>0.0066</w:t>
            </w:r>
          </w:p>
        </w:tc>
        <w:tc>
          <w:tcPr>
            <w:tcW w:type="dxa" w:w="1701"/>
            <w:vAlign w:val="center"/>
          </w:tcPr>
          <w:p>
            <w:pPr>
              <w:spacing w:after="0"/>
            </w:pPr>
            <w:r/>
            <w:r>
              <w:rPr>
                <w:rFonts w:ascii="Arial" w:hAnsi="Arial"/>
                <w:b w:val="0"/>
                <w:sz w:val="17"/>
              </w:rPr>
              <w:t>0.00045</w:t>
            </w:r>
          </w:p>
        </w:tc>
      </w:tr>
      <w:tr>
        <w:tc>
          <w:tcPr>
            <w:tcW w:type="dxa" w:w="737"/>
            <w:vAlign w:val="center"/>
          </w:tcPr>
          <w:p>
            <w:pPr>
              <w:spacing w:after="0"/>
            </w:pPr>
            <w:r/>
            <w:r>
              <w:rPr>
                <w:rFonts w:ascii="Arial" w:hAnsi="Arial"/>
                <w:b w:val="0"/>
                <w:sz w:val="17"/>
              </w:rPr>
              <w:t>6</w:t>
            </w:r>
          </w:p>
        </w:tc>
        <w:tc>
          <w:tcPr>
            <w:tcW w:type="dxa" w:w="4422"/>
            <w:vAlign w:val="center"/>
          </w:tcPr>
          <w:p>
            <w:pPr>
              <w:spacing w:after="0"/>
            </w:pPr>
            <w:r/>
            <w:r>
              <w:rPr>
                <w:rFonts w:ascii="Arial" w:hAnsi="Arial"/>
                <w:b w:val="0"/>
                <w:sz w:val="17"/>
              </w:rPr>
              <w:t>Jew_Moroccan.HO</w:t>
            </w:r>
          </w:p>
        </w:tc>
        <w:tc>
          <w:tcPr>
            <w:tcW w:type="dxa" w:w="1701"/>
            <w:vAlign w:val="center"/>
          </w:tcPr>
          <w:p>
            <w:pPr>
              <w:spacing w:after="0"/>
            </w:pPr>
            <w:r/>
            <w:r>
              <w:rPr>
                <w:rFonts w:ascii="Arial" w:hAnsi="Arial"/>
                <w:b w:val="0"/>
                <w:sz w:val="17"/>
              </w:rPr>
              <w:t>0.0091</w:t>
            </w:r>
          </w:p>
        </w:tc>
        <w:tc>
          <w:tcPr>
            <w:tcW w:type="dxa" w:w="1701"/>
            <w:vAlign w:val="center"/>
          </w:tcPr>
          <w:p>
            <w:pPr>
              <w:spacing w:after="0"/>
            </w:pPr>
            <w:r/>
            <w:r>
              <w:rPr>
                <w:rFonts w:ascii="Arial" w:hAnsi="Arial"/>
                <w:b w:val="0"/>
                <w:sz w:val="17"/>
              </w:rPr>
              <w:t>0.00058</w:t>
            </w:r>
          </w:p>
        </w:tc>
      </w:tr>
      <w:tr>
        <w:tc>
          <w:tcPr>
            <w:tcW w:type="dxa" w:w="737"/>
            <w:vAlign w:val="center"/>
          </w:tcPr>
          <w:p>
            <w:pPr>
              <w:spacing w:after="0"/>
            </w:pPr>
            <w:r/>
            <w:r>
              <w:rPr>
                <w:rFonts w:ascii="Arial" w:hAnsi="Arial"/>
                <w:b w:val="0"/>
                <w:sz w:val="17"/>
              </w:rPr>
              <w:t>7</w:t>
            </w:r>
          </w:p>
        </w:tc>
        <w:tc>
          <w:tcPr>
            <w:tcW w:type="dxa" w:w="4422"/>
            <w:vAlign w:val="center"/>
          </w:tcPr>
          <w:p>
            <w:pPr>
              <w:spacing w:after="0"/>
            </w:pPr>
            <w:r/>
            <w:r>
              <w:rPr>
                <w:rFonts w:ascii="Arial" w:hAnsi="Arial"/>
                <w:b w:val="0"/>
                <w:sz w:val="17"/>
              </w:rPr>
              <w:t>Jew_Iraqi.DG</w:t>
            </w:r>
          </w:p>
        </w:tc>
        <w:tc>
          <w:tcPr>
            <w:tcW w:type="dxa" w:w="1701"/>
            <w:vAlign w:val="center"/>
          </w:tcPr>
          <w:p>
            <w:pPr>
              <w:spacing w:after="0"/>
            </w:pPr>
            <w:r/>
            <w:r>
              <w:rPr>
                <w:rFonts w:ascii="Arial" w:hAnsi="Arial"/>
                <w:b w:val="0"/>
                <w:sz w:val="17"/>
              </w:rPr>
              <w:t>0.0122</w:t>
            </w:r>
          </w:p>
        </w:tc>
        <w:tc>
          <w:tcPr>
            <w:tcW w:type="dxa" w:w="1701"/>
            <w:vAlign w:val="center"/>
          </w:tcPr>
          <w:p>
            <w:pPr>
              <w:spacing w:after="0"/>
            </w:pPr>
            <w:r/>
            <w:r>
              <w:rPr>
                <w:rFonts w:ascii="Arial" w:hAnsi="Arial"/>
                <w:b w:val="0"/>
                <w:sz w:val="17"/>
              </w:rPr>
              <w:t>0.00138</w:t>
            </w:r>
          </w:p>
        </w:tc>
      </w:tr>
      <w:tr>
        <w:tc>
          <w:tcPr>
            <w:tcW w:type="dxa" w:w="737"/>
            <w:vAlign w:val="center"/>
          </w:tcPr>
          <w:p>
            <w:pPr>
              <w:spacing w:after="0"/>
            </w:pPr>
            <w:r/>
            <w:r>
              <w:rPr>
                <w:rFonts w:ascii="Arial" w:hAnsi="Arial"/>
                <w:b w:val="0"/>
                <w:sz w:val="17"/>
              </w:rPr>
              <w:t>8</w:t>
            </w:r>
          </w:p>
        </w:tc>
        <w:tc>
          <w:tcPr>
            <w:tcW w:type="dxa" w:w="4422"/>
            <w:vAlign w:val="center"/>
          </w:tcPr>
          <w:p>
            <w:pPr>
              <w:spacing w:after="0"/>
            </w:pPr>
            <w:r/>
            <w:r>
              <w:rPr>
                <w:rFonts w:ascii="Arial" w:hAnsi="Arial"/>
                <w:b w:val="0"/>
                <w:sz w:val="17"/>
              </w:rPr>
              <w:t>Jew_Iranian.HO</w:t>
            </w:r>
          </w:p>
        </w:tc>
        <w:tc>
          <w:tcPr>
            <w:tcW w:type="dxa" w:w="1701"/>
            <w:vAlign w:val="center"/>
          </w:tcPr>
          <w:p>
            <w:pPr>
              <w:spacing w:after="0"/>
            </w:pPr>
            <w:r/>
            <w:r>
              <w:rPr>
                <w:rFonts w:ascii="Arial" w:hAnsi="Arial"/>
                <w:b w:val="0"/>
                <w:sz w:val="17"/>
              </w:rPr>
              <w:t>0.0125</w:t>
            </w:r>
          </w:p>
        </w:tc>
        <w:tc>
          <w:tcPr>
            <w:tcW w:type="dxa" w:w="1701"/>
            <w:vAlign w:val="center"/>
          </w:tcPr>
          <w:p>
            <w:pPr>
              <w:spacing w:after="0"/>
            </w:pPr>
            <w:r/>
            <w:r>
              <w:rPr>
                <w:rFonts w:ascii="Arial" w:hAnsi="Arial"/>
                <w:b w:val="0"/>
                <w:sz w:val="17"/>
              </w:rPr>
              <w:t>0.0005</w:t>
            </w:r>
          </w:p>
        </w:tc>
      </w:tr>
      <w:tr>
        <w:tc>
          <w:tcPr>
            <w:tcW w:type="dxa" w:w="737"/>
            <w:vAlign w:val="center"/>
          </w:tcPr>
          <w:p>
            <w:pPr>
              <w:spacing w:after="0"/>
            </w:pPr>
            <w:r/>
            <w:r>
              <w:rPr>
                <w:rFonts w:ascii="Arial" w:hAnsi="Arial"/>
                <w:b w:val="0"/>
                <w:sz w:val="17"/>
              </w:rPr>
              <w:t>9</w:t>
            </w:r>
          </w:p>
        </w:tc>
        <w:tc>
          <w:tcPr>
            <w:tcW w:type="dxa" w:w="4422"/>
            <w:vAlign w:val="center"/>
          </w:tcPr>
          <w:p>
            <w:pPr>
              <w:spacing w:after="0"/>
            </w:pPr>
            <w:r/>
            <w:r>
              <w:rPr>
                <w:rFonts w:ascii="Arial" w:hAnsi="Arial"/>
                <w:b w:val="0"/>
                <w:sz w:val="17"/>
              </w:rPr>
              <w:t>Jew_Tunisian.HO</w:t>
            </w:r>
          </w:p>
        </w:tc>
        <w:tc>
          <w:tcPr>
            <w:tcW w:type="dxa" w:w="1701"/>
            <w:vAlign w:val="center"/>
          </w:tcPr>
          <w:p>
            <w:pPr>
              <w:spacing w:after="0"/>
            </w:pPr>
            <w:r/>
            <w:r>
              <w:rPr>
                <w:rFonts w:ascii="Arial" w:hAnsi="Arial"/>
                <w:b w:val="0"/>
                <w:sz w:val="17"/>
              </w:rPr>
              <w:t>0.0127</w:t>
            </w:r>
          </w:p>
        </w:tc>
        <w:tc>
          <w:tcPr>
            <w:tcW w:type="dxa" w:w="1701"/>
            <w:vAlign w:val="center"/>
          </w:tcPr>
          <w:p>
            <w:pPr>
              <w:spacing w:after="0"/>
            </w:pPr>
            <w:r/>
            <w:r>
              <w:rPr>
                <w:rFonts w:ascii="Arial" w:hAnsi="Arial"/>
                <w:b w:val="0"/>
                <w:sz w:val="17"/>
              </w:rPr>
              <w:t>0.00056</w:t>
            </w:r>
          </w:p>
        </w:tc>
      </w:tr>
      <w:tr>
        <w:tc>
          <w:tcPr>
            <w:tcW w:type="dxa" w:w="737"/>
            <w:vAlign w:val="center"/>
          </w:tcPr>
          <w:p>
            <w:pPr>
              <w:spacing w:after="0"/>
            </w:pPr>
            <w:r/>
            <w:r>
              <w:rPr>
                <w:rFonts w:ascii="Arial" w:hAnsi="Arial"/>
                <w:b w:val="0"/>
                <w:sz w:val="17"/>
              </w:rPr>
              <w:t>10</w:t>
            </w:r>
          </w:p>
        </w:tc>
        <w:tc>
          <w:tcPr>
            <w:tcW w:type="dxa" w:w="4422"/>
            <w:vAlign w:val="center"/>
          </w:tcPr>
          <w:p>
            <w:pPr>
              <w:spacing w:after="0"/>
            </w:pPr>
            <w:r/>
            <w:r>
              <w:rPr>
                <w:rFonts w:ascii="Arial" w:hAnsi="Arial"/>
                <w:b w:val="0"/>
                <w:sz w:val="17"/>
              </w:rPr>
              <w:t>Jew_Libyan.HO</w:t>
            </w:r>
          </w:p>
        </w:tc>
        <w:tc>
          <w:tcPr>
            <w:tcW w:type="dxa" w:w="1701"/>
            <w:vAlign w:val="center"/>
          </w:tcPr>
          <w:p>
            <w:pPr>
              <w:spacing w:after="0"/>
            </w:pPr>
            <w:r/>
            <w:r>
              <w:rPr>
                <w:rFonts w:ascii="Arial" w:hAnsi="Arial"/>
                <w:b w:val="0"/>
                <w:sz w:val="17"/>
              </w:rPr>
              <w:t>0.0132</w:t>
            </w:r>
          </w:p>
        </w:tc>
        <w:tc>
          <w:tcPr>
            <w:tcW w:type="dxa" w:w="1701"/>
            <w:vAlign w:val="center"/>
          </w:tcPr>
          <w:p>
            <w:pPr>
              <w:spacing w:after="0"/>
            </w:pPr>
            <w:r/>
            <w:r>
              <w:rPr>
                <w:rFonts w:ascii="Arial" w:hAnsi="Arial"/>
                <w:b w:val="0"/>
                <w:sz w:val="17"/>
              </w:rPr>
              <w:t>0.00053</w:t>
            </w:r>
          </w:p>
        </w:tc>
      </w:tr>
      <w:tr>
        <w:tc>
          <w:tcPr>
            <w:tcW w:type="dxa" w:w="737"/>
            <w:vAlign w:val="center"/>
          </w:tcPr>
          <w:p>
            <w:pPr>
              <w:spacing w:after="0"/>
            </w:pPr>
            <w:r/>
            <w:r>
              <w:rPr>
                <w:rFonts w:ascii="Arial" w:hAnsi="Arial"/>
                <w:b w:val="0"/>
                <w:sz w:val="17"/>
              </w:rPr>
              <w:t>11</w:t>
            </w:r>
          </w:p>
        </w:tc>
        <w:tc>
          <w:tcPr>
            <w:tcW w:type="dxa" w:w="4422"/>
            <w:vAlign w:val="center"/>
          </w:tcPr>
          <w:p>
            <w:pPr>
              <w:spacing w:after="0"/>
            </w:pPr>
            <w:r/>
            <w:r>
              <w:rPr>
                <w:rFonts w:ascii="Arial" w:hAnsi="Arial"/>
                <w:b w:val="0"/>
                <w:sz w:val="17"/>
              </w:rPr>
              <w:t>Jew_Georgian.HO</w:t>
            </w:r>
          </w:p>
        </w:tc>
        <w:tc>
          <w:tcPr>
            <w:tcW w:type="dxa" w:w="1701"/>
            <w:vAlign w:val="center"/>
          </w:tcPr>
          <w:p>
            <w:pPr>
              <w:spacing w:after="0"/>
            </w:pPr>
            <w:r/>
            <w:r>
              <w:rPr>
                <w:rFonts w:ascii="Arial" w:hAnsi="Arial"/>
                <w:b w:val="0"/>
                <w:sz w:val="17"/>
              </w:rPr>
              <w:t>0.0133</w:t>
            </w:r>
          </w:p>
        </w:tc>
        <w:tc>
          <w:tcPr>
            <w:tcW w:type="dxa" w:w="1701"/>
            <w:vAlign w:val="center"/>
          </w:tcPr>
          <w:p>
            <w:pPr>
              <w:spacing w:after="0"/>
            </w:pPr>
            <w:r/>
            <w:r>
              <w:rPr>
                <w:rFonts w:ascii="Arial" w:hAnsi="Arial"/>
                <w:b w:val="0"/>
                <w:sz w:val="17"/>
              </w:rPr>
              <w:t>0.00056</w:t>
            </w:r>
          </w:p>
        </w:tc>
      </w:tr>
      <w:tr>
        <w:tc>
          <w:tcPr>
            <w:tcW w:type="dxa" w:w="737"/>
            <w:vAlign w:val="center"/>
          </w:tcPr>
          <w:p>
            <w:pPr>
              <w:spacing w:after="0"/>
            </w:pPr>
            <w:r/>
            <w:r>
              <w:rPr>
                <w:rFonts w:ascii="Arial" w:hAnsi="Arial"/>
                <w:b w:val="0"/>
                <w:sz w:val="17"/>
              </w:rPr>
              <w:t>12</w:t>
            </w:r>
          </w:p>
        </w:tc>
        <w:tc>
          <w:tcPr>
            <w:tcW w:type="dxa" w:w="4422"/>
            <w:vAlign w:val="center"/>
          </w:tcPr>
          <w:p>
            <w:pPr>
              <w:spacing w:after="0"/>
            </w:pPr>
            <w:r/>
            <w:r>
              <w:rPr>
                <w:rFonts w:ascii="Arial" w:hAnsi="Arial"/>
                <w:b w:val="0"/>
                <w:sz w:val="17"/>
              </w:rPr>
              <w:t>Jew_Yemenite.HO</w:t>
            </w:r>
          </w:p>
        </w:tc>
        <w:tc>
          <w:tcPr>
            <w:tcW w:type="dxa" w:w="1701"/>
            <w:vAlign w:val="center"/>
          </w:tcPr>
          <w:p>
            <w:pPr>
              <w:spacing w:after="0"/>
            </w:pPr>
            <w:r/>
            <w:r>
              <w:rPr>
                <w:rFonts w:ascii="Arial" w:hAnsi="Arial"/>
                <w:b w:val="0"/>
                <w:sz w:val="17"/>
              </w:rPr>
              <w:t>0.0174</w:t>
            </w:r>
          </w:p>
        </w:tc>
        <w:tc>
          <w:tcPr>
            <w:tcW w:type="dxa" w:w="1701"/>
            <w:vAlign w:val="center"/>
          </w:tcPr>
          <w:p>
            <w:pPr>
              <w:spacing w:after="0"/>
            </w:pPr>
            <w:r/>
            <w:r>
              <w:rPr>
                <w:rFonts w:ascii="Arial" w:hAnsi="Arial"/>
                <w:b w:val="0"/>
                <w:sz w:val="17"/>
              </w:rPr>
              <w:t>0.00054</w:t>
            </w:r>
          </w:p>
        </w:tc>
      </w:tr>
    </w:tbl>
    <w:p>
      <w:r>
        <w:rPr>
          <w:b/>
        </w:rPr>
        <w:t xml:space="preserve">Note. </w:t>
      </w:r>
      <w:r>
        <w:t>Distances are copied from the retained web-platform output. Similar numerical values do not identify a unique historical source, and the table does not provide confidence intervals for a demographic model.</w:t>
      </w:r>
    </w:p>
    <w:p>
      <w:pPr>
        <w:spacing w:before="160"/>
      </w:pPr>
      <w:r>
        <w:rPr>
          <w:b/>
          <w:sz w:val="20"/>
        </w:rPr>
        <w:t>Table S2. FST calibration comparisons retained for scale context.</w:t>
      </w:r>
    </w:p>
    <w:tbl>
      <w:tblPr>
        <w:tblW w:type="auto" w:w="0"/>
        <w:jc w:val="center"/>
        <w:tblLayout w:type="fixed"/>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494"/>
        <w:gridCol w:w="2494"/>
        <w:gridCol w:w="2494"/>
        <w:gridCol w:w="2494"/>
      </w:tblGrid>
      <w:tr>
        <w:trPr>
          <w:tblHeader w:val="true"/>
        </w:trPr>
        <w:tc>
          <w:tcPr>
            <w:tcW w:type="dxa" w:w="2381"/>
            <w:vAlign w:val="center"/>
            <w:shd w:fill="D9EAF7"/>
          </w:tcPr>
          <w:p>
            <w:pPr>
              <w:spacing w:after="0"/>
            </w:pPr>
            <w:r/>
            <w:r>
              <w:rPr>
                <w:rFonts w:ascii="Arial" w:hAnsi="Arial"/>
                <w:b/>
                <w:sz w:val="16"/>
              </w:rPr>
              <w:t>Population 1</w:t>
            </w:r>
          </w:p>
        </w:tc>
        <w:tc>
          <w:tcPr>
            <w:tcW w:type="dxa" w:w="2381"/>
            <w:vAlign w:val="center"/>
            <w:shd w:fill="D9EAF7"/>
          </w:tcPr>
          <w:p>
            <w:pPr>
              <w:spacing w:after="0"/>
            </w:pPr>
            <w:r/>
            <w:r>
              <w:rPr>
                <w:rFonts w:ascii="Arial" w:hAnsi="Arial"/>
                <w:b/>
                <w:sz w:val="16"/>
              </w:rPr>
              <w:t>Population 2</w:t>
            </w:r>
          </w:p>
        </w:tc>
        <w:tc>
          <w:tcPr>
            <w:tcW w:type="dxa" w:w="1304"/>
            <w:vAlign w:val="center"/>
            <w:shd w:fill="D9EAF7"/>
          </w:tcPr>
          <w:p>
            <w:pPr>
              <w:spacing w:after="0"/>
            </w:pPr>
            <w:r/>
            <w:r>
              <w:rPr>
                <w:rFonts w:ascii="Arial" w:hAnsi="Arial"/>
                <w:b/>
                <w:sz w:val="16"/>
              </w:rPr>
              <w:t>FST distance</w:t>
            </w:r>
          </w:p>
        </w:tc>
        <w:tc>
          <w:tcPr>
            <w:tcW w:type="dxa" w:w="3061"/>
            <w:vAlign w:val="center"/>
            <w:shd w:fill="D9EAF7"/>
          </w:tcPr>
          <w:p>
            <w:pPr>
              <w:spacing w:after="0"/>
            </w:pPr>
            <w:r/>
            <w:r>
              <w:rPr>
                <w:rFonts w:ascii="Arial" w:hAnsi="Arial"/>
                <w:b/>
                <w:sz w:val="16"/>
              </w:rPr>
              <w:t>Interpretive context</w:t>
            </w:r>
          </w:p>
        </w:tc>
      </w:tr>
      <w:tr>
        <w:tc>
          <w:tcPr>
            <w:tcW w:type="dxa" w:w="2381"/>
            <w:vAlign w:val="center"/>
          </w:tcPr>
          <w:p>
            <w:pPr>
              <w:spacing w:after="0"/>
            </w:pPr>
            <w:r/>
            <w:r>
              <w:rPr>
                <w:rFonts w:ascii="Arial" w:hAnsi="Arial"/>
                <w:b w:val="0"/>
                <w:sz w:val="16"/>
              </w:rPr>
              <w:t>Italian_South.HO</w:t>
            </w:r>
          </w:p>
        </w:tc>
        <w:tc>
          <w:tcPr>
            <w:tcW w:type="dxa" w:w="2381"/>
            <w:vAlign w:val="center"/>
          </w:tcPr>
          <w:p>
            <w:pPr>
              <w:spacing w:after="0"/>
            </w:pPr>
            <w:r/>
            <w:r>
              <w:rPr>
                <w:rFonts w:ascii="Arial" w:hAnsi="Arial"/>
                <w:b w:val="0"/>
                <w:sz w:val="16"/>
              </w:rPr>
              <w:t>Maltese.HO</w:t>
            </w:r>
          </w:p>
        </w:tc>
        <w:tc>
          <w:tcPr>
            <w:tcW w:type="dxa" w:w="1304"/>
            <w:vAlign w:val="center"/>
          </w:tcPr>
          <w:p>
            <w:pPr>
              <w:spacing w:after="0"/>
            </w:pPr>
            <w:r/>
            <w:r>
              <w:rPr>
                <w:rFonts w:ascii="Arial" w:hAnsi="Arial"/>
                <w:b w:val="0"/>
                <w:sz w:val="16"/>
              </w:rPr>
              <w:t>0.0036</w:t>
            </w:r>
          </w:p>
        </w:tc>
        <w:tc>
          <w:tcPr>
            <w:tcW w:type="dxa" w:w="3061"/>
            <w:vAlign w:val="center"/>
          </w:tcPr>
          <w:p>
            <w:pPr>
              <w:spacing w:after="0"/>
            </w:pPr>
            <w:r/>
            <w:r>
              <w:rPr>
                <w:rFonts w:ascii="Arial" w:hAnsi="Arial"/>
                <w:b w:val="0"/>
                <w:sz w:val="16"/>
              </w:rPr>
              <w:t>Closely related central Mediterranean populations</w:t>
            </w:r>
          </w:p>
        </w:tc>
      </w:tr>
      <w:tr>
        <w:tc>
          <w:tcPr>
            <w:tcW w:type="dxa" w:w="2381"/>
            <w:vAlign w:val="center"/>
          </w:tcPr>
          <w:p>
            <w:pPr>
              <w:spacing w:after="0"/>
            </w:pPr>
            <w:r/>
            <w:r>
              <w:rPr>
                <w:rFonts w:ascii="Arial" w:hAnsi="Arial"/>
                <w:b w:val="0"/>
                <w:sz w:val="16"/>
              </w:rPr>
              <w:t>Jew_Ashkenazi.HO</w:t>
            </w:r>
          </w:p>
        </w:tc>
        <w:tc>
          <w:tcPr>
            <w:tcW w:type="dxa" w:w="2381"/>
            <w:vAlign w:val="center"/>
          </w:tcPr>
          <w:p>
            <w:pPr>
              <w:spacing w:after="0"/>
            </w:pPr>
            <w:r/>
            <w:r>
              <w:rPr>
                <w:rFonts w:ascii="Arial" w:hAnsi="Arial"/>
                <w:b w:val="0"/>
                <w:sz w:val="16"/>
              </w:rPr>
              <w:t>Italian_South.HO</w:t>
            </w:r>
          </w:p>
        </w:tc>
        <w:tc>
          <w:tcPr>
            <w:tcW w:type="dxa" w:w="1304"/>
            <w:vAlign w:val="center"/>
          </w:tcPr>
          <w:p>
            <w:pPr>
              <w:spacing w:after="0"/>
            </w:pPr>
            <w:r/>
            <w:r>
              <w:rPr>
                <w:rFonts w:ascii="Arial" w:hAnsi="Arial"/>
                <w:b w:val="0"/>
                <w:sz w:val="16"/>
              </w:rPr>
              <w:t>0.0049</w:t>
            </w:r>
          </w:p>
        </w:tc>
        <w:tc>
          <w:tcPr>
            <w:tcW w:type="dxa" w:w="3061"/>
            <w:vAlign w:val="center"/>
          </w:tcPr>
          <w:p>
            <w:pPr>
              <w:spacing w:after="0"/>
            </w:pPr>
            <w:r/>
            <w:r>
              <w:rPr>
                <w:rFonts w:ascii="Arial" w:hAnsi="Arial"/>
                <w:b w:val="0"/>
                <w:sz w:val="16"/>
              </w:rPr>
              <w:t>Strong regional affinity</w:t>
            </w:r>
          </w:p>
        </w:tc>
      </w:tr>
      <w:tr>
        <w:tc>
          <w:tcPr>
            <w:tcW w:type="dxa" w:w="2381"/>
            <w:vAlign w:val="center"/>
          </w:tcPr>
          <w:p>
            <w:pPr>
              <w:spacing w:after="0"/>
            </w:pPr>
            <w:r/>
            <w:r>
              <w:rPr>
                <w:rFonts w:ascii="Arial" w:hAnsi="Arial"/>
                <w:b w:val="0"/>
                <w:sz w:val="16"/>
              </w:rPr>
              <w:t>IBS_CanaryIslands.DG</w:t>
            </w:r>
          </w:p>
        </w:tc>
        <w:tc>
          <w:tcPr>
            <w:tcW w:type="dxa" w:w="2381"/>
            <w:vAlign w:val="center"/>
          </w:tcPr>
          <w:p>
            <w:pPr>
              <w:spacing w:after="0"/>
            </w:pPr>
            <w:r/>
            <w:r>
              <w:rPr>
                <w:rFonts w:ascii="Arial" w:hAnsi="Arial"/>
                <w:b w:val="0"/>
                <w:sz w:val="16"/>
              </w:rPr>
              <w:t>Spanish.HO</w:t>
            </w:r>
          </w:p>
        </w:tc>
        <w:tc>
          <w:tcPr>
            <w:tcW w:type="dxa" w:w="1304"/>
            <w:vAlign w:val="center"/>
          </w:tcPr>
          <w:p>
            <w:pPr>
              <w:spacing w:after="0"/>
            </w:pPr>
            <w:r/>
            <w:r>
              <w:rPr>
                <w:rFonts w:ascii="Arial" w:hAnsi="Arial"/>
                <w:b w:val="0"/>
                <w:sz w:val="16"/>
              </w:rPr>
              <w:t>0.0038</w:t>
            </w:r>
          </w:p>
        </w:tc>
        <w:tc>
          <w:tcPr>
            <w:tcW w:type="dxa" w:w="3061"/>
            <w:vAlign w:val="center"/>
          </w:tcPr>
          <w:p>
            <w:pPr>
              <w:spacing w:after="0"/>
            </w:pPr>
            <w:r/>
            <w:r>
              <w:rPr>
                <w:rFonts w:ascii="Arial" w:hAnsi="Arial"/>
                <w:b w:val="0"/>
                <w:sz w:val="16"/>
              </w:rPr>
              <w:t>Iberian-derived population with additional North African ancestry</w:t>
            </w:r>
          </w:p>
        </w:tc>
      </w:tr>
    </w:tbl>
    <w:p>
      <w:r>
        <w:rPr>
          <w:b/>
        </w:rPr>
        <w:t xml:space="preserve">Note. </w:t>
      </w:r>
      <w:r>
        <w:t>The Canary Islands comparison is included only to illustrate the scale of a low FST value between closely related populations with documented additional ancestry. It is not an ancestry model for Ashkenazi Jews.</w:t>
      </w:r>
    </w:p>
    <w:p>
      <w:pPr>
        <w:spacing w:before="160"/>
      </w:pPr>
      <w:r>
        <w:rPr>
          <w:b/>
          <w:sz w:val="24"/>
        </w:rPr>
        <w:t>Files and validation</w:t>
      </w:r>
    </w:p>
    <w:p>
      <w:r>
        <w:t>Machine-readable copies are provided as supplementary/tables/Table_S1_FST_results.csv and supplementary/tables/Table_S2_FST_calibration.csv. The exact labels, comparison specifications, copied web output, screenshot, and validation script are in descriptive_fst/. Run python3 descriptive_fst/scripts/validate_fst_tables.py from the repository root to cross-check the tables against the retained records.</w:t>
      </w:r>
    </w:p>
    <w:sectPr w:rsidR="00FC693F" w:rsidRPr="0006063C" w:rsidSect="00034616">
      <w:footerReference w:type="default" r:id="rId9"/>
      <w:pgSz w:w="11906" w:h="16838"/>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Supplementary Appendix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Appendix - Ashkenazi Population Structure Reassessed</dc:title>
  <dc:subject>Descriptive FST supplementary tables S1 and S2</dc:subject>
  <dc:creator>Steven Parker</dc:creator>
  <cp:keywords>Ashkenazi Jews, FST, Southern Italy, population genetics, supplementary appendix</cp:keywords>
  <dc:description>generated by python-docx</dc:description>
  <cp:lastModifiedBy/>
  <cp:revision>1</cp:revision>
  <dcterms:created xsi:type="dcterms:W3CDTF">2013-12-23T23:15:00Z</dcterms:created>
  <dcterms:modified xsi:type="dcterms:W3CDTF">2013-12-23T23:15:00Z</dcterms:modified>
  <cp:category/>
</cp:coreProperties>
</file>