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edc1fe8f73a74da4" /></Relationships>
</file>

<file path=word/document.xml><?xml version="1.0" encoding="utf-8"?>
<w:document xmlns:w="http://schemas.openxmlformats.org/wordprocessingml/2006/main">
  <w:body>
    <w:p>
      <w:pPr>
        <w:pStyle w:val="DocTitle"/>
      </w:pPr>
      <w:r>
        <w:t xml:space="preserve">Reporting an IT problem</w:t>
      </w:r>
    </w:p>
    <w:p>
      <w:pPr>
        <w:pStyle w:val="DocSubtitle"/>
      </w:pPr>
      <w:r>
        <w:t xml:space="preserve">A guide for teachers and support staff</w:t>
      </w:r>
    </w:p>
    <w:p>
      <w:pPr>
        <w:pStyle w:val="BodyText"/>
      </w:pPr>
      <w:r>
        <w:t xml:space="preserve">How to tell the IT team something is wrong, what happens next, and how to check on it.</w:t>
      </w:r>
    </w:p>
    <w:tbl>
      <w:tblPr>
        <w:tblW w:w="9026" w:type="dxa"/>
        <w:tblBorders>
          <w:top w:val="single" w:color="FBF0E2" w:sz="2"/>
          <w:bottom w:val="single" w:color="FBF0E2" w:sz="2"/>
          <w:left w:val="single" w:color="8A5210" w:sz="12"/>
          <w:right w:val="single" w:color="FBF0E2" w:sz="2"/>
        </w:tblBorders>
      </w:tblPr>
      <w:tblGrid>
        <w:gridCol w:w="9026"/>
      </w:tblGrid>
      <w:tr>
        <w:tc>
          <w:tcPr>
            <w:tcW w:w="9026" w:type="dxa"/>
            <w:shd w:val="clear" w:color="auto" w:fill="FBF0E2"/>
            <w:tcMar>
              <w:top w:w="170" w:type="dxa"/>
              <w:bottom w:w="170" w:type="dxa"/>
              <w:left w:w="220" w:type="dxa"/>
              <w:right w:w="220" w:type="dxa"/>
            </w:tcMar>
          </w:tcPr>
          <w:p>
            <w:pPr>
              <w:pStyle w:val="BodyText"/>
              <w:spacing w:after="60"/>
            </w:pPr>
            <w:r>
              <w:rPr>
                <w:b/>
                <w:color w:val="8A5210"/>
              </w:rPr>
              <w:t xml:space="preserve">Before you hand this out (IT team)</w:t>
            </w:r>
          </w:p>
          <w:p>
            <w:pPr>
              <w:pStyle w:val="BodyText"/>
              <w:spacing w:after="0"/>
            </w:pPr>
            <w:r>
              <w:t xml:space="preserve">Replace “your school’s helpdesk address” below with the real web address, and check the categories and locations listed match the ones you have set up. Everything else applies as written. Delete this box before sharing.</w:t>
            </w:r>
          </w:p>
        </w:tc>
      </w:tr>
    </w:tbl>
    <w:p>
      <w:pPr>
        <w:pStyle w:val="Heading2"/>
      </w:pPr>
      <w:r>
        <w:t xml:space="preserve">Before you start</w:t>
      </w:r>
    </w:p>
    <w:p>
      <w:pPr>
        <w:pStyle w:val="BodyText"/>
        <w:spacing w:after="120"/>
      </w:pPr>
      <w:r>
        <w:rPr>
          <w:b/>
          <w:color w:val="07585B"/>
        </w:rPr>
        <w:t xml:space="preserve">Where to go — </w:t>
      </w:r>
      <w:r>
        <w:t xml:space="preserve">Your school’s helpdesk address, ending in /Portal — ask IT if you’re not sure what it is. It works from any school computer.</w:t>
      </w:r>
    </w:p>
    <w:p>
      <w:pPr>
        <w:pStyle w:val="BodyText"/>
        <w:spacing w:after="120"/>
      </w:pPr>
      <w:r>
        <w:rPr>
          <w:b/>
          <w:color w:val="07585B"/>
        </w:rPr>
        <w:t xml:space="preserve">Signing in — </w:t>
      </w:r>
      <w:r>
        <w:t xml:space="preserve">Your school email address, and a password the IT team sets for you.</w:t>
      </w:r>
    </w:p>
    <w:p>
      <w:pPr>
        <w:pStyle w:val="BodyText"/>
        <w:spacing w:after="120"/>
      </w:pPr>
      <w:r>
        <w:rPr>
          <w:b/>
          <w:color w:val="07585B"/>
        </w:rPr>
        <w:t xml:space="preserve">No password yet, or forgotten it? — </w:t>
      </w:r>
      <w:r>
        <w:t xml:space="preserve">Ask IT. There’s no “forgot password” link and no reset email — a technician has to set it for you.</w:t>
      </w:r>
    </w:p>
    <w:p>
      <w:pPr>
        <w:pStyle w:val="Heading2"/>
      </w:pPr>
      <w:r>
        <w:t xml:space="preserve">Reporting a problem</w:t>
      </w:r>
    </w:p>
    <w:p>
      <w:pPr>
        <w:pStyle w:val="BodyText"/>
        <w:numPr>
          <w:ilvl w:val="0"/>
          <w:numId w:val="2"/>
        </w:numPr>
        <w:spacing w:after="140"/>
        <w:ind w:left="360" w:hanging="360"/>
      </w:pPr>
      <w:r>
        <w:rPr>
          <w:b/>
        </w:rPr>
        <w:t xml:space="preserve">Sign in and choose “Report a problem”. </w:t>
      </w:r>
      <w:r>
        <w:t xml:space="preserve">You’ll find it on the front page once you’re signed in.</w:t>
      </w:r>
    </w:p>
    <w:p>
      <w:pPr>
        <w:pStyle w:val="BodyText"/>
        <w:numPr>
          <w:ilvl w:val="0"/>
          <w:numId w:val="2"/>
        </w:numPr>
        <w:spacing w:after="140"/>
        <w:ind w:left="360" w:hanging="360"/>
      </w:pPr>
      <w:r>
        <w:rPr>
          <w:b/>
        </w:rPr>
        <w:t xml:space="preserve">Fill in “What’s the problem?” </w:t>
      </w:r>
      <w:r>
        <w:t xml:space="preserve">One short line. It’s the only thing you have to fill in. For example: “Projector in D12 has no signal”.</w:t>
      </w:r>
    </w:p>
    <w:p>
      <w:pPr>
        <w:pStyle w:val="BodyText"/>
        <w:numPr>
          <w:ilvl w:val="0"/>
          <w:numId w:val="2"/>
        </w:numPr>
        <w:spacing w:after="140"/>
        <w:ind w:left="360" w:hanging="360"/>
      </w:pPr>
      <w:r>
        <w:rPr>
          <w:b/>
        </w:rPr>
        <w:t xml:space="preserve">Add detail under “Tell us more”. </w:t>
      </w:r>
      <w:r>
        <w:t xml:space="preserve">Optional, but it’s what turns a guess into a fix — what you already tried, when it started, the exact wording of any error message.</w:t>
      </w:r>
    </w:p>
    <w:p>
      <w:pPr>
        <w:pStyle w:val="BodyText"/>
        <w:numPr>
          <w:ilvl w:val="0"/>
          <w:numId w:val="2"/>
        </w:numPr>
        <w:spacing w:after="140"/>
        <w:ind w:left="360" w:hanging="360"/>
      </w:pPr>
      <w:r>
        <w:rPr>
          <w:b/>
        </w:rPr>
        <w:t xml:space="preserve">Pick “What kind of problem is it?” </w:t>
      </w:r>
      <w:r>
        <w:t xml:space="preserve">The standard choices are Hardware, Software, Account, Network, Classroom AV and Other. Pick the closest — the IT team will correct it if needed.</w:t>
      </w:r>
    </w:p>
    <w:p>
      <w:pPr>
        <w:pStyle w:val="BodyText"/>
        <w:numPr>
          <w:ilvl w:val="0"/>
          <w:numId w:val="2"/>
        </w:numPr>
        <w:spacing w:after="140"/>
        <w:ind w:left="360" w:hanging="360"/>
      </w:pPr>
      <w:r>
        <w:rPr>
          <w:b/>
        </w:rPr>
        <w:t xml:space="preserve">Pick “Where is it?” </w:t>
      </w:r>
      <w:r>
        <w:t xml:space="preserve">The room or area. Leave it as “Not specified” if it doesn’t apply.</w:t>
      </w:r>
    </w:p>
    <w:p>
      <w:pPr>
        <w:pStyle w:val="BodyText"/>
        <w:numPr>
          <w:ilvl w:val="0"/>
          <w:numId w:val="2"/>
        </w:numPr>
        <w:spacing w:after="140"/>
        <w:ind w:left="360" w:hanging="360"/>
      </w:pPr>
      <w:r>
        <w:rPr>
          <w:b/>
        </w:rPr>
        <w:t xml:space="preserve">Submit. </w:t>
      </w:r>
      <w:r>
        <w:t xml:space="preserve">Your report gets a ticket number, like #1042. Quote that number if you speak to someone in IT about it.</w:t>
      </w:r>
    </w:p>
    <w:p>
      <w:pPr>
        <w:pStyle w:val="Heading2"/>
      </w:pPr>
      <w:r>
        <w:t xml:space="preserve">Writing it up well</w:t>
      </w:r>
    </w:p>
    <w:p>
      <w:pPr>
        <w:pStyle w:val="BodyText"/>
      </w:pPr>
      <w:r>
        <w:t xml:space="preserve">The difference between a report that gets fixed on the first visit and one that needs three trips is usually four details: which room or device, what you expected, what actually happened, and when it started.</w:t>
      </w:r>
    </w:p>
    <w:tbl>
      <w:tblPr>
        <w:tblW w:w="9026" w:type="dxa"/>
        <w:tblBorders>
          <w:top w:val="single" w:color="D7E2E3" w:sz="4"/>
          <w:bottom w:val="single" w:color="D7E2E3" w:sz="4"/>
          <w:left w:val="none"/>
          <w:right w:val="none"/>
          <w:insideH w:val="single" w:color="D7E2E3" w:sz="4"/>
          <w:insideV w:val="none"/>
        </w:tblBorders>
      </w:tblPr>
      <w:tblGrid>
        <w:gridCol w:w="2600"/>
        <w:gridCol w:w="6426"/>
      </w:tblGrid>
      <w:tr>
        <w:trPr>
          <w:tblHeader/>
        </w:trPr>
        <w:tc>
          <w:tcPr>
            <w:tcW w:w="2600" w:type="dxa"/>
            <w:tcMar>
              <w:top w:w="110" w:type="dxa"/>
              <w:bottom w:w="110" w:type="dxa"/>
              <w:left w:w="0" w:type="dxa"/>
              <w:right w:w="220" w:type="dxa"/>
            </w:tcMar>
            <w:shd w:val="clear" w:color="auto" w:fill="E6F0EF"/>
          </w:tcPr>
          <w:p>
            <w:pPr>
              <w:pStyle w:val="BodyText"/>
              <w:spacing w:after="0"/>
            </w:pPr>
            <w:r>
              <w:rPr>
                <w:b/>
                <w:color w:val="07585B"/>
                <w:sz w:val="18"/>
              </w:rPr>
              <w:t xml:space="preserve">Instead of</w:t>
            </w:r>
          </w:p>
        </w:tc>
        <w:tc>
          <w:tcPr>
            <w:tcW w:w="6426" w:type="dxa"/>
            <w:tcMar>
              <w:top w:w="110" w:type="dxa"/>
              <w:bottom w:w="110" w:type="dxa"/>
              <w:left w:w="0" w:type="dxa"/>
              <w:right w:w="220" w:type="dxa"/>
            </w:tcMar>
            <w:shd w:val="clear" w:color="auto" w:fill="E6F0EF"/>
          </w:tcPr>
          <w:p>
            <w:pPr>
              <w:pStyle w:val="BodyText"/>
              <w:spacing w:after="0"/>
            </w:pPr>
            <w:r>
              <w:rPr>
                <w:b/>
                <w:color w:val="07585B"/>
                <w:sz w:val="18"/>
              </w:rPr>
              <w:t xml:space="preserve">Try</w:t>
            </w:r>
          </w:p>
        </w:tc>
      </w:tr>
      <w:tr>
        <w:tc>
          <w:tcPr>
            <w:tcW w:w="2600" w:type="dxa"/>
            <w:tcMar>
              <w:top w:w="110" w:type="dxa"/>
              <w:bottom w:w="110" w:type="dxa"/>
              <w:left w:w="0" w:type="dxa"/>
              <w:right w:w="220" w:type="dxa"/>
            </w:tcMar>
          </w:tcPr>
          <w:p>
            <w:pPr>
              <w:pStyle w:val="BodyText"/>
              <w:spacing w:after="0"/>
            </w:pPr>
            <w:r>
              <w:t xml:space="preserve">“Whiteboard broken”</w:t>
            </w:r>
          </w:p>
        </w:tc>
        <w:tc>
          <w:tcPr>
            <w:tcW w:w="6426" w:type="dxa"/>
            <w:tcMar>
              <w:top w:w="110" w:type="dxa"/>
              <w:bottom w:w="110" w:type="dxa"/>
              <w:left w:w="0" w:type="dxa"/>
              <w:right w:w="220" w:type="dxa"/>
            </w:tcMar>
          </w:tcPr>
          <w:p>
            <w:pPr>
              <w:pStyle w:val="BodyText"/>
              <w:spacing w:after="0"/>
            </w:pPr>
            <w:r>
              <w:t xml:space="preserve">“IWB pen in D12 not writing on the left third of the board. Started Monday. The spare pen does the same.”</w:t>
            </w:r>
          </w:p>
        </w:tc>
      </w:tr>
      <w:tr>
        <w:tc>
          <w:tcPr>
            <w:tcW w:w="2600" w:type="dxa"/>
            <w:tcMar>
              <w:top w:w="110" w:type="dxa"/>
              <w:bottom w:w="110" w:type="dxa"/>
              <w:left w:w="0" w:type="dxa"/>
              <w:right w:w="220" w:type="dxa"/>
            </w:tcMar>
          </w:tcPr>
          <w:p>
            <w:pPr>
              <w:pStyle w:val="BodyText"/>
              <w:spacing w:after="0"/>
            </w:pPr>
            <w:r>
              <w:t xml:space="preserve">“Can’t log in”</w:t>
            </w:r>
          </w:p>
        </w:tc>
        <w:tc>
          <w:tcPr>
            <w:tcW w:w="6426" w:type="dxa"/>
            <w:tcMar>
              <w:top w:w="110" w:type="dxa"/>
              <w:bottom w:w="110" w:type="dxa"/>
              <w:left w:w="0" w:type="dxa"/>
              <w:right w:w="220" w:type="dxa"/>
            </w:tcMar>
          </w:tcPr>
          <w:p>
            <w:pPr>
              <w:pStyle w:val="BodyText"/>
              <w:spacing w:after="0"/>
            </w:pPr>
            <w:r>
              <w:t xml:space="preserve">“Year 8 pupil can’t log in on the trolley laptops in B6 — says ‘account restricted’. Works fine on the desktop.”</w:t>
            </w:r>
          </w:p>
        </w:tc>
      </w:tr>
      <w:tr>
        <w:tc>
          <w:tcPr>
            <w:tcW w:w="2600" w:type="dxa"/>
            <w:tcMar>
              <w:top w:w="110" w:type="dxa"/>
              <w:bottom w:w="110" w:type="dxa"/>
              <w:left w:w="0" w:type="dxa"/>
              <w:right w:w="220" w:type="dxa"/>
            </w:tcMar>
          </w:tcPr>
          <w:p>
            <w:pPr>
              <w:pStyle w:val="BodyText"/>
              <w:spacing w:after="0"/>
            </w:pPr>
            <w:r>
              <w:t xml:space="preserve">“Printer not working”</w:t>
            </w:r>
          </w:p>
        </w:tc>
        <w:tc>
          <w:tcPr>
            <w:tcW w:w="6426" w:type="dxa"/>
            <w:tcMar>
              <w:top w:w="110" w:type="dxa"/>
              <w:bottom w:w="110" w:type="dxa"/>
              <w:left w:w="0" w:type="dxa"/>
              <w:right w:w="220" w:type="dxa"/>
            </w:tcMar>
          </w:tcPr>
          <w:p>
            <w:pPr>
              <w:pStyle w:val="BodyText"/>
              <w:spacing w:after="0"/>
            </w:pPr>
            <w:r>
              <w:t xml:space="preserve">“Staffroom printer jams on every A3 job. A4 is fine. Been like it since Friday.”</w:t>
            </w:r>
          </w:p>
        </w:tc>
      </w:tr>
    </w:tbl>
    <w:p>
      <w:pPr>
        <w:spacing w:after="80"/>
      </w:pPr>
    </w:p>
    <w:tbl>
      <w:tblPr>
        <w:tblW w:w="9026" w:type="dxa"/>
        <w:tblBorders>
          <w:top w:val="single" w:color="E6F0EF" w:sz="2"/>
          <w:bottom w:val="single" w:color="E6F0EF" w:sz="2"/>
          <w:left w:val="single" w:color="07585B" w:sz="12"/>
          <w:right w:val="single" w:color="E6F0EF" w:sz="2"/>
        </w:tblBorders>
      </w:tblPr>
      <w:tblGrid>
        <w:gridCol w:w="9026"/>
      </w:tblGrid>
      <w:tr>
        <w:tc>
          <w:tcPr>
            <w:tcW w:w="9026" w:type="dxa"/>
            <w:shd w:val="clear" w:color="auto" w:fill="E6F0EF"/>
            <w:tcMar>
              <w:top w:w="170" w:type="dxa"/>
              <w:bottom w:w="170" w:type="dxa"/>
              <w:left w:w="220" w:type="dxa"/>
              <w:right w:w="220" w:type="dxa"/>
            </w:tcMar>
          </w:tcPr>
          <w:p>
            <w:pPr>
              <w:pStyle w:val="BodyText"/>
              <w:spacing w:after="60"/>
            </w:pPr>
            <w:r>
              <w:rPr>
                <w:b/>
                <w:color w:val="07585B"/>
              </w:rPr>
              <w:t xml:space="preserve">You can’t attach a photo</w:t>
            </w:r>
          </w:p>
          <w:p>
            <w:pPr>
              <w:pStyle w:val="BodyText"/>
              <w:spacing w:after="0"/>
            </w:pPr>
            <w:r>
              <w:t xml:space="preserve">The portal has no file upload. If a picture would help, describe what you can see as precisely as you can — or show the technician when they arrive.</w:t>
            </w:r>
          </w:p>
        </w:tc>
      </w:tr>
    </w:tbl>
    <w:p>
      <w:pPr>
        <w:pStyle w:val="Heading2"/>
      </w:pPr>
      <w:r>
        <w:t xml:space="preserve">What happens next</w:t>
      </w:r>
    </w:p>
    <w:tbl>
      <w:tblPr>
        <w:tblW w:w="9026" w:type="dxa"/>
        <w:tblBorders>
          <w:top w:val="single" w:color="E6F0EF" w:sz="2"/>
          <w:bottom w:val="single" w:color="E6F0EF" w:sz="2"/>
          <w:left w:val="single" w:color="07585B" w:sz="12"/>
          <w:right w:val="single" w:color="E6F0EF" w:sz="2"/>
        </w:tblBorders>
      </w:tblPr>
      <w:tblGrid>
        <w:gridCol w:w="9026"/>
      </w:tblGrid>
      <w:tr>
        <w:tc>
          <w:tcPr>
            <w:tcW w:w="9026" w:type="dxa"/>
            <w:shd w:val="clear" w:color="auto" w:fill="E6F0EF"/>
            <w:tcMar>
              <w:top w:w="170" w:type="dxa"/>
              <w:bottom w:w="170" w:type="dxa"/>
              <w:left w:w="220" w:type="dxa"/>
              <w:right w:w="220" w:type="dxa"/>
            </w:tcMar>
          </w:tcPr>
          <w:p>
            <w:pPr>
              <w:pStyle w:val="BodyText"/>
              <w:spacing w:after="60"/>
            </w:pPr>
            <w:r>
              <w:rPr>
                <w:b/>
                <w:color w:val="07585B"/>
              </w:rPr>
              <w:t xml:space="preserve">Nothing will email you</w:t>
            </w:r>
          </w:p>
          <w:p>
            <w:pPr>
              <w:pStyle w:val="BodyText"/>
              <w:spacing w:after="0"/>
            </w:pPr>
            <w:r>
              <w:t xml:space="preserve">The system sends no notifications at all — no confirmation, no progress update, no message when it’s closed. To find out how your report is getting on, sign in and look.</w:t>
            </w:r>
          </w:p>
        </w:tc>
      </w:tr>
    </w:tbl>
    <w:p>
      <w:pPr>
        <w:spacing w:after="80"/>
      </w:pPr>
    </w:p>
    <w:p>
      <w:pPr>
        <w:pStyle w:val="BodyText"/>
      </w:pPr>
      <w:r>
        <w:t xml:space="preserve">The IT team decides how urgent each job is, so you won’t set a priority yourself — though you’ll see the one they’ve given it. Your report will be in one of four states:</w:t>
      </w:r>
    </w:p>
    <w:tbl>
      <w:tblPr>
        <w:tblW w:w="9026" w:type="dxa"/>
        <w:tblBorders>
          <w:top w:val="single" w:color="D7E2E3" w:sz="4"/>
          <w:bottom w:val="single" w:color="D7E2E3" w:sz="4"/>
          <w:left w:val="none"/>
          <w:right w:val="none"/>
          <w:insideH w:val="single" w:color="D7E2E3" w:sz="4"/>
          <w:insideV w:val="none"/>
        </w:tblBorders>
      </w:tblPr>
      <w:tblGrid>
        <w:gridCol w:w="2200"/>
        <w:gridCol w:w="6826"/>
      </w:tblGrid>
      <w:tr>
        <w:trPr>
          <w:tblHeader/>
        </w:trPr>
        <w:tc>
          <w:tcPr>
            <w:tcW w:w="2200" w:type="dxa"/>
            <w:tcMar>
              <w:top w:w="110" w:type="dxa"/>
              <w:bottom w:w="110" w:type="dxa"/>
              <w:left w:w="0" w:type="dxa"/>
              <w:right w:w="220" w:type="dxa"/>
            </w:tcMar>
            <w:shd w:val="clear" w:color="auto" w:fill="E6F0EF"/>
          </w:tcPr>
          <w:p>
            <w:pPr>
              <w:pStyle w:val="BodyText"/>
              <w:spacing w:after="0"/>
            </w:pPr>
            <w:r>
              <w:rPr>
                <w:b/>
                <w:color w:val="07585B"/>
                <w:sz w:val="18"/>
              </w:rPr>
              <w:t xml:space="preserve">Status</w:t>
            </w:r>
          </w:p>
        </w:tc>
        <w:tc>
          <w:tcPr>
            <w:tcW w:w="6826" w:type="dxa"/>
            <w:tcMar>
              <w:top w:w="110" w:type="dxa"/>
              <w:bottom w:w="110" w:type="dxa"/>
              <w:left w:w="0" w:type="dxa"/>
              <w:right w:w="220" w:type="dxa"/>
            </w:tcMar>
            <w:shd w:val="clear" w:color="auto" w:fill="E6F0EF"/>
          </w:tcPr>
          <w:p>
            <w:pPr>
              <w:pStyle w:val="BodyText"/>
              <w:spacing w:after="0"/>
            </w:pPr>
            <w:r>
              <w:rPr>
                <w:b/>
                <w:color w:val="07585B"/>
                <w:sz w:val="18"/>
              </w:rPr>
              <w:t xml:space="preserve">What it means</w:t>
            </w:r>
          </w:p>
        </w:tc>
      </w:tr>
      <w:tr>
        <w:tc>
          <w:tcPr>
            <w:tcW w:w="2200" w:type="dxa"/>
            <w:tcMar>
              <w:top w:w="110" w:type="dxa"/>
              <w:bottom w:w="110" w:type="dxa"/>
              <w:left w:w="0" w:type="dxa"/>
              <w:right w:w="220" w:type="dxa"/>
            </w:tcMar>
          </w:tcPr>
          <w:p>
            <w:pPr>
              <w:pStyle w:val="BodyText"/>
              <w:spacing w:after="0"/>
            </w:pPr>
            <w:r>
              <w:rPr>
                <w:b/>
              </w:rPr>
              <w:t xml:space="preserve">Open</w:t>
            </w:r>
          </w:p>
        </w:tc>
        <w:tc>
          <w:tcPr>
            <w:tcW w:w="6826" w:type="dxa"/>
            <w:tcMar>
              <w:top w:w="110" w:type="dxa"/>
              <w:bottom w:w="110" w:type="dxa"/>
              <w:left w:w="0" w:type="dxa"/>
              <w:right w:w="220" w:type="dxa"/>
            </w:tcMar>
          </w:tcPr>
          <w:p>
            <w:pPr>
              <w:pStyle w:val="BodyText"/>
              <w:spacing w:after="0"/>
            </w:pPr>
            <w:r>
              <w:t xml:space="preserve">Received. Nobody has started on it yet.</w:t>
            </w:r>
          </w:p>
        </w:tc>
      </w:tr>
      <w:tr>
        <w:tc>
          <w:tcPr>
            <w:tcW w:w="2200" w:type="dxa"/>
            <w:tcMar>
              <w:top w:w="110" w:type="dxa"/>
              <w:bottom w:w="110" w:type="dxa"/>
              <w:left w:w="0" w:type="dxa"/>
              <w:right w:w="220" w:type="dxa"/>
            </w:tcMar>
          </w:tcPr>
          <w:p>
            <w:pPr>
              <w:pStyle w:val="BodyText"/>
              <w:spacing w:after="0"/>
            </w:pPr>
            <w:r>
              <w:rPr>
                <w:b/>
              </w:rPr>
              <w:t xml:space="preserve">In Progress</w:t>
            </w:r>
          </w:p>
        </w:tc>
        <w:tc>
          <w:tcPr>
            <w:tcW w:w="6826" w:type="dxa"/>
            <w:tcMar>
              <w:top w:w="110" w:type="dxa"/>
              <w:bottom w:w="110" w:type="dxa"/>
              <w:left w:w="0" w:type="dxa"/>
              <w:right w:w="220" w:type="dxa"/>
            </w:tcMar>
          </w:tcPr>
          <w:p>
            <w:pPr>
              <w:pStyle w:val="BodyText"/>
              <w:spacing w:after="0"/>
            </w:pPr>
            <w:r>
              <w:t xml:space="preserve">Someone is working on it now.</w:t>
            </w:r>
          </w:p>
        </w:tc>
      </w:tr>
      <w:tr>
        <w:tc>
          <w:tcPr>
            <w:tcW w:w="2200" w:type="dxa"/>
            <w:tcMar>
              <w:top w:w="110" w:type="dxa"/>
              <w:bottom w:w="110" w:type="dxa"/>
              <w:left w:w="0" w:type="dxa"/>
              <w:right w:w="220" w:type="dxa"/>
            </w:tcMar>
          </w:tcPr>
          <w:p>
            <w:pPr>
              <w:pStyle w:val="BodyText"/>
              <w:spacing w:after="0"/>
            </w:pPr>
            <w:r>
              <w:rPr>
                <w:b/>
              </w:rPr>
              <w:t xml:space="preserve">On Hold</w:t>
            </w:r>
          </w:p>
        </w:tc>
        <w:tc>
          <w:tcPr>
            <w:tcW w:w="6826" w:type="dxa"/>
            <w:tcMar>
              <w:top w:w="110" w:type="dxa"/>
              <w:bottom w:w="110" w:type="dxa"/>
              <w:left w:w="0" w:type="dxa"/>
              <w:right w:w="220" w:type="dxa"/>
            </w:tcMar>
          </w:tcPr>
          <w:p>
            <w:pPr>
              <w:pStyle w:val="BodyText"/>
              <w:spacing w:after="0"/>
            </w:pPr>
            <w:r>
              <w:t xml:space="preserve">Waiting on something — a part on order, a supplier, or an answer from you. Worth opening to check it isn’t waiting on you.</w:t>
            </w:r>
          </w:p>
        </w:tc>
      </w:tr>
      <w:tr>
        <w:tc>
          <w:tcPr>
            <w:tcW w:w="2200" w:type="dxa"/>
            <w:tcMar>
              <w:top w:w="110" w:type="dxa"/>
              <w:bottom w:w="110" w:type="dxa"/>
              <w:left w:w="0" w:type="dxa"/>
              <w:right w:w="220" w:type="dxa"/>
            </w:tcMar>
          </w:tcPr>
          <w:p>
            <w:pPr>
              <w:pStyle w:val="BodyText"/>
              <w:spacing w:after="0"/>
            </w:pPr>
            <w:r>
              <w:rPr>
                <w:b/>
              </w:rPr>
              <w:t xml:space="preserve">Closed</w:t>
            </w:r>
          </w:p>
        </w:tc>
        <w:tc>
          <w:tcPr>
            <w:tcW w:w="6826" w:type="dxa"/>
            <w:tcMar>
              <w:top w:w="110" w:type="dxa"/>
              <w:bottom w:w="110" w:type="dxa"/>
              <w:left w:w="0" w:type="dxa"/>
              <w:right w:w="220" w:type="dxa"/>
            </w:tcMar>
          </w:tcPr>
          <w:p>
            <w:pPr>
              <w:pStyle w:val="BodyText"/>
              <w:spacing w:after="0"/>
            </w:pPr>
            <w:r>
              <w:t xml:space="preserve">Finished.</w:t>
            </w:r>
          </w:p>
        </w:tc>
      </w:tr>
    </w:tbl>
    <w:p>
      <w:pPr>
        <w:pStyle w:val="Heading2"/>
      </w:pPr>
      <w:r>
        <w:t xml:space="preserve">Checking on something you reported</w:t>
      </w:r>
    </w:p>
    <w:p>
      <w:pPr>
        <w:pStyle w:val="BodyText"/>
      </w:pPr>
      <w:r>
        <w:t xml:space="preserve">Choose My tickets to see everything you’ve reported and where each one has got to. Open any of them and you’ll find the status, what you originally told us, and Updates — messages from the IT team.</w:t>
      </w:r>
    </w:p>
    <w:p>
      <w:pPr>
        <w:pStyle w:val="BodyText"/>
      </w:pPr>
      <w:r>
        <w:t xml:space="preserve">There’s a box at the bottom to add a message. Use it whenever something changes: it’s got worse, it’s fixed itself, you’ve found a workaround, or you’re away next week.</w:t>
      </w:r>
    </w:p>
    <w:p>
      <w:pPr>
        <w:pStyle w:val="BodyText"/>
      </w:pPr>
      <w:r>
        <w:t xml:space="preserve">You only ever see your own reports. Technicians also keep private working notes that don’t appear here — if it isn’t in Updates, it wasn’t meant for you rather than being hidden from you.</w:t>
      </w:r>
    </w:p>
    <w:p>
      <w:pPr>
        <w:pStyle w:val="Heading2"/>
      </w:pPr>
      <w:r>
        <w:t xml:space="preserve">When to come and find us instead</w:t>
      </w:r>
    </w:p>
    <w:p>
      <w:pPr>
        <w:pStyle w:val="BodyText"/>
      </w:pPr>
      <w:r>
        <w:t xml:space="preserve">Nobody is alerted the moment you submit something, so the portal is the wrong tool when you need help right now. Phone the IT office or come and find a technician for:</w:t>
      </w:r>
    </w:p>
    <w:p>
      <w:pPr>
        <w:pStyle w:val="BodyText"/>
        <w:numPr>
          <w:ilvl w:val="0"/>
          <w:numId w:val="1"/>
        </w:numPr>
        <w:spacing w:after="80"/>
        <w:ind w:left="360" w:hanging="360"/>
      </w:pPr>
      <w:r>
        <w:t xml:space="preserve">A whole class or room that’s down mid-lesson</w:t>
      </w:r>
    </w:p>
    <w:p>
      <w:pPr>
        <w:pStyle w:val="BodyText"/>
        <w:numPr>
          <w:ilvl w:val="0"/>
          <w:numId w:val="1"/>
        </w:numPr>
        <w:spacing w:after="80"/>
        <w:ind w:left="360" w:hanging="360"/>
      </w:pPr>
      <w:r>
        <w:t xml:space="preserve">Anything involving safeguarding or security</w:t>
      </w:r>
    </w:p>
    <w:p>
      <w:pPr>
        <w:pStyle w:val="BodyText"/>
        <w:numPr>
          <w:ilvl w:val="0"/>
          <w:numId w:val="1"/>
        </w:numPr>
        <w:spacing w:after="80"/>
        <w:ind w:left="360" w:hanging="360"/>
      </w:pPr>
      <w:r>
        <w:t xml:space="preserve">A room about to be used for an exam, assembly or parents’ evening</w:t>
      </w:r>
    </w:p>
    <w:p>
      <w:pPr>
        <w:pStyle w:val="BodyText"/>
        <w:numPr>
          <w:ilvl w:val="0"/>
          <w:numId w:val="1"/>
        </w:numPr>
        <w:spacing w:after="80"/>
        <w:ind w:left="360" w:hanging="360"/>
      </w:pPr>
      <w:r>
        <w:t xml:space="preserve">Anything unsafe — a burning smell, damaged cabling, a plug or charger that’s hot to touch</w:t>
      </w:r>
    </w:p>
    <w:p>
      <w:pPr>
        <w:pStyle w:val="BodyText"/>
      </w:pPr>
      <w:r>
        <w:t xml:space="preserve">Report it in the portal afterwards too, so there’s a record of it.</w:t>
      </w:r>
    </w:p>
    <w:p>
      <w:pPr>
        <w:pStyle w:val="Heading2"/>
      </w:pPr>
      <w:r>
        <w:t xml:space="preserve">Common questions</w:t>
      </w:r>
    </w:p>
    <w:p>
      <w:pPr>
        <w:pStyle w:val="BodyText"/>
        <w:spacing w:after="160"/>
      </w:pPr>
      <w:r>
        <w:rPr>
          <w:b/>
        </w:rPr>
        <w:t xml:space="preserve">I can’t sign in.</w:t>
      </w:r>
      <w:br/>
      <w:r>
        <w:rPr>
          <w:color w:val="5C6E75"/>
        </w:rPr>
        <w:t xml:space="preserve">Ask IT to set your password. Portal accounts are created by the IT team, so if you’ve never been given one, that’s usually why.</w:t>
      </w:r>
    </w:p>
    <w:p>
      <w:pPr>
        <w:pStyle w:val="BodyText"/>
        <w:spacing w:after="160"/>
      </w:pPr>
      <w:r>
        <w:rPr>
          <w:b/>
        </w:rPr>
        <w:t xml:space="preserve">My ticket was closed but the problem is back.</w:t>
      </w:r>
      <w:br/>
      <w:r>
        <w:rPr>
          <w:color w:val="5C6E75"/>
        </w:rPr>
        <w:t xml:space="preserve">Report it again as a new problem. You can add a message to a closed ticket, but nobody is alerted when you do, so it may sit unnoticed. A fresh report gets picked up.</w:t>
      </w:r>
    </w:p>
    <w:p>
      <w:pPr>
        <w:pStyle w:val="BodyText"/>
        <w:spacing w:after="160"/>
      </w:pPr>
      <w:r>
        <w:rPr>
          <w:b/>
        </w:rPr>
        <w:t xml:space="preserve">Can I make something more urgent?</w:t>
      </w:r>
      <w:br/>
      <w:r>
        <w:rPr>
          <w:color w:val="5C6E75"/>
        </w:rPr>
        <w:t xml:space="preserve">Not directly — priority is the IT team’s call. Add a message explaining what’s changed, and for anything that genuinely can’t wait, speak to IT in person.</w:t>
      </w:r>
    </w:p>
    <w:p>
      <w:pPr>
        <w:pStyle w:val="BodyText"/>
        <w:spacing w:after="160"/>
      </w:pPr>
      <w:r>
        <w:rPr>
          <w:b/>
        </w:rPr>
        <w:t xml:space="preserve">Can I see what a colleague reported?</w:t>
      </w:r>
      <w:br/>
      <w:r>
        <w:rPr>
          <w:color w:val="5C6E75"/>
        </w:rPr>
        <w:t xml:space="preserve">No. You only ever see your own.</w:t>
      </w:r>
    </w:p>
    <w:p>
      <w:pPr>
        <w:pStyle w:val="BodyText"/>
        <w:spacing w:after="160"/>
      </w:pPr>
      <w:r>
        <w:rPr>
          <w:b/>
        </w:rPr>
        <w:t xml:space="preserve">I’ve fixed it myself, or I don’t need it any more.</w:t>
      </w:r>
      <w:br/>
      <w:r>
        <w:rPr>
          <w:color w:val="5C6E75"/>
        </w:rPr>
        <w:t xml:space="preserve">Open the ticket, add a message saying so, and the team will close it.</w:t>
      </w:r>
    </w:p>
    <w:p>
      <w:pPr>
        <w:pStyle w:val="BodyText"/>
        <w:spacing w:after="160"/>
      </w:pPr>
      <w:r>
        <w:rPr>
          <w:b/>
        </w:rPr>
        <w:t xml:space="preserve">Do I need a separate login for anything else?</w:t>
      </w:r>
      <w:br/>
      <w:r>
        <w:rPr>
          <w:color w:val="5C6E75"/>
        </w:rPr>
        <w:t xml:space="preserve">No. This login only covers the staff portal. The full system technicians use is a separate login that ordinary staff accounts don’t have.</w:t>
      </w:r>
    </w:p>
    <w:p>
      <w:pPr>
        <w:spacing w:after="80"/>
      </w:pPr>
    </w:p>
    <w:p>
      <w:pPr>
        <w:pStyle w:val="BodyText"/>
        <w:pBdr>
          <w:top w:val="single" w:color="D7E2E3" w:sz="4" w:space="8"/>
        </w:pBdr>
      </w:pPr>
      <w:r>
        <w:rPr>
          <w:color w:val="5C6E75"/>
          <w:sz w:val="18"/>
        </w:rPr>
        <w:t xml:space="preserve">Can’t find the answer here? Contact the IT team directly — and if something in this guide is out of date or wrong for your school, tell them so it can be corrected.</w:t>
      </w:r>
    </w:p>
    <w:sectPr>
      <w:footerReference xmlns:r="http://schemas.openxmlformats.org/officeDocument/2006/relationships" w:type="default" r:id="R2a899e167efc45ac"/>
      <w:pgSz w:w="11906" w:h="16838"/>
      <w:pgMar w:top="1134" w:right="1134" w:bottom="1134" w:left="1134" w:header="567" w:footer="567" w:gutter="0"/>
    </w:sectPr>
  </w:body>
</w:document>
</file>

<file path=word/footer1.xml><?xml version="1.0" encoding="utf-8"?>
<w:ftr xmlns:w="http://schemas.openxmlformats.org/wordprocessingml/2006/main">
  <w:p>
    <w:pPr>
      <w:pStyle w:val="BodyText"/>
      <w:jc w:val="center"/>
      <w:spacing w:after="0"/>
    </w:pPr>
    <w:r>
      <w:rPr>
        <w:color w:val="5C6E75"/>
        <w:sz w:val="16"/>
      </w:rPr>
      <w:t xml:space="preserve">Reporting an IT problem  ·  page </w:t>
    </w:r>
    <w:r>
      <w:fldChar w:fldCharType="begin"/>
    </w:r>
    <w:r>
      <w:instrText xml:space="preserve"> PAGE </w:instrText>
    </w:r>
    <w:r>
      <w:fldChar w:fldCharType="separate"/>
    </w:r>
    <w:r>
      <w:rPr>
        <w:color w:val="5C6E75"/>
        <w:sz w:val="16"/>
      </w:rPr>
      <w:t xml:space="preserve">1</w: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360" w:hanging="360"/>
      </w:pPr>
      <w:rPr>
        <w:rFonts w:hint="default" w:ascii="Symbol" w:hAnsi="Symbol"/>
      </w:rPr>
    </w:lvl>
  </w:abstractNum>
  <w:abstractNum w:abstractNumId="2">
    <w:lvl w:ilvl="0">
      <w:start w:val="1"/>
      <w:numFmt w:val="decimal"/>
      <w:lvlText w:val="%1."/>
      <w:lvlJc w:val="left"/>
      <w:pPr>
        <w:ind w:left="360" w:hanging="36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cs="Calibri"/>
        <w:sz w:val="22"/>
        <w:color w:val="17252F"/>
      </w:rPr>
    </w:rPrDefault>
    <w:pPrDefault>
      <w:pPr>
        <w:spacing w:after="160" w:line="276" w:lineRule="auto"/>
      </w:pPr>
    </w:pPrDefault>
  </w:docDefaults>
  <w:style w:type="paragraph" w:styleId="Normal" w:default="true">
    <w:name w:val="Normal"/>
  </w:style>
  <w:style w:type="paragraph" w:styleId="BodyText" w:customStyle="false">
    <w:name w:val="Body Text"/>
    <w:basedOn w:val="Normal"/>
    <w:pPr>
      <w:spacing w:after="160" w:line="276" w:lineRule="auto"/>
    </w:pPr>
  </w:style>
  <w:style w:type="paragraph" w:styleId="DocTitle" w:customStyle="true">
    <w:name w:val="Title"/>
    <w:basedOn w:val="Normal"/>
    <w:next w:val="BodyText"/>
    <w:pPr>
      <w:spacing w:before="0" w:after="40" w:line="276" w:lineRule="auto"/>
      <w:keepNext/>
    </w:pPr>
    <w:rPr>
      <w:rFonts w:ascii="Calibri" w:hAnsi="Calibri"/>
      <w:sz w:val="56"/>
      <w:color w:val="17252F"/>
      <w:b/>
    </w:rPr>
  </w:style>
  <w:style w:type="paragraph" w:styleId="DocSubtitle" w:customStyle="true">
    <w:name w:val="Subtitle"/>
    <w:basedOn w:val="Normal"/>
    <w:next w:val="BodyText"/>
    <w:pPr>
      <w:spacing w:before="0" w:after="200" w:line="276" w:lineRule="auto"/>
      <w:keepNext/>
    </w:pPr>
    <w:rPr>
      <w:rFonts w:ascii="Calibri" w:hAnsi="Calibri"/>
      <w:sz w:val="26"/>
      <w:color w:val="067A78"/>
    </w:rPr>
  </w:style>
  <w:style w:type="paragraph" w:styleId="Heading2" w:customStyle="false">
    <w:name w:val="heading 2"/>
    <w:basedOn w:val="Normal"/>
    <w:next w:val="BodyText"/>
    <w:pPr>
      <w:spacing w:before="360" w:after="140" w:line="276" w:lineRule="auto"/>
      <w:keepNext/>
      <w:outlineLvl w:val="1"/>
    </w:pPr>
    <w:rPr>
      <w:rFonts w:ascii="Calibri" w:hAnsi="Calibri"/>
      <w:sz w:val="30"/>
      <w:color w:val="07585B"/>
      <w:b/>
    </w:rPr>
  </w:style>
</w:styles>
</file>

<file path=word/_rels/document.xml.rels>&#65279;<?xml version="1.0" encoding="utf-8"?><Relationships xmlns="http://schemas.openxmlformats.org/package/2006/relationships"><Relationship Type="http://schemas.openxmlformats.org/officeDocument/2006/relationships/styles" Target="/word/styles.xml" Id="R54898a891b8e4c29" /><Relationship Type="http://schemas.openxmlformats.org/officeDocument/2006/relationships/numbering" Target="/word/numbering.xml" Id="R4c1771df49e34481" /><Relationship Type="http://schemas.openxmlformats.org/officeDocument/2006/relationships/footer" Target="/word/footer1.xml" Id="R2a899e167efc45ac" /></Relationships>
</file>