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1F4E79"/>
          <w:sz w:val="48"/>
        </w:rPr>
        <w:t>Practical Statistics Cheat Sheet</w:t>
      </w:r>
    </w:p>
    <w:p>
      <w:pPr>
        <w:jc w:val="center"/>
      </w:pPr>
      <w:r>
        <w:rPr>
          <w:i/>
          <w:color w:val="595959"/>
          <w:sz w:val="24"/>
        </w:rPr>
        <w:t>For Agent Operations, Retrieval Diagnostics, and Other Measured Systems</w:t>
      </w:r>
    </w:p>
    <w:p>
      <w:pPr>
        <w:pStyle w:val="SmallNote"/>
        <w:jc w:val="center"/>
      </w:pPr>
      <w:r>
        <w:t>Audience: readers who may not remember college statistics, or never took it. Math progressions are shown as valid Python code blocks.</w:t>
      </w:r>
    </w:p>
    <w:p>
      <w:pPr>
        <w:pStyle w:val="Heading1"/>
      </w:pPr>
      <w:r>
        <w:t>How to Read This</w:t>
      </w:r>
    </w:p>
    <w:p>
      <w:r>
        <w:t>Most operational metrics are not meaningful by themselves. A raw cosine score, latency value, success rate, or judge score becomes useful only after asking: compared to what baseline, distribution, cohort, source, query, or time window?</w:t>
      </w:r>
    </w:p>
    <w:p>
      <w:r>
        <w:t>This cheat sheet explains the basic statistical vocabulary needed to make those comparisons in a clear and auditable way. It is not a substitute for a statistics textbook. It is a bridge for people reading diagnostics, agent evaluations, retrieval reports, and operational monitoring dashboards.</w:t>
      </w:r>
    </w:p>
    <w:p>
      <w:pPr>
        <w:pStyle w:val="ConceptLabel"/>
      </w:pPr>
      <w:r>
        <w:rPr>
          <w:b/>
        </w:rPr>
        <w:t xml:space="preserve">Plain-English rule: </w:t>
      </w:r>
      <w:r>
        <w:rPr>
          <w:b w:val="0"/>
        </w:rPr>
        <w:t>A number becomes informative when you know where it sits inside a distribution and how much ordinary variation surrounds it.</w:t>
      </w:r>
    </w:p>
    <w:p>
      <w:pPr>
        <w:pStyle w:val="Heading2"/>
      </w:pPr>
      <w:r>
        <w:t>1. Observation, Variable, Sample, and Population</w:t>
      </w:r>
    </w:p>
    <w:p>
      <w:pPr>
        <w:pStyle w:val="ConceptLabel"/>
      </w:pPr>
      <w:r>
        <w:rPr>
          <w:b/>
        </w:rPr>
        <w:t xml:space="preserve">What it means: </w:t>
      </w:r>
      <w:r>
        <w:rPr>
          <w:b w:val="0"/>
        </w:rPr>
        <w:t>An observation is one measured item. A variable is what you measure. A sample is the data you actually have. A population is the larger universe you care about.</w:t>
      </w:r>
    </w:p>
    <w:p>
      <w:pPr>
        <w:pStyle w:val="ConceptLabel"/>
      </w:pPr>
      <w:r>
        <w:rPr>
          <w:b/>
        </w:rPr>
        <w:t xml:space="preserve">Why it matters: </w:t>
      </w:r>
      <w:r>
        <w:rPr>
          <w:b w:val="0"/>
        </w:rPr>
        <w:t>In agent operations, one observation might be one query run, one citation check, one retrieval score, or one tool call. Confusion starts when people treat a small sample of runs as if it proves something about all future runs.</w:t>
      </w:r>
    </w:p>
    <w:p>
      <w:pPr>
        <w:pStyle w:val="SmallNote"/>
      </w:pPr>
      <w:r>
        <w:t>Math progression in valid Python:</w:t>
      </w:r>
    </w:p>
    <w:tbl>
      <w:tblPr>
        <w:tblW w:type="auto" w:w="0"/>
        <w:jc w:val="center"/>
        <w:tblLayout w:type="autofit"/>
        <w:tblLook w:firstColumn="1" w:firstRow="1" w:lastColumn="0" w:lastRow="0" w:noHBand="0" w:noVBand="1" w:val="04A0"/>
      </w:tblPr>
      <w:tblGrid>
        <w:gridCol w:w="10224"/>
      </w:tblGrid>
      <w:tr>
        <w:tc>
          <w:tcPr>
            <w:tcW w:type="dxa" w:w="10224"/>
            <w:vAlign w:val="top"/>
            <w:shd w:fill="F6F8FA"/>
            <w:tcBorders>
              <w:top w:val="single" w:sz="8" w:space="0" w:color="D0D7DE"/>
              <w:left w:val="single" w:sz="8" w:space="0" w:color="D0D7DE"/>
              <w:bottom w:val="single" w:sz="8" w:space="0" w:color="D0D7DE"/>
              <w:right w:val="single" w:sz="8" w:space="0" w:color="D0D7DE"/>
            </w:tcBorders>
          </w:tcPr>
          <w:p>
            <w:pPr>
              <w:spacing w:before="40" w:after="40" w:line="240" w:lineRule="auto"/>
            </w:pPr>
            <w:r>
              <w:rPr>
                <w:rFonts w:ascii="Consolas" w:hAnsi="Consolas" w:eastAsia="Consolas"/>
                <w:color w:val="24292F"/>
                <w:sz w:val="16"/>
              </w:rPr>
              <w:t># Observations: measured values from individual runs.</w:t>
              <w:br/>
              <w:t>latency_seconds = [2.1, 2.4, 2.0, 3.8, 2.2]</w:t>
              <w:br/>
              <w:br/>
              <w:t># Sample size: how many observations we actually measured.</w:t>
              <w:br/>
              <w:t>n = len(latency_seconds)</w:t>
              <w:br/>
              <w:br/>
              <w:t># Population: the broader process we are trying to understand.</w:t>
              <w:br/>
              <w:t># In code, we usually only see a sample, not the full population.</w:t>
              <w:br/>
              <w:t>print(n)</w:t>
            </w:r>
          </w:p>
        </w:tc>
      </w:tr>
    </w:tbl>
    <w:p>
      <w:pPr>
        <w:spacing w:after="40" w:before="0"/>
      </w:pPr>
    </w:p>
    <w:p>
      <w:pPr>
        <w:pStyle w:val="ConceptLabel"/>
      </w:pPr>
      <w:r>
        <w:rPr>
          <w:b/>
        </w:rPr>
        <w:t xml:space="preserve">Follow-up reference: </w:t>
      </w:r>
      <w:r>
        <w:rPr>
          <w:b w:val="0"/>
        </w:rPr>
        <w:t>OpenIntro Statistics is a readable full-course reference for data structures, sampling, distributions, and inference.</w:t>
      </w:r>
    </w:p>
    <w:p>
      <w:pPr>
        <w:pStyle w:val="Heading2"/>
      </w:pPr>
      <w:r>
        <w:t>2. Distribution</w:t>
      </w:r>
    </w:p>
    <w:p>
      <w:pPr>
        <w:pStyle w:val="ConceptLabel"/>
      </w:pPr>
      <w:r>
        <w:rPr>
          <w:b/>
        </w:rPr>
        <w:t xml:space="preserve">What it means: </w:t>
      </w:r>
      <w:r>
        <w:rPr>
          <w:b w:val="0"/>
        </w:rPr>
        <w:t>A distribution describes how values are spread out. It tells you what is typical, what is rare, whether values cluster, whether there are long tails, and whether there are multiple groups mixed together.</w:t>
      </w:r>
    </w:p>
    <w:p>
      <w:pPr>
        <w:pStyle w:val="ConceptLabel"/>
      </w:pPr>
      <w:r>
        <w:rPr>
          <w:b/>
        </w:rPr>
        <w:t xml:space="preserve">Why it matters: </w:t>
      </w:r>
      <w:r>
        <w:rPr>
          <w:b w:val="0"/>
        </w:rPr>
        <w:t>For retrieval and agent diagnostics, the distribution matters more than an isolated score. If most cosine scores are tightly clustered, a small score difference may be meaningful. If scores are widely scattered, the same difference may be ordinary noise.</w:t>
      </w:r>
    </w:p>
    <w:p>
      <w:pPr>
        <w:pStyle w:val="SmallNote"/>
      </w:pPr>
      <w:r>
        <w:t>Math progression in valid Python:</w:t>
      </w:r>
    </w:p>
    <w:tbl>
      <w:tblPr>
        <w:tblW w:type="auto" w:w="0"/>
        <w:jc w:val="center"/>
        <w:tblLayout w:type="autofit"/>
        <w:tblLook w:firstColumn="1" w:firstRow="1" w:lastColumn="0" w:lastRow="0" w:noHBand="0" w:noVBand="1" w:val="04A0"/>
      </w:tblPr>
      <w:tblGrid>
        <w:gridCol w:w="10224"/>
      </w:tblGrid>
      <w:tr>
        <w:tc>
          <w:tcPr>
            <w:tcW w:type="dxa" w:w="10224"/>
            <w:vAlign w:val="top"/>
            <w:shd w:fill="F6F8FA"/>
            <w:tcBorders>
              <w:top w:val="single" w:sz="8" w:space="0" w:color="D0D7DE"/>
              <w:left w:val="single" w:sz="8" w:space="0" w:color="D0D7DE"/>
              <w:bottom w:val="single" w:sz="8" w:space="0" w:color="D0D7DE"/>
              <w:right w:val="single" w:sz="8" w:space="0" w:color="D0D7DE"/>
            </w:tcBorders>
          </w:tcPr>
          <w:p>
            <w:pPr>
              <w:spacing w:before="40" w:after="40" w:line="240" w:lineRule="auto"/>
            </w:pPr>
            <w:r>
              <w:rPr>
                <w:rFonts w:ascii="Consolas" w:hAnsi="Consolas" w:eastAsia="Consolas"/>
                <w:color w:val="24292F"/>
                <w:sz w:val="16"/>
              </w:rPr>
              <w:t>from collections import Counter</w:t>
              <w:br/>
              <w:br/>
              <w:t>scores = [0.61, 0.62, 0.62, 0.64, 0.65, 0.65, 0.66, 0.71]</w:t>
              <w:br/>
              <w:br/>
              <w:t># A simple binned distribution for inspection.</w:t>
              <w:br/>
              <w:t>bin_width = 0.02</w:t>
              <w:br/>
              <w:t>bins = [round(bin_width * int(score / bin_width), 2) for score in scores]</w:t>
              <w:br/>
              <w:t>counts_by_bin = Counter(bins)</w:t>
              <w:br/>
              <w:br/>
              <w:t>print(counts_by_bin)</w:t>
            </w:r>
          </w:p>
        </w:tc>
      </w:tr>
    </w:tbl>
    <w:p>
      <w:pPr>
        <w:spacing w:after="40" w:before="0"/>
      </w:pPr>
    </w:p>
    <w:p>
      <w:pPr>
        <w:pStyle w:val="ConceptLabel"/>
      </w:pPr>
      <w:r>
        <w:rPr>
          <w:b/>
        </w:rPr>
        <w:t xml:space="preserve">Follow-up reference: </w:t>
      </w:r>
      <w:r>
        <w:rPr>
          <w:b w:val="0"/>
        </w:rPr>
        <w:t>NIST describes histograms as a way to summarize a distribution, including its center, spread, skewness, outliers, and modes.</w:t>
      </w:r>
    </w:p>
    <w:p>
      <w:pPr>
        <w:pStyle w:val="Heading2"/>
      </w:pPr>
      <w:r>
        <w:t>3. Normal Distribution</w:t>
      </w:r>
    </w:p>
    <w:p>
      <w:pPr>
        <w:pStyle w:val="ConceptLabel"/>
      </w:pPr>
      <w:r>
        <w:rPr>
          <w:b/>
        </w:rPr>
        <w:t xml:space="preserve">What it means: </w:t>
      </w:r>
      <w:r>
        <w:rPr>
          <w:b w:val="0"/>
        </w:rPr>
        <w:t>A normal distribution is the familiar bell-shaped distribution. It is symmetric around the mean. Many measurement errors, averages, and naturally aggregated processes are approximately normal, but many real-world systems are not.</w:t>
      </w:r>
    </w:p>
    <w:p>
      <w:pPr>
        <w:pStyle w:val="ConceptLabel"/>
      </w:pPr>
      <w:r>
        <w:rPr>
          <w:b/>
        </w:rPr>
        <w:t xml:space="preserve">Why it matters: </w:t>
      </w:r>
      <w:r>
        <w:rPr>
          <w:b w:val="0"/>
        </w:rPr>
        <w:t>If a score distribution is approximately normal, standard deviation and z-scores become easier to interpret. But do not assume normality just because a graph looks smooth. Check for skew, multiple peaks, heavy tails, and known process changes.</w:t>
      </w:r>
    </w:p>
    <w:p>
      <w:pPr>
        <w:pStyle w:val="SmallNote"/>
      </w:pPr>
      <w:r>
        <w:t>Math progression in valid Python:</w:t>
      </w:r>
    </w:p>
    <w:tbl>
      <w:tblPr>
        <w:tblW w:type="auto" w:w="0"/>
        <w:jc w:val="center"/>
        <w:tblLayout w:type="autofit"/>
        <w:tblLook w:firstColumn="1" w:firstRow="1" w:lastColumn="0" w:lastRow="0" w:noHBand="0" w:noVBand="1" w:val="04A0"/>
      </w:tblPr>
      <w:tblGrid>
        <w:gridCol w:w="10224"/>
      </w:tblGrid>
      <w:tr>
        <w:tc>
          <w:tcPr>
            <w:tcW w:type="dxa" w:w="10224"/>
            <w:vAlign w:val="top"/>
            <w:shd w:fill="F6F8FA"/>
            <w:tcBorders>
              <w:top w:val="single" w:sz="8" w:space="0" w:color="D0D7DE"/>
              <w:left w:val="single" w:sz="8" w:space="0" w:color="D0D7DE"/>
              <w:bottom w:val="single" w:sz="8" w:space="0" w:color="D0D7DE"/>
              <w:right w:val="single" w:sz="8" w:space="0" w:color="D0D7DE"/>
            </w:tcBorders>
          </w:tcPr>
          <w:p>
            <w:pPr>
              <w:spacing w:before="40" w:after="40" w:line="240" w:lineRule="auto"/>
            </w:pPr>
            <w:r>
              <w:rPr>
                <w:rFonts w:ascii="Consolas" w:hAnsi="Consolas" w:eastAsia="Consolas"/>
                <w:color w:val="24292F"/>
                <w:sz w:val="16"/>
              </w:rPr>
              <w:t>from math import exp, pi, sqrt</w:t>
              <w:br/>
              <w:br/>
              <w:t>x = 1.0</w:t>
              <w:br/>
              <w:t>mean_value = 0.0</w:t>
              <w:br/>
              <w:t>standard_deviation = 1.0</w:t>
              <w:br/>
              <w:br/>
              <w:t># Normal probability density at x.</w:t>
              <w:br/>
              <w:t>normal_density = (</w:t>
              <w:br/>
              <w:t xml:space="preserve">    1 / (standard_deviation * sqrt(2 * pi))</w:t>
              <w:br/>
              <w:t xml:space="preserve">    * exp(-0.5 * ((x - mean_value) / standard_deviation) ** 2)</w:t>
              <w:br/>
              <w:t>)</w:t>
              <w:br/>
              <w:br/>
              <w:t>print(normal_density)</w:t>
            </w:r>
          </w:p>
        </w:tc>
      </w:tr>
    </w:tbl>
    <w:p>
      <w:pPr>
        <w:spacing w:after="40" w:before="0"/>
      </w:pPr>
    </w:p>
    <w:p>
      <w:pPr>
        <w:pStyle w:val="ConceptLabel"/>
      </w:pPr>
      <w:r>
        <w:rPr>
          <w:b/>
        </w:rPr>
        <w:t xml:space="preserve">Follow-up reference: </w:t>
      </w:r>
      <w:r>
        <w:rPr>
          <w:b w:val="0"/>
        </w:rPr>
        <w:t>NIST calls the normal distribution probably the most important distribution in statistics for theoretical and practical reasons.</w:t>
      </w:r>
    </w:p>
    <w:p>
      <w:pPr>
        <w:pStyle w:val="Heading2"/>
      </w:pPr>
      <w:r>
        <w:t>4. Mean</w:t>
      </w:r>
    </w:p>
    <w:p>
      <w:pPr>
        <w:pStyle w:val="ConceptLabel"/>
      </w:pPr>
      <w:r>
        <w:rPr>
          <w:b/>
        </w:rPr>
        <w:t xml:space="preserve">What it means: </w:t>
      </w:r>
      <w:r>
        <w:rPr>
          <w:b w:val="0"/>
        </w:rPr>
        <w:t>The mean is the arithmetic average. It is a measure of the center of a set of values.</w:t>
      </w:r>
    </w:p>
    <w:p>
      <w:pPr>
        <w:pStyle w:val="ConceptLabel"/>
      </w:pPr>
      <w:r>
        <w:rPr>
          <w:b/>
        </w:rPr>
        <w:t xml:space="preserve">Why it matters: </w:t>
      </w:r>
      <w:r>
        <w:rPr>
          <w:b w:val="0"/>
        </w:rPr>
        <w:t>The mean gives a baseline: average latency, average retrieval score, average evaluator score, average cost per run. The caveat is that outliers can pull it around. When the distribution is skewed, also look at the median.</w:t>
      </w:r>
    </w:p>
    <w:p>
      <w:pPr>
        <w:pStyle w:val="SmallNote"/>
      </w:pPr>
      <w:r>
        <w:t>Math progression in valid Python:</w:t>
      </w:r>
    </w:p>
    <w:tbl>
      <w:tblPr>
        <w:tblW w:type="auto" w:w="0"/>
        <w:jc w:val="center"/>
        <w:tblLayout w:type="autofit"/>
        <w:tblLook w:firstColumn="1" w:firstRow="1" w:lastColumn="0" w:lastRow="0" w:noHBand="0" w:noVBand="1" w:val="04A0"/>
      </w:tblPr>
      <w:tblGrid>
        <w:gridCol w:w="10224"/>
      </w:tblGrid>
      <w:tr>
        <w:tc>
          <w:tcPr>
            <w:tcW w:type="dxa" w:w="10224"/>
            <w:vAlign w:val="top"/>
            <w:shd w:fill="F6F8FA"/>
            <w:tcBorders>
              <w:top w:val="single" w:sz="8" w:space="0" w:color="D0D7DE"/>
              <w:left w:val="single" w:sz="8" w:space="0" w:color="D0D7DE"/>
              <w:bottom w:val="single" w:sz="8" w:space="0" w:color="D0D7DE"/>
              <w:right w:val="single" w:sz="8" w:space="0" w:color="D0D7DE"/>
            </w:tcBorders>
          </w:tcPr>
          <w:p>
            <w:pPr>
              <w:spacing w:before="40" w:after="40" w:line="240" w:lineRule="auto"/>
            </w:pPr>
            <w:r>
              <w:rPr>
                <w:rFonts w:ascii="Consolas" w:hAnsi="Consolas" w:eastAsia="Consolas"/>
                <w:color w:val="24292F"/>
                <w:sz w:val="16"/>
              </w:rPr>
              <w:t>values = [10, 12, 13, 15, 100]</w:t>
              <w:br/>
              <w:br/>
              <w:t>mean_value = sum(values) / len(values)</w:t>
              <w:br/>
              <w:br/>
              <w:t>print(mean_value)</w:t>
            </w:r>
          </w:p>
        </w:tc>
      </w:tr>
    </w:tbl>
    <w:p>
      <w:pPr>
        <w:spacing w:after="40" w:before="0"/>
      </w:pPr>
    </w:p>
    <w:p>
      <w:pPr>
        <w:pStyle w:val="ConceptLabel"/>
      </w:pPr>
      <w:r>
        <w:rPr>
          <w:b/>
        </w:rPr>
        <w:t xml:space="preserve">Follow-up reference: </w:t>
      </w:r>
      <w:r>
        <w:rPr>
          <w:b w:val="0"/>
        </w:rPr>
        <w:t>NIST describes the mean as the value most commonly referred to as the average.</w:t>
      </w:r>
    </w:p>
    <w:p>
      <w:pPr>
        <w:pStyle w:val="Heading2"/>
      </w:pPr>
      <w:r>
        <w:t>5. Median and Percentiles</w:t>
      </w:r>
    </w:p>
    <w:p>
      <w:pPr>
        <w:pStyle w:val="ConceptLabel"/>
      </w:pPr>
      <w:r>
        <w:rPr>
          <w:b/>
        </w:rPr>
        <w:t xml:space="preserve">What it means: </w:t>
      </w:r>
      <w:r>
        <w:rPr>
          <w:b w:val="0"/>
        </w:rPr>
        <w:t>The median is the middle value after sorting. Percentiles describe rank position. For example, the 95th percentile is the value below which about 95 percent of observations fall.</w:t>
      </w:r>
    </w:p>
    <w:p>
      <w:pPr>
        <w:pStyle w:val="ConceptLabel"/>
      </w:pPr>
      <w:r>
        <w:rPr>
          <w:b/>
        </w:rPr>
        <w:t xml:space="preserve">Why it matters: </w:t>
      </w:r>
      <w:r>
        <w:rPr>
          <w:b w:val="0"/>
        </w:rPr>
        <w:t>Percentiles are often better than averages for operational metrics. P95 latency, P99 cost, and top-one-percent retrieval scores reveal tail behavior that the mean hides.</w:t>
      </w:r>
    </w:p>
    <w:p>
      <w:pPr>
        <w:pStyle w:val="SmallNote"/>
      </w:pPr>
      <w:r>
        <w:t>Math progression in valid Python:</w:t>
      </w:r>
    </w:p>
    <w:tbl>
      <w:tblPr>
        <w:tblW w:type="auto" w:w="0"/>
        <w:jc w:val="center"/>
        <w:tblLayout w:type="autofit"/>
        <w:tblLook w:firstColumn="1" w:firstRow="1" w:lastColumn="0" w:lastRow="0" w:noHBand="0" w:noVBand="1" w:val="04A0"/>
      </w:tblPr>
      <w:tblGrid>
        <w:gridCol w:w="10224"/>
      </w:tblGrid>
      <w:tr>
        <w:tc>
          <w:tcPr>
            <w:tcW w:type="dxa" w:w="10224"/>
            <w:vAlign w:val="top"/>
            <w:shd w:fill="F6F8FA"/>
            <w:tcBorders>
              <w:top w:val="single" w:sz="8" w:space="0" w:color="D0D7DE"/>
              <w:left w:val="single" w:sz="8" w:space="0" w:color="D0D7DE"/>
              <w:bottom w:val="single" w:sz="8" w:space="0" w:color="D0D7DE"/>
              <w:right w:val="single" w:sz="8" w:space="0" w:color="D0D7DE"/>
            </w:tcBorders>
          </w:tcPr>
          <w:p>
            <w:pPr>
              <w:spacing w:before="40" w:after="40" w:line="240" w:lineRule="auto"/>
            </w:pPr>
            <w:r>
              <w:rPr>
                <w:rFonts w:ascii="Consolas" w:hAnsi="Consolas" w:eastAsia="Consolas"/>
                <w:color w:val="24292F"/>
                <w:sz w:val="16"/>
              </w:rPr>
              <w:t>values = [10, 12, 13, 15, 100]</w:t>
              <w:br/>
              <w:t>values_sorted = sorted(values)</w:t>
              <w:br/>
              <w:t>n = len(values_sorted)</w:t>
              <w:br/>
              <w:br/>
              <w:t>median_value = values_sorted[n // 2]</w:t>
              <w:br/>
              <w:br/>
              <w:t># Nearest-rank percentile function.</w:t>
              <w:br/>
              <w:t>def percentile_nearest_rank(values, percentile):</w:t>
              <w:br/>
              <w:t xml:space="preserve">    values_sorted = sorted(values)</w:t>
              <w:br/>
              <w:t xml:space="preserve">    rank = max(1, round(percentile / 100 * len(values_sorted)))</w:t>
              <w:br/>
              <w:t xml:space="preserve">    return values_sorted[rank - 1]</w:t>
              <w:br/>
              <w:br/>
              <w:t>p95 = percentile_nearest_rank(values, 95)</w:t>
              <w:br/>
              <w:br/>
              <w:t>print(median_value, p95)</w:t>
            </w:r>
          </w:p>
        </w:tc>
      </w:tr>
    </w:tbl>
    <w:p>
      <w:pPr>
        <w:spacing w:after="40" w:before="0"/>
      </w:pPr>
    </w:p>
    <w:p>
      <w:pPr>
        <w:pStyle w:val="ConceptLabel"/>
      </w:pPr>
      <w:r>
        <w:rPr>
          <w:b/>
        </w:rPr>
        <w:t xml:space="preserve">Follow-up reference: </w:t>
      </w:r>
      <w:r>
        <w:rPr>
          <w:b w:val="0"/>
        </w:rPr>
        <w:t>NIST treats median and other location measures as ways to describe the typical value of a distribution.</w:t>
      </w:r>
    </w:p>
    <w:p>
      <w:pPr>
        <w:pStyle w:val="Heading2"/>
      </w:pPr>
      <w:r>
        <w:t>6. Variance and Standard Deviation</w:t>
      </w:r>
    </w:p>
    <w:p>
      <w:pPr>
        <w:pStyle w:val="ConceptLabel"/>
      </w:pPr>
      <w:r>
        <w:rPr>
          <w:b/>
        </w:rPr>
        <w:t xml:space="preserve">What it means: </w:t>
      </w:r>
      <w:r>
        <w:rPr>
          <w:b w:val="0"/>
        </w:rPr>
        <w:t>Variance and standard deviation measure spread. Standard deviation is in the same units as the original data, which makes it easier to interpret.</w:t>
      </w:r>
    </w:p>
    <w:p>
      <w:pPr>
        <w:pStyle w:val="ConceptLabel"/>
      </w:pPr>
      <w:r>
        <w:rPr>
          <w:b/>
        </w:rPr>
        <w:t xml:space="preserve">Why it matters: </w:t>
      </w:r>
      <w:r>
        <w:rPr>
          <w:b w:val="0"/>
        </w:rPr>
        <w:t>Standard deviation tells you whether a score is ordinary or unusual relative to the usual variation of that metric. It is central to z-scores, control limits, and many anomaly-detection rules.</w:t>
      </w:r>
    </w:p>
    <w:p>
      <w:pPr>
        <w:pStyle w:val="SmallNote"/>
      </w:pPr>
      <w:r>
        <w:t>Math progression in valid Python:</w:t>
      </w:r>
    </w:p>
    <w:tbl>
      <w:tblPr>
        <w:tblW w:type="auto" w:w="0"/>
        <w:jc w:val="center"/>
        <w:tblLayout w:type="autofit"/>
        <w:tblLook w:firstColumn="1" w:firstRow="1" w:lastColumn="0" w:lastRow="0" w:noHBand="0" w:noVBand="1" w:val="04A0"/>
      </w:tblPr>
      <w:tblGrid>
        <w:gridCol w:w="10224"/>
      </w:tblGrid>
      <w:tr>
        <w:tc>
          <w:tcPr>
            <w:tcW w:type="dxa" w:w="10224"/>
            <w:vAlign w:val="top"/>
            <w:shd w:fill="F6F8FA"/>
            <w:tcBorders>
              <w:top w:val="single" w:sz="8" w:space="0" w:color="D0D7DE"/>
              <w:left w:val="single" w:sz="8" w:space="0" w:color="D0D7DE"/>
              <w:bottom w:val="single" w:sz="8" w:space="0" w:color="D0D7DE"/>
              <w:right w:val="single" w:sz="8" w:space="0" w:color="D0D7DE"/>
            </w:tcBorders>
          </w:tcPr>
          <w:p>
            <w:pPr>
              <w:spacing w:before="40" w:after="40" w:line="240" w:lineRule="auto"/>
            </w:pPr>
            <w:r>
              <w:rPr>
                <w:rFonts w:ascii="Consolas" w:hAnsi="Consolas" w:eastAsia="Consolas"/>
                <w:color w:val="24292F"/>
                <w:sz w:val="16"/>
              </w:rPr>
              <w:t>values = [10, 12, 13, 15, 100]</w:t>
              <w:br/>
              <w:t>n = len(values)</w:t>
              <w:br/>
              <w:t>mean_value = sum(values) / n</w:t>
              <w:br/>
              <w:br/>
              <w:t># Population variance and standard deviation.</w:t>
              <w:br/>
              <w:t>variance_population = sum((x - mean_value) ** 2 for x in values) / n</w:t>
              <w:br/>
              <w:t>standard_deviation_population = variance_population ** 0.5</w:t>
              <w:br/>
              <w:br/>
              <w:t># Sample variance and standard deviation.</w:t>
              <w:br/>
              <w:t>variance_sample = sum((x - mean_value) ** 2 for x in values) / (n - 1)</w:t>
              <w:br/>
              <w:t>standard_deviation_sample = variance_sample ** 0.5</w:t>
              <w:br/>
              <w:br/>
              <w:t>print(standard_deviation_population, standard_deviation_sample)</w:t>
            </w:r>
          </w:p>
        </w:tc>
      </w:tr>
    </w:tbl>
    <w:p>
      <w:pPr>
        <w:spacing w:after="40" w:before="0"/>
      </w:pPr>
    </w:p>
    <w:p>
      <w:pPr>
        <w:pStyle w:val="ConceptLabel"/>
      </w:pPr>
      <w:r>
        <w:rPr>
          <w:b/>
        </w:rPr>
        <w:t xml:space="preserve">Follow-up reference: </w:t>
      </w:r>
      <w:r>
        <w:rPr>
          <w:b w:val="0"/>
        </w:rPr>
        <w:t>NIST describes variance and standard deviation as measures of scale, or variability, in the data.</w:t>
      </w:r>
    </w:p>
    <w:p>
      <w:pPr>
        <w:pStyle w:val="Heading2"/>
      </w:pPr>
      <w:r>
        <w:t>7. Standard Error and Sampling Distribution</w:t>
      </w:r>
    </w:p>
    <w:p>
      <w:pPr>
        <w:pStyle w:val="ConceptLabel"/>
      </w:pPr>
      <w:r>
        <w:rPr>
          <w:b/>
        </w:rPr>
        <w:t xml:space="preserve">What it means: </w:t>
      </w:r>
      <w:r>
        <w:rPr>
          <w:b w:val="0"/>
        </w:rPr>
        <w:t>Standard deviation measures variation among observations. Standard error measures uncertainty in an estimate, such as the uncertainty around a sample mean.</w:t>
      </w:r>
    </w:p>
    <w:p>
      <w:pPr>
        <w:pStyle w:val="ConceptLabel"/>
      </w:pPr>
      <w:r>
        <w:rPr>
          <w:b/>
        </w:rPr>
        <w:t xml:space="preserve">Why it matters: </w:t>
      </w:r>
      <w:r>
        <w:rPr>
          <w:b w:val="0"/>
        </w:rPr>
        <w:t>This matters when you compare agent versions. A difference between two average scores may be meaningless if the estimate is noisy. More observations usually reduce standard error.</w:t>
      </w:r>
    </w:p>
    <w:p>
      <w:pPr>
        <w:pStyle w:val="SmallNote"/>
      </w:pPr>
      <w:r>
        <w:t>Math progression in valid Python:</w:t>
      </w:r>
    </w:p>
    <w:tbl>
      <w:tblPr>
        <w:tblW w:type="auto" w:w="0"/>
        <w:jc w:val="center"/>
        <w:tblLayout w:type="autofit"/>
        <w:tblLook w:firstColumn="1" w:firstRow="1" w:lastColumn="0" w:lastRow="0" w:noHBand="0" w:noVBand="1" w:val="04A0"/>
      </w:tblPr>
      <w:tblGrid>
        <w:gridCol w:w="10224"/>
      </w:tblGrid>
      <w:tr>
        <w:tc>
          <w:tcPr>
            <w:tcW w:type="dxa" w:w="10224"/>
            <w:vAlign w:val="top"/>
            <w:shd w:fill="F6F8FA"/>
            <w:tcBorders>
              <w:top w:val="single" w:sz="8" w:space="0" w:color="D0D7DE"/>
              <w:left w:val="single" w:sz="8" w:space="0" w:color="D0D7DE"/>
              <w:bottom w:val="single" w:sz="8" w:space="0" w:color="D0D7DE"/>
              <w:right w:val="single" w:sz="8" w:space="0" w:color="D0D7DE"/>
            </w:tcBorders>
          </w:tcPr>
          <w:p>
            <w:pPr>
              <w:spacing w:before="40" w:after="40" w:line="240" w:lineRule="auto"/>
            </w:pPr>
            <w:r>
              <w:rPr>
                <w:rFonts w:ascii="Consolas" w:hAnsi="Consolas" w:eastAsia="Consolas"/>
                <w:color w:val="24292F"/>
                <w:sz w:val="16"/>
              </w:rPr>
              <w:t>values = [0.80, 0.82, 0.78, 0.81, 0.79]</w:t>
              <w:br/>
              <w:t>n = len(values)</w:t>
              <w:br/>
              <w:t>mean_value = sum(values) / n</w:t>
              <w:br/>
              <w:t>sample_standard_deviation = (</w:t>
              <w:br/>
              <w:t xml:space="preserve">    sum((x - mean_value) ** 2 for x in values) / (n - 1)</w:t>
              <w:br/>
              <w:t>) ** 0.5</w:t>
              <w:br/>
              <w:br/>
              <w:t>standard_error_of_mean = sample_standard_deviation / (n ** 0.5)</w:t>
              <w:br/>
              <w:br/>
              <w:t>print(standard_error_of_mean)</w:t>
            </w:r>
          </w:p>
        </w:tc>
      </w:tr>
    </w:tbl>
    <w:p>
      <w:pPr>
        <w:spacing w:after="40" w:before="0"/>
      </w:pPr>
    </w:p>
    <w:p>
      <w:pPr>
        <w:pStyle w:val="ConceptLabel"/>
      </w:pPr>
      <w:r>
        <w:rPr>
          <w:b/>
        </w:rPr>
        <w:t xml:space="preserve">Follow-up reference: </w:t>
      </w:r>
      <w:r>
        <w:rPr>
          <w:b w:val="0"/>
        </w:rPr>
        <w:t>NIST discusses confidence intervals and the effect of estimating standard deviation from limited data.</w:t>
      </w:r>
    </w:p>
    <w:p>
      <w:pPr>
        <w:pStyle w:val="Heading2"/>
      </w:pPr>
      <w:r>
        <w:t>8. Z-Score</w:t>
      </w:r>
    </w:p>
    <w:p>
      <w:pPr>
        <w:pStyle w:val="ConceptLabel"/>
      </w:pPr>
      <w:r>
        <w:rPr>
          <w:b/>
        </w:rPr>
        <w:t xml:space="preserve">What it means: </w:t>
      </w:r>
      <w:r>
        <w:rPr>
          <w:b w:val="0"/>
        </w:rPr>
        <w:t>A z-score says how many standard deviations a value is above or below the mean.</w:t>
      </w:r>
    </w:p>
    <w:p>
      <w:pPr>
        <w:pStyle w:val="ConceptLabel"/>
      </w:pPr>
      <w:r>
        <w:rPr>
          <w:b/>
        </w:rPr>
        <w:t xml:space="preserve">Why it matters: </w:t>
      </w:r>
      <w:r>
        <w:rPr>
          <w:b w:val="0"/>
        </w:rPr>
        <w:t>This is the core move for making raw metrics interpretable. A cosine score is not very meaningful by itself. A cosine score two standard deviations above that query’s score distribution is much more informative.</w:t>
      </w:r>
    </w:p>
    <w:p>
      <w:pPr>
        <w:pStyle w:val="SmallNote"/>
      </w:pPr>
      <w:r>
        <w:t>Math progression in valid Python:</w:t>
      </w:r>
    </w:p>
    <w:tbl>
      <w:tblPr>
        <w:tblW w:type="auto" w:w="0"/>
        <w:jc w:val="center"/>
        <w:tblLayout w:type="autofit"/>
        <w:tblLook w:firstColumn="1" w:firstRow="1" w:lastColumn="0" w:lastRow="0" w:noHBand="0" w:noVBand="1" w:val="04A0"/>
      </w:tblPr>
      <w:tblGrid>
        <w:gridCol w:w="10224"/>
      </w:tblGrid>
      <w:tr>
        <w:tc>
          <w:tcPr>
            <w:tcW w:type="dxa" w:w="10224"/>
            <w:vAlign w:val="top"/>
            <w:shd w:fill="F6F8FA"/>
            <w:tcBorders>
              <w:top w:val="single" w:sz="8" w:space="0" w:color="D0D7DE"/>
              <w:left w:val="single" w:sz="8" w:space="0" w:color="D0D7DE"/>
              <w:bottom w:val="single" w:sz="8" w:space="0" w:color="D0D7DE"/>
              <w:right w:val="single" w:sz="8" w:space="0" w:color="D0D7DE"/>
            </w:tcBorders>
          </w:tcPr>
          <w:p>
            <w:pPr>
              <w:spacing w:before="40" w:after="40" w:line="240" w:lineRule="auto"/>
            </w:pPr>
            <w:r>
              <w:rPr>
                <w:rFonts w:ascii="Consolas" w:hAnsi="Consolas" w:eastAsia="Consolas"/>
                <w:color w:val="24292F"/>
                <w:sz w:val="16"/>
              </w:rPr>
              <w:t>scores = [0.61, 0.62, 0.62, 0.64, 0.65, 0.65, 0.66, 0.71]</w:t>
              <w:br/>
              <w:t>score_of_interest = 0.71</w:t>
              <w:br/>
              <w:br/>
              <w:t>mean_score = sum(scores) / len(scores)</w:t>
              <w:br/>
              <w:t>sample_standard_deviation = (</w:t>
              <w:br/>
              <w:t xml:space="preserve">    sum((x - mean_score) ** 2 for x in scores) / (len(scores) - 1)</w:t>
              <w:br/>
              <w:t>) ** 0.5</w:t>
              <w:br/>
              <w:br/>
              <w:t>z_score = (score_of_interest - mean_score) / sample_standard_deviation</w:t>
              <w:br/>
              <w:br/>
              <w:t>print(z_score)</w:t>
            </w:r>
          </w:p>
        </w:tc>
      </w:tr>
    </w:tbl>
    <w:p>
      <w:pPr>
        <w:spacing w:after="40" w:before="0"/>
      </w:pPr>
    </w:p>
    <w:p>
      <w:pPr>
        <w:pStyle w:val="ConceptLabel"/>
      </w:pPr>
      <w:r>
        <w:rPr>
          <w:b/>
        </w:rPr>
        <w:t xml:space="preserve">Follow-up reference: </w:t>
      </w:r>
      <w:r>
        <w:rPr>
          <w:b w:val="0"/>
        </w:rPr>
        <w:t>Khan Academy’s z-score material is a gentle follow-up reference; NIST’s normal distribution reference provides the formal distributional context.</w:t>
      </w:r>
    </w:p>
    <w:p>
      <w:pPr>
        <w:pStyle w:val="Heading2"/>
      </w:pPr>
      <w:r>
        <w:t>9. P-Value</w:t>
      </w:r>
    </w:p>
    <w:p>
      <w:pPr>
        <w:pStyle w:val="ConceptLabel"/>
      </w:pPr>
      <w:r>
        <w:rPr>
          <w:b/>
        </w:rPr>
        <w:t xml:space="preserve">What it means: </w:t>
      </w:r>
      <w:r>
        <w:rPr>
          <w:b w:val="0"/>
        </w:rPr>
        <w:t>A p-value is the probability, assuming a specified null model is true, of observing a result at least as extreme as the one observed. It is not the probability that the hypothesis is true.</w:t>
      </w:r>
    </w:p>
    <w:p>
      <w:pPr>
        <w:pStyle w:val="ConceptLabel"/>
      </w:pPr>
      <w:r>
        <w:rPr>
          <w:b/>
        </w:rPr>
        <w:t xml:space="preserve">Why it matters: </w:t>
      </w:r>
      <w:r>
        <w:rPr>
          <w:b w:val="0"/>
        </w:rPr>
        <w:t>P-values can help quantify whether an observed difference or anomaly is surprising under a baseline model. They are often misunderstood. They should not replace effect size, practical significance, or domain judgment.</w:t>
      </w:r>
    </w:p>
    <w:p>
      <w:pPr>
        <w:pStyle w:val="SmallNote"/>
      </w:pPr>
      <w:r>
        <w:t>Math progression in valid Python:</w:t>
      </w:r>
    </w:p>
    <w:tbl>
      <w:tblPr>
        <w:tblW w:type="auto" w:w="0"/>
        <w:jc w:val="center"/>
        <w:tblLayout w:type="autofit"/>
        <w:tblLook w:firstColumn="1" w:firstRow="1" w:lastColumn="0" w:lastRow="0" w:noHBand="0" w:noVBand="1" w:val="04A0"/>
      </w:tblPr>
      <w:tblGrid>
        <w:gridCol w:w="10224"/>
      </w:tblGrid>
      <w:tr>
        <w:tc>
          <w:tcPr>
            <w:tcW w:type="dxa" w:w="10224"/>
            <w:vAlign w:val="top"/>
            <w:shd w:fill="F6F8FA"/>
            <w:tcBorders>
              <w:top w:val="single" w:sz="8" w:space="0" w:color="D0D7DE"/>
              <w:left w:val="single" w:sz="8" w:space="0" w:color="D0D7DE"/>
              <w:bottom w:val="single" w:sz="8" w:space="0" w:color="D0D7DE"/>
              <w:right w:val="single" w:sz="8" w:space="0" w:color="D0D7DE"/>
            </w:tcBorders>
          </w:tcPr>
          <w:p>
            <w:pPr>
              <w:spacing w:before="40" w:after="40" w:line="240" w:lineRule="auto"/>
            </w:pPr>
            <w:r>
              <w:rPr>
                <w:rFonts w:ascii="Consolas" w:hAnsi="Consolas" w:eastAsia="Consolas"/>
                <w:color w:val="24292F"/>
                <w:sz w:val="16"/>
              </w:rPr>
              <w:t>from math import erf, sqrt</w:t>
              <w:br/>
              <w:br/>
              <w:t>z_score = 2.1</w:t>
              <w:br/>
              <w:br/>
              <w:t># Standard normal cumulative distribution function.</w:t>
              <w:br/>
              <w:t>def normal_cdf(z):</w:t>
              <w:br/>
              <w:t xml:space="preserve">    return 0.5 * (1 + erf(z / sqrt(2)))</w:t>
              <w:br/>
              <w:br/>
              <w:t># Two-sided p-value for a z-test.</w:t>
              <w:br/>
              <w:t>p_value_two_sided = 2 * (1 - normal_cdf(abs(z_score)))</w:t>
              <w:br/>
              <w:br/>
              <w:t>print(p_value_two_sided)</w:t>
            </w:r>
          </w:p>
        </w:tc>
      </w:tr>
    </w:tbl>
    <w:p>
      <w:pPr>
        <w:spacing w:after="40" w:before="0"/>
      </w:pPr>
    </w:p>
    <w:p>
      <w:pPr>
        <w:pStyle w:val="ConceptLabel"/>
      </w:pPr>
      <w:r>
        <w:rPr>
          <w:b/>
        </w:rPr>
        <w:t xml:space="preserve">Follow-up reference: </w:t>
      </w:r>
      <w:r>
        <w:rPr>
          <w:b w:val="0"/>
        </w:rPr>
        <w:t>NIST defines p-values for hypothesis testing; the American Statistical Association statement explains common misinterpretations and cautions.</w:t>
      </w:r>
    </w:p>
    <w:p>
      <w:pPr>
        <w:pStyle w:val="Heading2"/>
      </w:pPr>
      <w:r>
        <w:t>10. Confidence Interval</w:t>
      </w:r>
    </w:p>
    <w:p>
      <w:pPr>
        <w:pStyle w:val="ConceptLabel"/>
      </w:pPr>
      <w:r>
        <w:rPr>
          <w:b/>
        </w:rPr>
        <w:t xml:space="preserve">What it means: </w:t>
      </w:r>
      <w:r>
        <w:rPr>
          <w:b w:val="0"/>
        </w:rPr>
        <w:t>A confidence interval gives a range of plausible values for an unknown parameter, based on a sample and an assumed procedure.</w:t>
      </w:r>
    </w:p>
    <w:p>
      <w:pPr>
        <w:pStyle w:val="ConceptLabel"/>
      </w:pPr>
      <w:r>
        <w:rPr>
          <w:b/>
        </w:rPr>
        <w:t xml:space="preserve">Why it matters: </w:t>
      </w:r>
      <w:r>
        <w:rPr>
          <w:b w:val="0"/>
        </w:rPr>
        <w:t>A point estimate without uncertainty can be misleading. If agent A has an average pass rate of 82 percent and agent B has 84 percent, a confidence interval helps show whether that difference is likely meaningful or just sampling variation.</w:t>
      </w:r>
    </w:p>
    <w:p>
      <w:pPr>
        <w:pStyle w:val="SmallNote"/>
      </w:pPr>
      <w:r>
        <w:t>Math progression in valid Python:</w:t>
      </w:r>
    </w:p>
    <w:tbl>
      <w:tblPr>
        <w:tblW w:type="auto" w:w="0"/>
        <w:jc w:val="center"/>
        <w:tblLayout w:type="autofit"/>
        <w:tblLook w:firstColumn="1" w:firstRow="1" w:lastColumn="0" w:lastRow="0" w:noHBand="0" w:noVBand="1" w:val="04A0"/>
      </w:tblPr>
      <w:tblGrid>
        <w:gridCol w:w="10224"/>
      </w:tblGrid>
      <w:tr>
        <w:tc>
          <w:tcPr>
            <w:tcW w:type="dxa" w:w="10224"/>
            <w:vAlign w:val="top"/>
            <w:shd w:fill="F6F8FA"/>
            <w:tcBorders>
              <w:top w:val="single" w:sz="8" w:space="0" w:color="D0D7DE"/>
              <w:left w:val="single" w:sz="8" w:space="0" w:color="D0D7DE"/>
              <w:bottom w:val="single" w:sz="8" w:space="0" w:color="D0D7DE"/>
              <w:right w:val="single" w:sz="8" w:space="0" w:color="D0D7DE"/>
            </w:tcBorders>
          </w:tcPr>
          <w:p>
            <w:pPr>
              <w:spacing w:before="40" w:after="40" w:line="240" w:lineRule="auto"/>
            </w:pPr>
            <w:r>
              <w:rPr>
                <w:rFonts w:ascii="Consolas" w:hAnsi="Consolas" w:eastAsia="Consolas"/>
                <w:color w:val="24292F"/>
                <w:sz w:val="16"/>
              </w:rPr>
              <w:t>values = [0.80, 0.82, 0.78, 0.81, 0.79]</w:t>
              <w:br/>
              <w:t>n = len(values)</w:t>
              <w:br/>
              <w:t>mean_value = sum(values) / n</w:t>
              <w:br/>
              <w:t>sample_standard_deviation = (</w:t>
              <w:br/>
              <w:t xml:space="preserve">    sum((x - mean_value) ** 2 for x in values) / (n - 1)</w:t>
              <w:br/>
              <w:t>) ** 0.5</w:t>
              <w:br/>
              <w:t>standard_error = sample_standard_deviation / (n ** 0.5)</w:t>
              <w:br/>
              <w:br/>
              <w:t># Approximate 95 percent confidence interval using 1.96.</w:t>
              <w:br/>
              <w:t>z_critical_95 = 1.96</w:t>
              <w:br/>
              <w:t>lower = mean_value - z_critical_95 * standard_error</w:t>
              <w:br/>
              <w:t>upper = mean_value + z_critical_95 * standard_error</w:t>
              <w:br/>
              <w:br/>
              <w:t>print(lower, upper)</w:t>
            </w:r>
          </w:p>
        </w:tc>
      </w:tr>
    </w:tbl>
    <w:p>
      <w:pPr>
        <w:spacing w:after="40" w:before="0"/>
      </w:pPr>
    </w:p>
    <w:p>
      <w:pPr>
        <w:pStyle w:val="ConceptLabel"/>
      </w:pPr>
      <w:r>
        <w:rPr>
          <w:b/>
        </w:rPr>
        <w:t xml:space="preserve">Follow-up reference: </w:t>
      </w:r>
      <w:r>
        <w:rPr>
          <w:b w:val="0"/>
        </w:rPr>
        <w:t>NIST’s confidence interval discussion is a solid follow-up for interpretation and limits.</w:t>
      </w:r>
    </w:p>
    <w:p>
      <w:pPr>
        <w:pStyle w:val="Heading2"/>
      </w:pPr>
      <w:r>
        <w:t>11. Effect Size and Practical Significance</w:t>
      </w:r>
    </w:p>
    <w:p>
      <w:pPr>
        <w:pStyle w:val="ConceptLabel"/>
      </w:pPr>
      <w:r>
        <w:rPr>
          <w:b/>
        </w:rPr>
        <w:t xml:space="preserve">What it means: </w:t>
      </w:r>
      <w:r>
        <w:rPr>
          <w:b w:val="0"/>
        </w:rPr>
        <w:t>Effect size asks how large a difference is, not just whether it is statistically detectable.</w:t>
      </w:r>
    </w:p>
    <w:p>
      <w:pPr>
        <w:pStyle w:val="ConceptLabel"/>
      </w:pPr>
      <w:r>
        <w:rPr>
          <w:b/>
        </w:rPr>
        <w:t xml:space="preserve">Why it matters: </w:t>
      </w:r>
      <w:r>
        <w:rPr>
          <w:b w:val="0"/>
        </w:rPr>
        <w:t>With enough data, tiny differences can become statistically significant. For agent operations, you often care more about whether the improvement matters: fewer unsupported citations, lower cost, lower latency, better retrieval stability, or fewer tool failures.</w:t>
      </w:r>
    </w:p>
    <w:p>
      <w:pPr>
        <w:pStyle w:val="SmallNote"/>
      </w:pPr>
      <w:r>
        <w:t>Math progression in valid Python:</w:t>
      </w:r>
    </w:p>
    <w:tbl>
      <w:tblPr>
        <w:tblW w:type="auto" w:w="0"/>
        <w:jc w:val="center"/>
        <w:tblLayout w:type="autofit"/>
        <w:tblLook w:firstColumn="1" w:firstRow="1" w:lastColumn="0" w:lastRow="0" w:noHBand="0" w:noVBand="1" w:val="04A0"/>
      </w:tblPr>
      <w:tblGrid>
        <w:gridCol w:w="10224"/>
      </w:tblGrid>
      <w:tr>
        <w:tc>
          <w:tcPr>
            <w:tcW w:type="dxa" w:w="10224"/>
            <w:vAlign w:val="top"/>
            <w:shd w:fill="F6F8FA"/>
            <w:tcBorders>
              <w:top w:val="single" w:sz="8" w:space="0" w:color="D0D7DE"/>
              <w:left w:val="single" w:sz="8" w:space="0" w:color="D0D7DE"/>
              <w:bottom w:val="single" w:sz="8" w:space="0" w:color="D0D7DE"/>
              <w:right w:val="single" w:sz="8" w:space="0" w:color="D0D7DE"/>
            </w:tcBorders>
          </w:tcPr>
          <w:p>
            <w:pPr>
              <w:spacing w:before="40" w:after="40" w:line="240" w:lineRule="auto"/>
            </w:pPr>
            <w:r>
              <w:rPr>
                <w:rFonts w:ascii="Consolas" w:hAnsi="Consolas" w:eastAsia="Consolas"/>
                <w:color w:val="24292F"/>
                <w:sz w:val="16"/>
              </w:rPr>
              <w:t>old_scores = [0.72, 0.74, 0.73, 0.75, 0.71]</w:t>
              <w:br/>
              <w:t>new_scores = [0.78, 0.80, 0.79, 0.77, 0.81]</w:t>
              <w:br/>
              <w:br/>
              <w:t>mean_old = sum(old_scores) / len(old_scores)</w:t>
              <w:br/>
              <w:t>mean_new = sum(new_scores) / len(new_scores)</w:t>
              <w:br/>
              <w:br/>
              <w:t>sd_old = (sum((x - mean_old) ** 2 for x in old_scores) / (len(old_scores) - 1)) ** 0.5</w:t>
              <w:br/>
              <w:t>sd_new = (sum((x - mean_new) ** 2 for x in new_scores) / (len(new_scores) - 1)) ** 0.5</w:t>
              <w:br/>
              <w:br/>
              <w:t>pooled_sd = (((len(old_scores) - 1) * sd_old ** 2 + (len(new_scores) - 1) * sd_new ** 2) / (len(old_scores) + len(new_scores) - 2)) ** 0.5</w:t>
              <w:br/>
              <w:t>cohens_d = (mean_new - mean_old) / pooled_sd</w:t>
              <w:br/>
              <w:br/>
              <w:t>print(cohens_d)</w:t>
            </w:r>
          </w:p>
        </w:tc>
      </w:tr>
    </w:tbl>
    <w:p>
      <w:pPr>
        <w:spacing w:after="40" w:before="0"/>
      </w:pPr>
    </w:p>
    <w:p>
      <w:pPr>
        <w:pStyle w:val="ConceptLabel"/>
      </w:pPr>
      <w:r>
        <w:rPr>
          <w:b/>
        </w:rPr>
        <w:t xml:space="preserve">Follow-up reference: </w:t>
      </w:r>
      <w:r>
        <w:rPr>
          <w:b w:val="0"/>
        </w:rPr>
        <w:t>OpenIntro’s inference chapters are useful background for distinguishing statistical evidence from practical interpretation.</w:t>
      </w:r>
    </w:p>
    <w:p>
      <w:pPr>
        <w:pStyle w:val="Heading2"/>
      </w:pPr>
      <w:r>
        <w:t>12. Correlation</w:t>
      </w:r>
    </w:p>
    <w:p>
      <w:pPr>
        <w:pStyle w:val="ConceptLabel"/>
      </w:pPr>
      <w:r>
        <w:rPr>
          <w:b/>
        </w:rPr>
        <w:t xml:space="preserve">What it means: </w:t>
      </w:r>
      <w:r>
        <w:rPr>
          <w:b w:val="0"/>
        </w:rPr>
        <w:t>Correlation measures how two variables move together. Positive correlation means they tend to rise together. Negative correlation means one tends to rise when the other falls. Zero correlation means there is no linear relationship.</w:t>
      </w:r>
    </w:p>
    <w:p>
      <w:pPr>
        <w:pStyle w:val="ConceptLabel"/>
      </w:pPr>
      <w:r>
        <w:rPr>
          <w:b/>
        </w:rPr>
        <w:t xml:space="preserve">Why it matters: </w:t>
      </w:r>
      <w:r>
        <w:rPr>
          <w:b w:val="0"/>
        </w:rPr>
        <w:t>Correlation can reveal operational relationships: higher context length may correlate with latency, high hub scores may correlate with citation failures, or retrieval instability may correlate with answer repairs. Correlation does not prove causation.</w:t>
      </w:r>
    </w:p>
    <w:p>
      <w:pPr>
        <w:pStyle w:val="SmallNote"/>
      </w:pPr>
      <w:r>
        <w:t>Math progression in valid Python:</w:t>
      </w:r>
    </w:p>
    <w:tbl>
      <w:tblPr>
        <w:tblW w:type="auto" w:w="0"/>
        <w:jc w:val="center"/>
        <w:tblLayout w:type="autofit"/>
        <w:tblLook w:firstColumn="1" w:firstRow="1" w:lastColumn="0" w:lastRow="0" w:noHBand="0" w:noVBand="1" w:val="04A0"/>
      </w:tblPr>
      <w:tblGrid>
        <w:gridCol w:w="10224"/>
      </w:tblGrid>
      <w:tr>
        <w:tc>
          <w:tcPr>
            <w:tcW w:type="dxa" w:w="10224"/>
            <w:vAlign w:val="top"/>
            <w:shd w:fill="F6F8FA"/>
            <w:tcBorders>
              <w:top w:val="single" w:sz="8" w:space="0" w:color="D0D7DE"/>
              <w:left w:val="single" w:sz="8" w:space="0" w:color="D0D7DE"/>
              <w:bottom w:val="single" w:sz="8" w:space="0" w:color="D0D7DE"/>
              <w:right w:val="single" w:sz="8" w:space="0" w:color="D0D7DE"/>
            </w:tcBorders>
          </w:tcPr>
          <w:p>
            <w:pPr>
              <w:spacing w:before="40" w:after="40" w:line="240" w:lineRule="auto"/>
            </w:pPr>
            <w:r>
              <w:rPr>
                <w:rFonts w:ascii="Consolas" w:hAnsi="Consolas" w:eastAsia="Consolas"/>
                <w:color w:val="24292F"/>
                <w:sz w:val="16"/>
              </w:rPr>
              <w:t>x_values = [1, 2, 3, 4, 5]</w:t>
              <w:br/>
              <w:t>y_values = [2, 3, 5, 7, 11]</w:t>
              <w:br/>
              <w:br/>
              <w:t>mean_x = sum(x_values) / len(x_values)</w:t>
              <w:br/>
              <w:t>mean_y = sum(y_values) / len(y_values)</w:t>
              <w:br/>
              <w:br/>
              <w:t>covariance = sum((x - mean_x) * (y - mean_y) for x, y in zip(x_values, y_values)) / (len(x_values) - 1)</w:t>
              <w:br/>
              <w:t>sd_x = (sum((x - mean_x) ** 2 for x in x_values) / (len(x_values) - 1)) ** 0.5</w:t>
              <w:br/>
              <w:t>sd_y = (sum((y - mean_y) ** 2 for y in y_values) / (len(y_values) - 1)) ** 0.5</w:t>
              <w:br/>
              <w:br/>
              <w:t>correlation = covariance / (sd_x * sd_y)</w:t>
              <w:br/>
              <w:br/>
              <w:t>print(correlation)</w:t>
            </w:r>
          </w:p>
        </w:tc>
      </w:tr>
    </w:tbl>
    <w:p>
      <w:pPr>
        <w:spacing w:after="40" w:before="0"/>
      </w:pPr>
    </w:p>
    <w:p>
      <w:pPr>
        <w:pStyle w:val="ConceptLabel"/>
      </w:pPr>
      <w:r>
        <w:rPr>
          <w:b/>
        </w:rPr>
        <w:t xml:space="preserve">Follow-up reference: </w:t>
      </w:r>
      <w:r>
        <w:rPr>
          <w:b w:val="0"/>
        </w:rPr>
        <w:t>OpenIntro Statistics provides beginner-friendly treatment of relationships between variables and regression.</w:t>
      </w:r>
    </w:p>
    <w:p>
      <w:pPr>
        <w:pStyle w:val="Heading2"/>
      </w:pPr>
      <w:r>
        <w:t>13. Multiple Comparisons and False Discovery Rate</w:t>
      </w:r>
    </w:p>
    <w:p>
      <w:pPr>
        <w:pStyle w:val="ConceptLabel"/>
      </w:pPr>
      <w:r>
        <w:rPr>
          <w:b/>
        </w:rPr>
        <w:t xml:space="preserve">What it means: </w:t>
      </w:r>
      <w:r>
        <w:rPr>
          <w:b w:val="0"/>
        </w:rPr>
        <w:t>When you test many things at once, some will look surprising by chance alone. Multiple-comparison methods adjust for this.</w:t>
      </w:r>
    </w:p>
    <w:p>
      <w:pPr>
        <w:pStyle w:val="ConceptLabel"/>
      </w:pPr>
      <w:r>
        <w:rPr>
          <w:b/>
        </w:rPr>
        <w:t xml:space="preserve">Why it matters: </w:t>
      </w:r>
      <w:r>
        <w:rPr>
          <w:b w:val="0"/>
        </w:rPr>
        <w:t>Agent operations often involve many metrics, many query cohorts, many agents, and many retrieval lanes. If you test all of them, some will appear anomalous even when nothing real changed. False discovery control helps avoid chasing noise.</w:t>
      </w:r>
    </w:p>
    <w:p>
      <w:pPr>
        <w:pStyle w:val="SmallNote"/>
      </w:pPr>
      <w:r>
        <w:t>Math progression in valid Python:</w:t>
      </w:r>
    </w:p>
    <w:tbl>
      <w:tblPr>
        <w:tblW w:type="auto" w:w="0"/>
        <w:jc w:val="center"/>
        <w:tblLayout w:type="autofit"/>
        <w:tblLook w:firstColumn="1" w:firstRow="1" w:lastColumn="0" w:lastRow="0" w:noHBand="0" w:noVBand="1" w:val="04A0"/>
      </w:tblPr>
      <w:tblGrid>
        <w:gridCol w:w="10224"/>
      </w:tblGrid>
      <w:tr>
        <w:tc>
          <w:tcPr>
            <w:tcW w:type="dxa" w:w="10224"/>
            <w:vAlign w:val="top"/>
            <w:shd w:fill="F6F8FA"/>
            <w:tcBorders>
              <w:top w:val="single" w:sz="8" w:space="0" w:color="D0D7DE"/>
              <w:left w:val="single" w:sz="8" w:space="0" w:color="D0D7DE"/>
              <w:bottom w:val="single" w:sz="8" w:space="0" w:color="D0D7DE"/>
              <w:right w:val="single" w:sz="8" w:space="0" w:color="D0D7DE"/>
            </w:tcBorders>
          </w:tcPr>
          <w:p>
            <w:pPr>
              <w:spacing w:before="40" w:after="40" w:line="240" w:lineRule="auto"/>
            </w:pPr>
            <w:r>
              <w:rPr>
                <w:rFonts w:ascii="Consolas" w:hAnsi="Consolas" w:eastAsia="Consolas"/>
                <w:color w:val="24292F"/>
                <w:sz w:val="16"/>
              </w:rPr>
              <w:t>p_values = [0.001, 0.018, 0.021, 0.049, 0.20]</w:t>
              <w:br/>
              <w:t>false_discovery_rate = 0.05</w:t>
              <w:br/>
              <w:t>m = len(p_values)</w:t>
              <w:br/>
              <w:br/>
              <w:t># Benjamini-Hochberg step-up thresholds.</w:t>
              <w:br/>
              <w:t>ranked = sorted((p, i + 1) for i, p in enumerate(p_values))</w:t>
              <w:br/>
              <w:t>thresholds = [false_discovery_rate * rank / m for rank in range(1, m + 1)]</w:t>
              <w:br/>
              <w:br/>
              <w:t>significant = []</w:t>
              <w:br/>
              <w:t>for rank, ((p_value, original_index), threshold) in enumerate(zip(ranked, thresholds), start=1):</w:t>
              <w:br/>
              <w:t xml:space="preserve">    if p_value &lt;= threshold:</w:t>
              <w:br/>
              <w:t xml:space="preserve">        significant.append((original_index, p_value, threshold))</w:t>
              <w:br/>
              <w:br/>
              <w:t>print(significant)</w:t>
            </w:r>
          </w:p>
        </w:tc>
      </w:tr>
    </w:tbl>
    <w:p>
      <w:pPr>
        <w:spacing w:after="40" w:before="0"/>
      </w:pPr>
    </w:p>
    <w:p>
      <w:pPr>
        <w:pStyle w:val="ConceptLabel"/>
      </w:pPr>
      <w:r>
        <w:rPr>
          <w:b/>
        </w:rPr>
        <w:t xml:space="preserve">Follow-up reference: </w:t>
      </w:r>
      <w:r>
        <w:rPr>
          <w:b w:val="0"/>
        </w:rPr>
        <w:t>Benjamini and Hochberg’s 1995 paper introduced the false discovery rate approach to multiple testing.</w:t>
      </w:r>
    </w:p>
    <w:p>
      <w:pPr>
        <w:pStyle w:val="Heading2"/>
      </w:pPr>
      <w:r>
        <w:t>14. Control Limits and Three-Sigma Monitoring</w:t>
      </w:r>
    </w:p>
    <w:p>
      <w:pPr>
        <w:pStyle w:val="ConceptLabel"/>
      </w:pPr>
      <w:r>
        <w:rPr>
          <w:b/>
        </w:rPr>
        <w:t xml:space="preserve">What it means: </w:t>
      </w:r>
      <w:r>
        <w:rPr>
          <w:b w:val="0"/>
        </w:rPr>
        <w:t>Control limits use a baseline mean and spread to flag observations that fall outside expected process variation.</w:t>
      </w:r>
    </w:p>
    <w:p>
      <w:pPr>
        <w:pStyle w:val="ConceptLabel"/>
      </w:pPr>
      <w:r>
        <w:rPr>
          <w:b/>
        </w:rPr>
        <w:t xml:space="preserve">Why it matters: </w:t>
      </w:r>
      <w:r>
        <w:rPr>
          <w:b w:val="0"/>
        </w:rPr>
        <w:t>This is operationally powerful. If citation failures, tool retries, or retrieval insufficiency suddenly move beyond historical process limits, treat it as a possible system change rather than ordinary noise.</w:t>
      </w:r>
    </w:p>
    <w:p>
      <w:pPr>
        <w:pStyle w:val="SmallNote"/>
      </w:pPr>
      <w:r>
        <w:t>Math progression in valid Python:</w:t>
      </w:r>
    </w:p>
    <w:tbl>
      <w:tblPr>
        <w:tblW w:type="auto" w:w="0"/>
        <w:jc w:val="center"/>
        <w:tblLayout w:type="autofit"/>
        <w:tblLook w:firstColumn="1" w:firstRow="1" w:lastColumn="0" w:lastRow="0" w:noHBand="0" w:noVBand="1" w:val="04A0"/>
      </w:tblPr>
      <w:tblGrid>
        <w:gridCol w:w="10224"/>
      </w:tblGrid>
      <w:tr>
        <w:tc>
          <w:tcPr>
            <w:tcW w:type="dxa" w:w="10224"/>
            <w:vAlign w:val="top"/>
            <w:shd w:fill="F6F8FA"/>
            <w:tcBorders>
              <w:top w:val="single" w:sz="8" w:space="0" w:color="D0D7DE"/>
              <w:left w:val="single" w:sz="8" w:space="0" w:color="D0D7DE"/>
              <w:bottom w:val="single" w:sz="8" w:space="0" w:color="D0D7DE"/>
              <w:right w:val="single" w:sz="8" w:space="0" w:color="D0D7DE"/>
            </w:tcBorders>
          </w:tcPr>
          <w:p>
            <w:pPr>
              <w:spacing w:before="40" w:after="40" w:line="240" w:lineRule="auto"/>
            </w:pPr>
            <w:r>
              <w:rPr>
                <w:rFonts w:ascii="Consolas" w:hAnsi="Consolas" w:eastAsia="Consolas"/>
                <w:color w:val="24292F"/>
                <w:sz w:val="16"/>
              </w:rPr>
              <w:t>historical_failure_rates = [0.02, 0.025, 0.018, 0.022, 0.019, 0.024]</w:t>
              <w:br/>
              <w:t>current_failure_rate = 0.071</w:t>
              <w:br/>
              <w:br/>
              <w:t>mean_rate = sum(historical_failure_rates) / len(historical_failure_rates)</w:t>
              <w:br/>
              <w:t>sd_rate = (</w:t>
              <w:br/>
              <w:t xml:space="preserve">    sum((x - mean_rate) ** 2 for x in historical_failure_rates) / (len(historical_failure_rates) - 1)</w:t>
              <w:br/>
              <w:t>) ** 0.5</w:t>
              <w:br/>
              <w:br/>
              <w:t>upper_control_limit = mean_rate + 3 * sd_rate</w:t>
              <w:br/>
              <w:t>lower_control_limit = mean_rate - 3 * sd_rate</w:t>
              <w:br/>
              <w:t>is_out_of_control = current_failure_rate &gt; upper_control_limit or current_failure_rate &lt; lower_control_limit</w:t>
              <w:br/>
              <w:br/>
              <w:t>print(upper_control_limit, lower_control_limit, is_out_of_control)</w:t>
            </w:r>
          </w:p>
        </w:tc>
      </w:tr>
    </w:tbl>
    <w:p>
      <w:pPr>
        <w:spacing w:after="40" w:before="0"/>
      </w:pPr>
    </w:p>
    <w:p>
      <w:pPr>
        <w:pStyle w:val="ConceptLabel"/>
      </w:pPr>
      <w:r>
        <w:rPr>
          <w:b/>
        </w:rPr>
        <w:t xml:space="preserve">Follow-up reference: </w:t>
      </w:r>
      <w:r>
        <w:rPr>
          <w:b w:val="0"/>
        </w:rPr>
        <w:t>NIST describes control charts as using a center line and upper and lower control limits to monitor process behavior over time.</w:t>
      </w:r>
    </w:p>
    <w:p>
      <w:pPr>
        <w:pStyle w:val="Heading2"/>
      </w:pPr>
      <w:r>
        <w:t>15. Putting It Together: From Raw Metric to Operational Signal</w:t>
      </w:r>
    </w:p>
    <w:p>
      <w:pPr>
        <w:pStyle w:val="ConceptLabel"/>
      </w:pPr>
      <w:r>
        <w:rPr>
          <w:b/>
        </w:rPr>
        <w:t xml:space="preserve">What it means: </w:t>
      </w:r>
      <w:r>
        <w:rPr>
          <w:b w:val="0"/>
        </w:rPr>
        <w:t>The common pattern is to move from a raw value, to a position inside a relevant distribution, to a decision about whether it deserves attention.</w:t>
      </w:r>
    </w:p>
    <w:p>
      <w:pPr>
        <w:pStyle w:val="ConceptLabel"/>
      </w:pPr>
      <w:r>
        <w:rPr>
          <w:b/>
        </w:rPr>
        <w:t xml:space="preserve">Why it matters: </w:t>
      </w:r>
      <w:r>
        <w:rPr>
          <w:b w:val="0"/>
        </w:rPr>
        <w:t>This is the bridge from statistics to agent operations. A raw score should usually be contextualized by the query, source, cohort, time window, model version, and baseline process.</w:t>
      </w:r>
    </w:p>
    <w:p>
      <w:pPr>
        <w:pStyle w:val="SmallNote"/>
      </w:pPr>
      <w:r>
        <w:t>Math progression in valid Python:</w:t>
      </w:r>
    </w:p>
    <w:tbl>
      <w:tblPr>
        <w:tblW w:type="auto" w:w="0"/>
        <w:jc w:val="center"/>
        <w:tblLayout w:type="autofit"/>
        <w:tblLook w:firstColumn="1" w:firstRow="1" w:lastColumn="0" w:lastRow="0" w:noHBand="0" w:noVBand="1" w:val="04A0"/>
      </w:tblPr>
      <w:tblGrid>
        <w:gridCol w:w="10224"/>
      </w:tblGrid>
      <w:tr>
        <w:tc>
          <w:tcPr>
            <w:tcW w:type="dxa" w:w="10224"/>
            <w:vAlign w:val="top"/>
            <w:shd w:fill="F6F8FA"/>
            <w:tcBorders>
              <w:top w:val="single" w:sz="8" w:space="0" w:color="D0D7DE"/>
              <w:left w:val="single" w:sz="8" w:space="0" w:color="D0D7DE"/>
              <w:bottom w:val="single" w:sz="8" w:space="0" w:color="D0D7DE"/>
              <w:right w:val="single" w:sz="8" w:space="0" w:color="D0D7DE"/>
            </w:tcBorders>
          </w:tcPr>
          <w:p>
            <w:pPr>
              <w:spacing w:before="40" w:after="40" w:line="240" w:lineRule="auto"/>
            </w:pPr>
            <w:r>
              <w:rPr>
                <w:rFonts w:ascii="Consolas" w:hAnsi="Consolas" w:eastAsia="Consolas"/>
                <w:color w:val="24292F"/>
                <w:sz w:val="16"/>
              </w:rPr>
              <w:t>query_scores = [0.61, 0.62, 0.62, 0.64, 0.65, 0.65, 0.66, 0.71]</w:t>
              <w:br/>
              <w:t>top_score = max(query_scores)</w:t>
              <w:br/>
              <w:br/>
              <w:t>mean_score = sum(query_scores) / len(query_scores)</w:t>
              <w:br/>
              <w:t>sd_score = (sum((x - mean_score) ** 2 for x in query_scores) / (len(query_scores) - 1)) ** 0.5</w:t>
              <w:br/>
              <w:t>z_score = (top_score - mean_score) / sd_score</w:t>
              <w:br/>
              <w:br/>
              <w:t>sorted_scores = sorted(query_scores)</w:t>
              <w:br/>
              <w:t>rank = sorted_scores.index(top_score) + 1</w:t>
              <w:br/>
              <w:t>percentile_rank = rank / len(sorted_scores)</w:t>
              <w:br/>
              <w:br/>
              <w:t>strong_tail_signal = z_score &gt;= 2.0 or percentile_rank &gt;= 0.95</w:t>
              <w:br/>
              <w:br/>
              <w:t>print(z_score, percentile_rank, strong_tail_signal)</w:t>
            </w:r>
          </w:p>
        </w:tc>
      </w:tr>
    </w:tbl>
    <w:p>
      <w:pPr>
        <w:spacing w:after="40" w:before="0"/>
      </w:pPr>
    </w:p>
    <w:p>
      <w:pPr>
        <w:pStyle w:val="ConceptLabel"/>
      </w:pPr>
      <w:r>
        <w:rPr>
          <w:b/>
        </w:rPr>
        <w:t xml:space="preserve">Follow-up reference: </w:t>
      </w:r>
      <w:r>
        <w:rPr>
          <w:b w:val="0"/>
        </w:rPr>
        <w:t>Use the reference materials below for the underlying statistics; the operational pattern is to make raw metrics distribution-aware before acting on them.</w:t>
      </w:r>
    </w:p>
    <w:p>
      <w:pPr>
        <w:pStyle w:val="Heading1"/>
      </w:pPr>
      <w:r>
        <w:t>Quick Practical Checklist</w:t>
      </w:r>
    </w:p>
    <w:p>
      <w:pPr>
        <w:pStyle w:val="ListBullet"/>
      </w:pPr>
      <w:r>
        <w:t>Start with a plot or distribution summary, not a single number.</w:t>
      </w:r>
    </w:p>
    <w:p>
      <w:pPr>
        <w:pStyle w:val="ListBullet"/>
      </w:pPr>
      <w:r>
        <w:t>Compare like with like: same query type, same corpus, same model version, same time window.</w:t>
      </w:r>
    </w:p>
    <w:p>
      <w:pPr>
        <w:pStyle w:val="ListBullet"/>
      </w:pPr>
      <w:r>
        <w:t>Use mean and standard deviation only after checking whether the distribution is badly skewed or multi-modal.</w:t>
      </w:r>
    </w:p>
    <w:p>
      <w:pPr>
        <w:pStyle w:val="ListBullet"/>
      </w:pPr>
      <w:r>
        <w:t>Use median and percentiles for latency, cost, and other long-tailed operational metrics.</w:t>
      </w:r>
    </w:p>
    <w:p>
      <w:pPr>
        <w:pStyle w:val="ListBullet"/>
      </w:pPr>
      <w:r>
        <w:t>Use z-scores for query-local or cohort-local surprise, not as a universal truth score.</w:t>
      </w:r>
    </w:p>
    <w:p>
      <w:pPr>
        <w:pStyle w:val="ListBullet"/>
      </w:pPr>
      <w:r>
        <w:t>Treat p-values as evidence against a specified null model, not as proof that a result is true.</w:t>
      </w:r>
    </w:p>
    <w:p>
      <w:pPr>
        <w:pStyle w:val="ListBullet"/>
      </w:pPr>
      <w:r>
        <w:t>Track effect size and practical significance; a tiny improvement may not matter operationally.</w:t>
      </w:r>
    </w:p>
    <w:p>
      <w:pPr>
        <w:pStyle w:val="ListBullet"/>
      </w:pPr>
      <w:r>
        <w:t>When many metrics are tested, use multiple-comparison discipline or expect false alarms.</w:t>
      </w:r>
    </w:p>
    <w:p>
      <w:pPr>
        <w:pStyle w:val="ListBullet"/>
      </w:pPr>
      <w:r>
        <w:t>Use control limits to detect process breaks after parser, model, prompt, embedding, or source changes.</w:t>
      </w:r>
    </w:p>
    <w:p>
      <w:pPr>
        <w:pStyle w:val="ListBullet"/>
      </w:pPr>
      <w:r>
        <w:t>Always combine statistical signals with domain constraints and evidence quality checks.</w:t>
      </w:r>
    </w:p>
    <w:p>
      <w:r>
        <w:br w:type="page"/>
      </w:r>
    </w:p>
    <w:p>
      <w:pPr>
        <w:pStyle w:val="Heading1"/>
      </w:pPr>
      <w:r>
        <w:t>Reference Materials for Follow-Up</w:t>
      </w:r>
    </w:p>
    <w:p>
      <w:r>
        <w:t>These are good next stops for readers who want more formal grounding or examples. NIST is especially useful for engineering-style statistical methods; OpenIntro and Khan Academy are more pedagogical; the ASA statement is essential for avoiding p-value misunderstandings.</w:t>
      </w:r>
    </w:p>
    <w:p>
      <w:pPr>
        <w:pStyle w:val="ListBullet"/>
      </w:pPr>
      <w:hyperlink r:id="rId9">
        <w:r>
          <w:rPr>
            <w:color w:val="0563C1"/>
            <w:u w:val="single"/>
          </w:rPr>
          <w:t>NIST/SEMATECH e-Handbook of Statistical Methods</w:t>
        </w:r>
      </w:hyperlink>
    </w:p>
    <w:p>
      <w:pPr>
        <w:pStyle w:val="ListBullet"/>
      </w:pPr>
      <w:hyperlink r:id="rId10">
        <w:r>
          <w:rPr>
            <w:color w:val="0563C1"/>
            <w:u w:val="single"/>
          </w:rPr>
          <w:t>NIST - Histogram: summarize a distribution</w:t>
        </w:r>
      </w:hyperlink>
    </w:p>
    <w:p>
      <w:pPr>
        <w:pStyle w:val="ListBullet"/>
      </w:pPr>
      <w:hyperlink r:id="rId11">
        <w:r>
          <w:rPr>
            <w:color w:val="0563C1"/>
            <w:u w:val="single"/>
          </w:rPr>
          <w:t>NIST - Measures of Location</w:t>
        </w:r>
      </w:hyperlink>
    </w:p>
    <w:p>
      <w:pPr>
        <w:pStyle w:val="ListBullet"/>
      </w:pPr>
      <w:hyperlink r:id="rId12">
        <w:r>
          <w:rPr>
            <w:color w:val="0563C1"/>
            <w:u w:val="single"/>
          </w:rPr>
          <w:t>NIST - Measures of Scale</w:t>
        </w:r>
      </w:hyperlink>
    </w:p>
    <w:p>
      <w:pPr>
        <w:pStyle w:val="ListBullet"/>
      </w:pPr>
      <w:hyperlink r:id="rId13">
        <w:r>
          <w:rPr>
            <w:color w:val="0563C1"/>
            <w:u w:val="single"/>
          </w:rPr>
          <w:t>NIST - Normal Distribution</w:t>
        </w:r>
      </w:hyperlink>
    </w:p>
    <w:p>
      <w:pPr>
        <w:pStyle w:val="ListBullet"/>
      </w:pPr>
      <w:hyperlink r:id="rId14">
        <w:r>
          <w:rPr>
            <w:color w:val="0563C1"/>
            <w:u w:val="single"/>
          </w:rPr>
          <w:t>NIST - Critical Values and P Values</w:t>
        </w:r>
      </w:hyperlink>
    </w:p>
    <w:p>
      <w:pPr>
        <w:pStyle w:val="ListBullet"/>
      </w:pPr>
      <w:hyperlink r:id="rId15">
        <w:r>
          <w:rPr>
            <w:color w:val="0563C1"/>
            <w:u w:val="single"/>
          </w:rPr>
          <w:t>ASA Statement on Statistical Significance and P-Values</w:t>
        </w:r>
      </w:hyperlink>
    </w:p>
    <w:p>
      <w:pPr>
        <w:pStyle w:val="ListBullet"/>
      </w:pPr>
      <w:hyperlink r:id="rId16">
        <w:r>
          <w:rPr>
            <w:color w:val="0563C1"/>
            <w:u w:val="single"/>
          </w:rPr>
          <w:t>NIST - What are Confidence Intervals?</w:t>
        </w:r>
      </w:hyperlink>
    </w:p>
    <w:p>
      <w:pPr>
        <w:pStyle w:val="ListBullet"/>
      </w:pPr>
      <w:hyperlink r:id="rId17">
        <w:r>
          <w:rPr>
            <w:color w:val="0563C1"/>
            <w:u w:val="single"/>
          </w:rPr>
          <w:t>NIST - What are Control Charts?</w:t>
        </w:r>
      </w:hyperlink>
    </w:p>
    <w:p>
      <w:pPr>
        <w:pStyle w:val="ListBullet"/>
      </w:pPr>
      <w:hyperlink r:id="rId18">
        <w:r>
          <w:rPr>
            <w:color w:val="0563C1"/>
            <w:u w:val="single"/>
          </w:rPr>
          <w:t>OpenIntro Statistics</w:t>
        </w:r>
      </w:hyperlink>
    </w:p>
    <w:p>
      <w:pPr>
        <w:pStyle w:val="ListBullet"/>
      </w:pPr>
      <w:hyperlink r:id="rId19">
        <w:r>
          <w:rPr>
            <w:color w:val="0563C1"/>
            <w:u w:val="single"/>
          </w:rPr>
          <w:t>Penn State Online Statistics</w:t>
        </w:r>
      </w:hyperlink>
    </w:p>
    <w:p>
      <w:pPr>
        <w:pStyle w:val="ListBullet"/>
      </w:pPr>
      <w:hyperlink r:id="rId20">
        <w:r>
          <w:rPr>
            <w:color w:val="0563C1"/>
            <w:u w:val="single"/>
          </w:rPr>
          <w:t>Khan Academy - Percentiles, Z-Scores, and Normal Distribution</w:t>
        </w:r>
      </w:hyperlink>
    </w:p>
    <w:p>
      <w:pPr>
        <w:pStyle w:val="ListBullet"/>
      </w:pPr>
      <w:hyperlink r:id="rId21">
        <w:r>
          <w:rPr>
            <w:color w:val="0563C1"/>
            <w:u w:val="single"/>
          </w:rPr>
          <w:t>Benjamini &amp; Hochberg (1995), False Discovery Rate</w:t>
        </w:r>
      </w:hyperlink>
    </w:p>
    <w:p>
      <w:pPr>
        <w:pStyle w:val="SmallNote"/>
      </w:pPr>
      <w:r>
        <w:t>Publishing note: this document intentionally keeps equations and math progression inside Python code blocks so readers can copy, run, and adapt the examples.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ptos Display" w:hAnsi="Aptos Display" w:eastAsia="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ceptLabel">
    <w:name w:val="ConceptLabel"/>
    <w:pPr>
      <w:spacing w:before="80" w:after="0"/>
    </w:pPr>
    <w:rPr>
      <w:rFonts w:ascii="Aptos" w:hAnsi="Aptos" w:eastAsia="Aptos"/>
      <w:b/>
      <w:color w:val="373737"/>
      <w:sz w:val="20"/>
    </w:rPr>
  </w:style>
  <w:style w:type="paragraph" w:customStyle="1" w:styleId="SmallNote">
    <w:name w:val="SmallNote"/>
    <w:pPr>
      <w:spacing w:after="80"/>
    </w:pPr>
    <w:rPr>
      <w:rFonts w:ascii="Aptos" w:hAnsi="Aptos" w:eastAsia="Aptos"/>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tl.nist.gov/div898/handbook/" TargetMode="External"/><Relationship Id="rId10" Type="http://schemas.openxmlformats.org/officeDocument/2006/relationships/hyperlink" Target="https://www.itl.nist.gov/div898/handbook/eda/section3/histogra.htm" TargetMode="External"/><Relationship Id="rId11" Type="http://schemas.openxmlformats.org/officeDocument/2006/relationships/hyperlink" Target="https://www.itl.nist.gov/div898/handbook/eda/section3/eda351.htm" TargetMode="External"/><Relationship Id="rId12" Type="http://schemas.openxmlformats.org/officeDocument/2006/relationships/hyperlink" Target="https://www.itl.nist.gov/div898/handbook/eda/section3/eda356.htm" TargetMode="External"/><Relationship Id="rId13" Type="http://schemas.openxmlformats.org/officeDocument/2006/relationships/hyperlink" Target="https://www.itl.nist.gov/div898/handbook/eda/section3/eda3661.htm" TargetMode="External"/><Relationship Id="rId14" Type="http://schemas.openxmlformats.org/officeDocument/2006/relationships/hyperlink" Target="https://www.itl.nist.gov/div898/handbook/prc/section1/prc131.htm" TargetMode="External"/><Relationship Id="rId15" Type="http://schemas.openxmlformats.org/officeDocument/2006/relationships/hyperlink" Target="https://www.tandfonline.com/doi/full/10.1080/00031305.2016.1154108" TargetMode="External"/><Relationship Id="rId16" Type="http://schemas.openxmlformats.org/officeDocument/2006/relationships/hyperlink" Target="https://www.itl.nist.gov/div898/handbook/prc/section1/prc14.htm" TargetMode="External"/><Relationship Id="rId17" Type="http://schemas.openxmlformats.org/officeDocument/2006/relationships/hyperlink" Target="https://www.itl.nist.gov/div898/handbook/pmc/section3/pmc31.htm" TargetMode="External"/><Relationship Id="rId18" Type="http://schemas.openxmlformats.org/officeDocument/2006/relationships/hyperlink" Target="https://www.openintro.org/book/os/" TargetMode="External"/><Relationship Id="rId19" Type="http://schemas.openxmlformats.org/officeDocument/2006/relationships/hyperlink" Target="https://online.stat.psu.edu/" TargetMode="External"/><Relationship Id="rId20" Type="http://schemas.openxmlformats.org/officeDocument/2006/relationships/hyperlink" Target="https://www.khanacademy.org/math/ap-statistics/density-curves-normal-distribution-ap" TargetMode="External"/><Relationship Id="rId21" Type="http://schemas.openxmlformats.org/officeDocument/2006/relationships/hyperlink" Target="https://rss.onlinelibrary.wiley.com/doi/10.1111/j.2517-6161.1995.tb02031.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Statistics Cheat Sheet for Agent Operations</dc:title>
  <dc:subject>Clear explanations of distribution, normal distribution, mean, standard deviation, p-values, z-scores, and related concepts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