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3CFC2" w14:textId="77777777" w:rsidR="00F25D17" w:rsidRPr="00CF6547" w:rsidRDefault="00000000">
      <w:pPr>
        <w:spacing w:after="360"/>
        <w:jc w:val="center"/>
        <w:rPr>
          <w:lang w:val="es-EC"/>
        </w:rPr>
      </w:pPr>
      <w:r w:rsidRPr="00CF6547">
        <w:rPr>
          <w:rFonts w:ascii="Arial" w:hAnsi="Arial"/>
          <w:b/>
          <w:color w:val="1F4E79"/>
          <w:sz w:val="36"/>
          <w:lang w:val="es-EC"/>
        </w:rPr>
        <w:t>JUSTIFICACIÓN TÉCNICA DE LA SOLUCIÓN</w:t>
      </w:r>
      <w:r w:rsidRPr="00CF6547">
        <w:rPr>
          <w:rFonts w:ascii="Arial" w:hAnsi="Arial"/>
          <w:b/>
          <w:color w:val="1F4E79"/>
          <w:sz w:val="36"/>
          <w:lang w:val="es-EC"/>
        </w:rPr>
        <w:br/>
        <w:t>Mesa de Ayuda IA para Recursos Humanos (Patito S.A.)</w:t>
      </w:r>
    </w:p>
    <w:p w14:paraId="71861280" w14:textId="77777777" w:rsidR="00F25D17" w:rsidRPr="00CF6547" w:rsidRDefault="00000000">
      <w:pPr>
        <w:keepNext/>
        <w:spacing w:before="240" w:after="80"/>
        <w:rPr>
          <w:lang w:val="es-EC"/>
        </w:rPr>
      </w:pPr>
      <w:r w:rsidRPr="00CF6547">
        <w:rPr>
          <w:rFonts w:ascii="Arial" w:hAnsi="Arial"/>
          <w:b/>
          <w:color w:val="1F4E79"/>
          <w:sz w:val="32"/>
          <w:lang w:val="es-EC"/>
        </w:rPr>
        <w:t>1. Introducción y Arquitectura de la Solución</w:t>
      </w:r>
    </w:p>
    <w:p w14:paraId="3F80AE36" w14:textId="77777777" w:rsidR="00F25D17" w:rsidRPr="00CF6547" w:rsidRDefault="00000000" w:rsidP="00CF6547">
      <w:pPr>
        <w:spacing w:after="120"/>
        <w:jc w:val="both"/>
        <w:rPr>
          <w:lang w:val="es-EC"/>
        </w:rPr>
      </w:pPr>
      <w:r w:rsidRPr="00CF6547">
        <w:rPr>
          <w:rFonts w:ascii="Arial" w:hAnsi="Arial"/>
          <w:b/>
          <w:color w:val="333333"/>
          <w:lang w:val="es-EC"/>
        </w:rPr>
        <w:t xml:space="preserve">Contexto Operativo: </w:t>
      </w:r>
      <w:r w:rsidRPr="00CF6547">
        <w:rPr>
          <w:rFonts w:ascii="Arial" w:hAnsi="Arial"/>
          <w:color w:val="333333"/>
          <w:lang w:val="es-EC"/>
        </w:rPr>
        <w:t xml:space="preserve"> La presente solución tecnológica implementa un sistema inteligente de asistencia y automatización para el departamento de Recursos Humanos de la empresa Patito S.A. El diseño responde a la necesidad de gestionar consultas masivas sobre beneficios, normativas internas, procesos de </w:t>
      </w:r>
      <w:proofErr w:type="spellStart"/>
      <w:r w:rsidRPr="00CF6547">
        <w:rPr>
          <w:rFonts w:ascii="Arial" w:hAnsi="Arial"/>
          <w:color w:val="333333"/>
          <w:lang w:val="es-EC"/>
        </w:rPr>
        <w:t>onboarding</w:t>
      </w:r>
      <w:proofErr w:type="spellEnd"/>
      <w:r w:rsidRPr="00CF6547">
        <w:rPr>
          <w:rFonts w:ascii="Arial" w:hAnsi="Arial"/>
          <w:color w:val="333333"/>
          <w:lang w:val="es-EC"/>
        </w:rPr>
        <w:t xml:space="preserve"> y registros administrativos de manera automatizada, rápida y altamente confiable.</w:t>
      </w:r>
    </w:p>
    <w:p w14:paraId="46A8353E" w14:textId="77777777" w:rsidR="00F25D17" w:rsidRPr="00CF6547" w:rsidRDefault="00000000" w:rsidP="00CF6547">
      <w:pPr>
        <w:spacing w:after="120"/>
        <w:jc w:val="both"/>
        <w:rPr>
          <w:lang w:val="es-EC"/>
        </w:rPr>
      </w:pPr>
      <w:r w:rsidRPr="00CF6547">
        <w:rPr>
          <w:rFonts w:ascii="Arial" w:hAnsi="Arial"/>
          <w:b/>
          <w:color w:val="333333"/>
          <w:lang w:val="es-EC"/>
        </w:rPr>
        <w:t xml:space="preserve">Modelo Arquitectónico: </w:t>
      </w:r>
      <w:r w:rsidRPr="00CF6547">
        <w:rPr>
          <w:rFonts w:ascii="Arial" w:hAnsi="Arial"/>
          <w:color w:val="333333"/>
          <w:lang w:val="es-EC"/>
        </w:rPr>
        <w:t xml:space="preserve"> La arquitectura se basa en un modelo descentralizado </w:t>
      </w:r>
      <w:proofErr w:type="spellStart"/>
      <w:r w:rsidRPr="00CF6547">
        <w:rPr>
          <w:rFonts w:ascii="Arial" w:hAnsi="Arial"/>
          <w:color w:val="333333"/>
          <w:lang w:val="es-EC"/>
        </w:rPr>
        <w:t>multiagente</w:t>
      </w:r>
      <w:proofErr w:type="spellEnd"/>
      <w:r w:rsidRPr="00CF6547">
        <w:rPr>
          <w:rFonts w:ascii="Arial" w:hAnsi="Arial"/>
          <w:color w:val="333333"/>
          <w:lang w:val="es-EC"/>
        </w:rPr>
        <w:t xml:space="preserve"> coordinado por un Orquestador Central. Este enfoque modular desacopla las responsabilidades del conocimiento corporativo, utilizando agentes independientes basados en </w:t>
      </w:r>
      <w:proofErr w:type="spellStart"/>
      <w:r w:rsidRPr="00CF6547">
        <w:rPr>
          <w:rFonts w:ascii="Arial" w:hAnsi="Arial"/>
          <w:color w:val="333333"/>
          <w:lang w:val="es-EC"/>
        </w:rPr>
        <w:t>Retrieval-Augmented</w:t>
      </w:r>
      <w:proofErr w:type="spellEnd"/>
      <w:r w:rsidRPr="00CF6547">
        <w:rPr>
          <w:rFonts w:ascii="Arial" w:hAnsi="Arial"/>
          <w:color w:val="333333"/>
          <w:lang w:val="es-EC"/>
        </w:rPr>
        <w:t xml:space="preserve"> </w:t>
      </w:r>
      <w:proofErr w:type="spellStart"/>
      <w:r w:rsidRPr="00CF6547">
        <w:rPr>
          <w:rFonts w:ascii="Arial" w:hAnsi="Arial"/>
          <w:color w:val="333333"/>
          <w:lang w:val="es-EC"/>
        </w:rPr>
        <w:t>Generation</w:t>
      </w:r>
      <w:proofErr w:type="spellEnd"/>
      <w:r w:rsidRPr="00CF6547">
        <w:rPr>
          <w:rFonts w:ascii="Arial" w:hAnsi="Arial"/>
          <w:color w:val="333333"/>
          <w:lang w:val="es-EC"/>
        </w:rPr>
        <w:t xml:space="preserve"> (RAG) para cada dominio específico (Beneficios, Reglamento Interno y Reclutamiento), conectados con un Agente de Acción encargado de la persistencia transaccional.</w:t>
      </w:r>
    </w:p>
    <w:p w14:paraId="3E0F6D61" w14:textId="77777777" w:rsidR="00F25D17" w:rsidRPr="00CF6547" w:rsidRDefault="00000000" w:rsidP="00CF6547">
      <w:pPr>
        <w:keepNext/>
        <w:spacing w:before="240" w:after="80"/>
        <w:jc w:val="both"/>
        <w:rPr>
          <w:lang w:val="es-EC"/>
        </w:rPr>
      </w:pPr>
      <w:r w:rsidRPr="00CF6547">
        <w:rPr>
          <w:rFonts w:ascii="Arial" w:hAnsi="Arial"/>
          <w:b/>
          <w:color w:val="1F4E79"/>
          <w:sz w:val="32"/>
          <w:lang w:val="es-EC"/>
        </w:rPr>
        <w:t xml:space="preserve">2. Justificación Técnica de Componentes y </w:t>
      </w:r>
      <w:proofErr w:type="spellStart"/>
      <w:r w:rsidRPr="00CF6547">
        <w:rPr>
          <w:rFonts w:ascii="Arial" w:hAnsi="Arial"/>
          <w:b/>
          <w:color w:val="1F4E79"/>
          <w:sz w:val="32"/>
          <w:lang w:val="es-EC"/>
        </w:rPr>
        <w:t>Frameworks</w:t>
      </w:r>
      <w:proofErr w:type="spellEnd"/>
    </w:p>
    <w:p w14:paraId="70E4049E" w14:textId="77777777" w:rsidR="00F25D17" w:rsidRPr="00CF6547" w:rsidRDefault="00000000" w:rsidP="00CF6547">
      <w:pPr>
        <w:keepNext/>
        <w:spacing w:before="240" w:after="80"/>
        <w:jc w:val="both"/>
        <w:rPr>
          <w:lang w:val="es-EC"/>
        </w:rPr>
      </w:pPr>
      <w:r w:rsidRPr="00CF6547">
        <w:rPr>
          <w:rFonts w:ascii="Arial" w:hAnsi="Arial"/>
          <w:b/>
          <w:color w:val="4472C4"/>
          <w:sz w:val="26"/>
          <w:lang w:val="es-EC"/>
        </w:rPr>
        <w:t xml:space="preserve">2.1 Framework </w:t>
      </w:r>
      <w:proofErr w:type="spellStart"/>
      <w:r w:rsidRPr="00CF6547">
        <w:rPr>
          <w:rFonts w:ascii="Arial" w:hAnsi="Arial"/>
          <w:b/>
          <w:color w:val="4472C4"/>
          <w:sz w:val="26"/>
          <w:lang w:val="es-EC"/>
        </w:rPr>
        <w:t>LangChain</w:t>
      </w:r>
      <w:proofErr w:type="spellEnd"/>
    </w:p>
    <w:p w14:paraId="76920E31" w14:textId="77777777" w:rsidR="00F25D17" w:rsidRPr="00CF6547" w:rsidRDefault="00000000" w:rsidP="00CF6547">
      <w:pPr>
        <w:spacing w:after="120"/>
        <w:jc w:val="both"/>
        <w:rPr>
          <w:lang w:val="es-EC"/>
        </w:rPr>
      </w:pPr>
      <w:r w:rsidRPr="00CF6547">
        <w:rPr>
          <w:rFonts w:ascii="Arial" w:hAnsi="Arial"/>
          <w:b/>
          <w:color w:val="333333"/>
          <w:lang w:val="es-EC"/>
        </w:rPr>
        <w:t xml:space="preserve">Rol Tecnológico: </w:t>
      </w:r>
      <w:r w:rsidRPr="00CF6547">
        <w:rPr>
          <w:rFonts w:ascii="Arial" w:hAnsi="Arial"/>
          <w:color w:val="333333"/>
          <w:lang w:val="es-EC"/>
        </w:rPr>
        <w:t xml:space="preserve"> Se seleccionó </w:t>
      </w:r>
      <w:proofErr w:type="spellStart"/>
      <w:r w:rsidRPr="00CF6547">
        <w:rPr>
          <w:rFonts w:ascii="Arial" w:hAnsi="Arial"/>
          <w:color w:val="333333"/>
          <w:lang w:val="es-EC"/>
        </w:rPr>
        <w:t>LangChain</w:t>
      </w:r>
      <w:proofErr w:type="spellEnd"/>
      <w:r w:rsidRPr="00CF6547">
        <w:rPr>
          <w:rFonts w:ascii="Arial" w:hAnsi="Arial"/>
          <w:color w:val="333333"/>
          <w:lang w:val="es-EC"/>
        </w:rPr>
        <w:t xml:space="preserve"> como el núcleo de orquestación por su robustez en la construcción de pipelines de modelos de lenguaje grande (LLM). Permite estandarizar la conexión con Google Gemini mediante </w:t>
      </w:r>
      <w:proofErr w:type="spellStart"/>
      <w:r w:rsidRPr="00CF6547">
        <w:rPr>
          <w:rFonts w:ascii="Arial" w:hAnsi="Arial"/>
          <w:color w:val="333333"/>
          <w:lang w:val="es-EC"/>
        </w:rPr>
        <w:t>ChatGoogleGenerativeAI</w:t>
      </w:r>
      <w:proofErr w:type="spellEnd"/>
      <w:r w:rsidRPr="00CF6547">
        <w:rPr>
          <w:rFonts w:ascii="Arial" w:hAnsi="Arial"/>
          <w:color w:val="333333"/>
          <w:lang w:val="es-EC"/>
        </w:rPr>
        <w:t>, gestionar cadenas de ejecución (</w:t>
      </w:r>
      <w:proofErr w:type="spellStart"/>
      <w:r w:rsidRPr="00CF6547">
        <w:rPr>
          <w:rFonts w:ascii="Arial" w:hAnsi="Arial"/>
          <w:color w:val="333333"/>
          <w:lang w:val="es-EC"/>
        </w:rPr>
        <w:t>chains</w:t>
      </w:r>
      <w:proofErr w:type="spellEnd"/>
      <w:r w:rsidRPr="00CF6547">
        <w:rPr>
          <w:rFonts w:ascii="Arial" w:hAnsi="Arial"/>
          <w:color w:val="333333"/>
          <w:lang w:val="es-EC"/>
        </w:rPr>
        <w:t xml:space="preserve">), </w:t>
      </w:r>
      <w:proofErr w:type="spellStart"/>
      <w:r w:rsidRPr="00CF6547">
        <w:rPr>
          <w:rFonts w:ascii="Arial" w:hAnsi="Arial"/>
          <w:color w:val="333333"/>
          <w:lang w:val="es-EC"/>
        </w:rPr>
        <w:t>estruturar</w:t>
      </w:r>
      <w:proofErr w:type="spellEnd"/>
      <w:r w:rsidRPr="00CF6547">
        <w:rPr>
          <w:rFonts w:ascii="Arial" w:hAnsi="Arial"/>
          <w:color w:val="333333"/>
          <w:lang w:val="es-EC"/>
        </w:rPr>
        <w:t xml:space="preserve"> </w:t>
      </w:r>
      <w:proofErr w:type="spellStart"/>
      <w:r w:rsidRPr="00CF6547">
        <w:rPr>
          <w:rFonts w:ascii="Arial" w:hAnsi="Arial"/>
          <w:color w:val="333333"/>
          <w:lang w:val="es-EC"/>
        </w:rPr>
        <w:t>prompts</w:t>
      </w:r>
      <w:proofErr w:type="spellEnd"/>
      <w:r w:rsidRPr="00CF6547">
        <w:rPr>
          <w:rFonts w:ascii="Arial" w:hAnsi="Arial"/>
          <w:color w:val="333333"/>
          <w:lang w:val="es-EC"/>
        </w:rPr>
        <w:t xml:space="preserve"> estrictos para evitar alucinaciones y conectar dinámicamente las herramientas operativas (</w:t>
      </w:r>
      <w:proofErr w:type="spellStart"/>
      <w:r w:rsidRPr="00CF6547">
        <w:rPr>
          <w:rFonts w:ascii="Arial" w:hAnsi="Arial"/>
          <w:color w:val="333333"/>
          <w:lang w:val="es-EC"/>
        </w:rPr>
        <w:t>tools</w:t>
      </w:r>
      <w:proofErr w:type="spellEnd"/>
      <w:r w:rsidRPr="00CF6547">
        <w:rPr>
          <w:rFonts w:ascii="Arial" w:hAnsi="Arial"/>
          <w:color w:val="333333"/>
          <w:lang w:val="es-EC"/>
        </w:rPr>
        <w:t>) con el flujo de razonamiento del modelo.</w:t>
      </w:r>
    </w:p>
    <w:p w14:paraId="5C37641C" w14:textId="77777777" w:rsidR="00F25D17" w:rsidRPr="00CF6547" w:rsidRDefault="00000000" w:rsidP="00CF6547">
      <w:pPr>
        <w:keepNext/>
        <w:spacing w:before="240" w:after="80"/>
        <w:jc w:val="both"/>
        <w:rPr>
          <w:lang w:val="es-EC"/>
        </w:rPr>
      </w:pPr>
      <w:r w:rsidRPr="00CF6547">
        <w:rPr>
          <w:rFonts w:ascii="Arial" w:hAnsi="Arial"/>
          <w:b/>
          <w:color w:val="4472C4"/>
          <w:sz w:val="26"/>
          <w:lang w:val="es-EC"/>
        </w:rPr>
        <w:t>2.2 Modelos de Lenguaje y Embeddings (Google Gemini)</w:t>
      </w:r>
    </w:p>
    <w:p w14:paraId="54087F2E" w14:textId="77777777" w:rsidR="00F25D17" w:rsidRPr="00CF6547" w:rsidRDefault="00000000" w:rsidP="00CF6547">
      <w:pPr>
        <w:spacing w:after="120"/>
        <w:jc w:val="both"/>
        <w:rPr>
          <w:lang w:val="es-EC"/>
        </w:rPr>
      </w:pPr>
      <w:r w:rsidRPr="00CF6547">
        <w:rPr>
          <w:rFonts w:ascii="Arial" w:hAnsi="Arial"/>
          <w:b/>
          <w:color w:val="333333"/>
          <w:lang w:val="es-EC"/>
        </w:rPr>
        <w:t xml:space="preserve">Selección del LLM: </w:t>
      </w:r>
      <w:r w:rsidRPr="00CF6547">
        <w:rPr>
          <w:rFonts w:ascii="Arial" w:hAnsi="Arial"/>
          <w:color w:val="333333"/>
          <w:lang w:val="es-EC"/>
        </w:rPr>
        <w:t xml:space="preserve"> El sistema utiliza Google Gemini (modelos optimizados para latencia y costo eficiente) debido a su gran ventana de contexto, excelente comprensión del español técnico y capacidad para interpretar intenciones complejas. Para la vectorización de documentos, se emplean embeddings de alta precisión que capturan la semántica profunda de los manuales y políticas de la compañía.</w:t>
      </w:r>
    </w:p>
    <w:p w14:paraId="6503EEF6" w14:textId="77777777" w:rsidR="00F25D17" w:rsidRPr="00CF6547" w:rsidRDefault="00000000" w:rsidP="00CF6547">
      <w:pPr>
        <w:keepNext/>
        <w:spacing w:before="240" w:after="80"/>
        <w:jc w:val="both"/>
        <w:rPr>
          <w:lang w:val="es-EC"/>
        </w:rPr>
      </w:pPr>
      <w:r w:rsidRPr="00CF6547">
        <w:rPr>
          <w:rFonts w:ascii="Arial" w:hAnsi="Arial"/>
          <w:b/>
          <w:color w:val="4472C4"/>
          <w:sz w:val="26"/>
          <w:lang w:val="es-EC"/>
        </w:rPr>
        <w:t>2.3 Bases de Datos Vectoriales (</w:t>
      </w:r>
      <w:proofErr w:type="spellStart"/>
      <w:r w:rsidRPr="00CF6547">
        <w:rPr>
          <w:rFonts w:ascii="Arial" w:hAnsi="Arial"/>
          <w:b/>
          <w:color w:val="4472C4"/>
          <w:sz w:val="26"/>
          <w:lang w:val="es-EC"/>
        </w:rPr>
        <w:t>ChromaDB</w:t>
      </w:r>
      <w:proofErr w:type="spellEnd"/>
      <w:r w:rsidRPr="00CF6547">
        <w:rPr>
          <w:rFonts w:ascii="Arial" w:hAnsi="Arial"/>
          <w:b/>
          <w:color w:val="4472C4"/>
          <w:sz w:val="26"/>
          <w:lang w:val="es-EC"/>
        </w:rPr>
        <w:t>)</w:t>
      </w:r>
    </w:p>
    <w:p w14:paraId="62F338BE" w14:textId="77777777" w:rsidR="00F25D17" w:rsidRPr="00CF6547" w:rsidRDefault="00000000" w:rsidP="00CF6547">
      <w:pPr>
        <w:spacing w:after="120"/>
        <w:jc w:val="both"/>
        <w:rPr>
          <w:lang w:val="es-EC"/>
        </w:rPr>
      </w:pPr>
      <w:r w:rsidRPr="00CF6547">
        <w:rPr>
          <w:rFonts w:ascii="Arial" w:hAnsi="Arial"/>
          <w:b/>
          <w:color w:val="333333"/>
          <w:lang w:val="es-EC"/>
        </w:rPr>
        <w:t xml:space="preserve">Capa de Datos Vectoriales: </w:t>
      </w:r>
      <w:r w:rsidRPr="00CF6547">
        <w:rPr>
          <w:rFonts w:ascii="Arial" w:hAnsi="Arial"/>
          <w:color w:val="333333"/>
          <w:lang w:val="es-EC"/>
        </w:rPr>
        <w:t xml:space="preserve"> Para el almacenamiento y recuperación eficiente de similitud semántica, se implementó </w:t>
      </w:r>
      <w:proofErr w:type="spellStart"/>
      <w:r w:rsidRPr="00CF6547">
        <w:rPr>
          <w:rFonts w:ascii="Arial" w:hAnsi="Arial"/>
          <w:color w:val="333333"/>
          <w:lang w:val="es-EC"/>
        </w:rPr>
        <w:t>ChromaDB</w:t>
      </w:r>
      <w:proofErr w:type="spellEnd"/>
      <w:r w:rsidRPr="00CF6547">
        <w:rPr>
          <w:rFonts w:ascii="Arial" w:hAnsi="Arial"/>
          <w:color w:val="333333"/>
          <w:lang w:val="es-EC"/>
        </w:rPr>
        <w:t>. La decisión técnica se fundamenta en su capacidad de persistencia local sin requerir infraestructura de servidores pesados, aislando los repositorios vectoriales por cada dominio corporativo (Beneficios, Políticas, Reclutamiento) para garantizar un filtrado preciso (k=5) antes de alimentar el contexto del LLM.</w:t>
      </w:r>
    </w:p>
    <w:p w14:paraId="27D4C803" w14:textId="77777777" w:rsidR="00F25D17" w:rsidRPr="00CF6547" w:rsidRDefault="00000000" w:rsidP="00CF6547">
      <w:pPr>
        <w:keepNext/>
        <w:spacing w:before="240" w:after="80"/>
        <w:jc w:val="both"/>
        <w:rPr>
          <w:lang w:val="es-EC"/>
        </w:rPr>
      </w:pPr>
      <w:r w:rsidRPr="00CF6547">
        <w:rPr>
          <w:rFonts w:ascii="Arial" w:hAnsi="Arial"/>
          <w:b/>
          <w:color w:val="1F4E79"/>
          <w:sz w:val="32"/>
          <w:lang w:val="es-EC"/>
        </w:rPr>
        <w:lastRenderedPageBreak/>
        <w:t>3. Mecanismos de Control y Mitigación de Riesgos</w:t>
      </w:r>
    </w:p>
    <w:p w14:paraId="2909DFA7" w14:textId="77777777" w:rsidR="00F25D17" w:rsidRPr="00CF6547" w:rsidRDefault="00000000" w:rsidP="00CF6547">
      <w:pPr>
        <w:spacing w:after="120"/>
        <w:jc w:val="both"/>
        <w:rPr>
          <w:lang w:val="es-EC"/>
        </w:rPr>
      </w:pPr>
      <w:r w:rsidRPr="00CF6547">
        <w:rPr>
          <w:rFonts w:ascii="Arial" w:hAnsi="Arial"/>
          <w:color w:val="333333"/>
          <w:lang w:val="es-EC"/>
        </w:rPr>
        <w:t xml:space="preserve">Uno de los mayores retos en la implementación de IA corporativa es evitar la generación de información falsa o no verificada (alucinaciones). Para mitigar este riesgo, la solución implementa restricciones estrictas a nivel de </w:t>
      </w:r>
      <w:proofErr w:type="spellStart"/>
      <w:r w:rsidRPr="00CF6547">
        <w:rPr>
          <w:rFonts w:ascii="Arial" w:hAnsi="Arial"/>
          <w:color w:val="333333"/>
          <w:lang w:val="es-EC"/>
        </w:rPr>
        <w:t>System</w:t>
      </w:r>
      <w:proofErr w:type="spellEnd"/>
      <w:r w:rsidRPr="00CF6547">
        <w:rPr>
          <w:rFonts w:ascii="Arial" w:hAnsi="Arial"/>
          <w:color w:val="333333"/>
          <w:lang w:val="es-EC"/>
        </w:rPr>
        <w:t xml:space="preserve"> </w:t>
      </w:r>
      <w:proofErr w:type="spellStart"/>
      <w:r w:rsidRPr="00CF6547">
        <w:rPr>
          <w:rFonts w:ascii="Arial" w:hAnsi="Arial"/>
          <w:color w:val="333333"/>
          <w:lang w:val="es-EC"/>
        </w:rPr>
        <w:t>Prompt</w:t>
      </w:r>
      <w:proofErr w:type="spellEnd"/>
      <w:r w:rsidRPr="00CF6547">
        <w:rPr>
          <w:rFonts w:ascii="Arial" w:hAnsi="Arial"/>
          <w:color w:val="333333"/>
          <w:lang w:val="es-EC"/>
        </w:rPr>
        <w:t>:</w:t>
      </w:r>
    </w:p>
    <w:p w14:paraId="7AD5C4DC" w14:textId="77777777" w:rsidR="00F25D17" w:rsidRPr="00CF6547" w:rsidRDefault="00000000" w:rsidP="00CF6547">
      <w:pPr>
        <w:pStyle w:val="Listaconvietas"/>
        <w:spacing w:after="80"/>
        <w:jc w:val="both"/>
        <w:rPr>
          <w:lang w:val="es-EC"/>
        </w:rPr>
      </w:pPr>
      <w:r w:rsidRPr="00CF6547">
        <w:rPr>
          <w:b/>
          <w:lang w:val="es-EC"/>
        </w:rPr>
        <w:t xml:space="preserve">Restricción de Contexto Estricto: </w:t>
      </w:r>
      <w:r w:rsidRPr="00CF6547">
        <w:rPr>
          <w:lang w:val="es-EC"/>
        </w:rPr>
        <w:t xml:space="preserve">Los agentes RAG operan con temperatura igual a 0 (deterministas) y tienen la instrucción obligatoria de responder con una cláusula de escape exacta ('No encontré información suficiente en la base documental proporcionada') en caso de que la consulta del colaborador no halle coincidencias semánticas válidas en los vectores de </w:t>
      </w:r>
      <w:proofErr w:type="spellStart"/>
      <w:r w:rsidRPr="00CF6547">
        <w:rPr>
          <w:lang w:val="es-EC"/>
        </w:rPr>
        <w:t>ChromaDB</w:t>
      </w:r>
      <w:proofErr w:type="spellEnd"/>
      <w:r w:rsidRPr="00CF6547">
        <w:rPr>
          <w:lang w:val="es-EC"/>
        </w:rPr>
        <w:t>.</w:t>
      </w:r>
    </w:p>
    <w:p w14:paraId="75EE18CA" w14:textId="77777777" w:rsidR="00F25D17" w:rsidRPr="00CF6547" w:rsidRDefault="00000000" w:rsidP="00CF6547">
      <w:pPr>
        <w:pStyle w:val="Listaconvietas"/>
        <w:spacing w:after="120"/>
        <w:jc w:val="both"/>
        <w:rPr>
          <w:lang w:val="es-EC"/>
        </w:rPr>
      </w:pPr>
      <w:r w:rsidRPr="00CF6547">
        <w:rPr>
          <w:b/>
          <w:lang w:val="es-EC"/>
        </w:rPr>
        <w:t xml:space="preserve">Aislamiento de Dominios: </w:t>
      </w:r>
      <w:r w:rsidRPr="00CF6547">
        <w:rPr>
          <w:lang w:val="es-EC"/>
        </w:rPr>
        <w:t>Al separar las bases vectoriales por temáticas, se evita que un agente de beneficios mezcle políticas de reclutamiento, asegurando respuestas limpias y auditables.</w:t>
      </w:r>
    </w:p>
    <w:p w14:paraId="4A39FABD" w14:textId="77777777" w:rsidR="00F25D17" w:rsidRPr="00CF6547" w:rsidRDefault="00000000" w:rsidP="00CF6547">
      <w:pPr>
        <w:keepNext/>
        <w:spacing w:before="240" w:after="80"/>
        <w:jc w:val="both"/>
        <w:rPr>
          <w:lang w:val="es-EC"/>
        </w:rPr>
      </w:pPr>
      <w:r w:rsidRPr="00CF6547">
        <w:rPr>
          <w:rFonts w:ascii="Arial" w:hAnsi="Arial"/>
          <w:b/>
          <w:color w:val="1F4E79"/>
          <w:sz w:val="32"/>
          <w:lang w:val="es-EC"/>
        </w:rPr>
        <w:t>4. Arquitectura del Agente de Acción y Persistencia</w:t>
      </w:r>
    </w:p>
    <w:p w14:paraId="2D54FA28" w14:textId="77777777" w:rsidR="00F25D17" w:rsidRPr="00CF6547" w:rsidRDefault="00000000" w:rsidP="00CF6547">
      <w:pPr>
        <w:spacing w:after="120"/>
        <w:jc w:val="both"/>
        <w:rPr>
          <w:lang w:val="es-EC"/>
        </w:rPr>
      </w:pPr>
      <w:r w:rsidRPr="00CF6547">
        <w:rPr>
          <w:rFonts w:ascii="Arial" w:hAnsi="Arial"/>
          <w:b/>
          <w:color w:val="333333"/>
          <w:lang w:val="es-EC"/>
        </w:rPr>
        <w:t xml:space="preserve">Capacidad Operativa: </w:t>
      </w:r>
      <w:r w:rsidRPr="00CF6547">
        <w:rPr>
          <w:rFonts w:ascii="Arial" w:hAnsi="Arial"/>
          <w:color w:val="333333"/>
          <w:lang w:val="es-EC"/>
        </w:rPr>
        <w:t>A diferencia de los sistemas tradicionales de solo lectura (Q&amp;A), esta solución incorpora un Agente de Acción capaz de interpretar solicitudes operativas (como registro de vacaciones o dependientes) y transformar lenguaje natural en estructuras de datos persistentes.</w:t>
      </w:r>
    </w:p>
    <w:p w14:paraId="300D8DAD" w14:textId="77777777" w:rsidR="00F25D17" w:rsidRPr="00CF6547" w:rsidRDefault="00000000" w:rsidP="00CF6547">
      <w:pPr>
        <w:spacing w:after="120"/>
        <w:jc w:val="both"/>
        <w:rPr>
          <w:lang w:val="es-EC"/>
        </w:rPr>
      </w:pPr>
      <w:r w:rsidRPr="00CF6547">
        <w:rPr>
          <w:rFonts w:ascii="Arial" w:hAnsi="Arial"/>
          <w:b/>
          <w:color w:val="333333"/>
          <w:lang w:val="es-EC"/>
        </w:rPr>
        <w:t xml:space="preserve">Mecanismo de Escritura: </w:t>
      </w:r>
      <w:r w:rsidRPr="00CF6547">
        <w:rPr>
          <w:rFonts w:ascii="Arial" w:hAnsi="Arial"/>
          <w:color w:val="333333"/>
          <w:lang w:val="es-EC"/>
        </w:rPr>
        <w:t>El agente ejecuta funciones de Python predefinidas que escriben de forma estructurada en un archivo plano de registro (registro_solicitudes_rrhh.txt), incorporando identificadores únicos autogenerados, marcas de tiempo exactas (</w:t>
      </w:r>
      <w:proofErr w:type="spellStart"/>
      <w:r w:rsidRPr="00CF6547">
        <w:rPr>
          <w:rFonts w:ascii="Arial" w:hAnsi="Arial"/>
          <w:color w:val="333333"/>
          <w:lang w:val="es-EC"/>
        </w:rPr>
        <w:t>timestamps</w:t>
      </w:r>
      <w:proofErr w:type="spellEnd"/>
      <w:r w:rsidRPr="00CF6547">
        <w:rPr>
          <w:rFonts w:ascii="Arial" w:hAnsi="Arial"/>
          <w:color w:val="333333"/>
          <w:lang w:val="es-EC"/>
        </w:rPr>
        <w:t>), metadatos del colaborador y aprobaciones de Jefatura, garantizando trazabilidad completa para auditorías internas de Recursos Humanos.</w:t>
      </w:r>
    </w:p>
    <w:p w14:paraId="1300E1B8" w14:textId="77777777" w:rsidR="00F25D17" w:rsidRPr="00CF6547" w:rsidRDefault="00000000" w:rsidP="00CF6547">
      <w:pPr>
        <w:keepNext/>
        <w:spacing w:before="240" w:after="80"/>
        <w:jc w:val="both"/>
        <w:rPr>
          <w:lang w:val="es-EC"/>
        </w:rPr>
      </w:pPr>
      <w:r w:rsidRPr="00CF6547">
        <w:rPr>
          <w:rFonts w:ascii="Arial" w:hAnsi="Arial"/>
          <w:b/>
          <w:color w:val="1F4E79"/>
          <w:sz w:val="32"/>
          <w:lang w:val="es-EC"/>
        </w:rPr>
        <w:t>5. Conclusión y Viabilidad de Escalado</w:t>
      </w:r>
    </w:p>
    <w:p w14:paraId="23E00857" w14:textId="77777777" w:rsidR="00F25D17" w:rsidRPr="00CF6547" w:rsidRDefault="00000000" w:rsidP="00CF6547">
      <w:pPr>
        <w:spacing w:after="120"/>
        <w:jc w:val="both"/>
        <w:rPr>
          <w:lang w:val="es-EC"/>
        </w:rPr>
      </w:pPr>
      <w:r w:rsidRPr="00CF6547">
        <w:rPr>
          <w:rFonts w:ascii="Arial" w:hAnsi="Arial"/>
          <w:b/>
          <w:color w:val="333333"/>
          <w:lang w:val="es-EC"/>
        </w:rPr>
        <w:t xml:space="preserve">Resumen de Viabilidad: </w:t>
      </w:r>
      <w:r w:rsidRPr="00CF6547">
        <w:rPr>
          <w:rFonts w:ascii="Arial" w:hAnsi="Arial"/>
          <w:color w:val="333333"/>
          <w:lang w:val="es-EC"/>
        </w:rPr>
        <w:t xml:space="preserve">La justificación técnica demuestra que la solución propuesta no es únicamente un prototipo conversacional, sino una arquitectura modular y escalable. Su diseño actual en archivos planos y </w:t>
      </w:r>
      <w:proofErr w:type="spellStart"/>
      <w:r w:rsidRPr="00CF6547">
        <w:rPr>
          <w:rFonts w:ascii="Arial" w:hAnsi="Arial"/>
          <w:color w:val="333333"/>
          <w:lang w:val="es-EC"/>
        </w:rPr>
        <w:t>ChromaDB</w:t>
      </w:r>
      <w:proofErr w:type="spellEnd"/>
      <w:r w:rsidRPr="00CF6547">
        <w:rPr>
          <w:rFonts w:ascii="Arial" w:hAnsi="Arial"/>
          <w:color w:val="333333"/>
          <w:lang w:val="es-EC"/>
        </w:rPr>
        <w:t xml:space="preserve"> local permite una validación ágil y de costo cero; sin embargo, su estructura basada en </w:t>
      </w:r>
      <w:proofErr w:type="spellStart"/>
      <w:r w:rsidRPr="00CF6547">
        <w:rPr>
          <w:rFonts w:ascii="Arial" w:hAnsi="Arial"/>
          <w:color w:val="333333"/>
          <w:lang w:val="es-EC"/>
        </w:rPr>
        <w:t>LangChain</w:t>
      </w:r>
      <w:proofErr w:type="spellEnd"/>
      <w:r w:rsidRPr="00CF6547">
        <w:rPr>
          <w:rFonts w:ascii="Arial" w:hAnsi="Arial"/>
          <w:color w:val="333333"/>
          <w:lang w:val="es-EC"/>
        </w:rPr>
        <w:t xml:space="preserve"> facilita una migración limpia hacia entornos corporativos masivos mediante la incorporación de bases vectoriales distribuidas (</w:t>
      </w:r>
      <w:proofErr w:type="spellStart"/>
      <w:r w:rsidRPr="00CF6547">
        <w:rPr>
          <w:rFonts w:ascii="Arial" w:hAnsi="Arial"/>
          <w:color w:val="333333"/>
          <w:lang w:val="es-EC"/>
        </w:rPr>
        <w:t>Pinecone</w:t>
      </w:r>
      <w:proofErr w:type="spellEnd"/>
      <w:r w:rsidRPr="00CF6547">
        <w:rPr>
          <w:rFonts w:ascii="Arial" w:hAnsi="Arial"/>
          <w:color w:val="333333"/>
          <w:lang w:val="es-EC"/>
        </w:rPr>
        <w:t>/</w:t>
      </w:r>
      <w:proofErr w:type="spellStart"/>
      <w:r w:rsidRPr="00CF6547">
        <w:rPr>
          <w:rFonts w:ascii="Arial" w:hAnsi="Arial"/>
          <w:color w:val="333333"/>
          <w:lang w:val="es-EC"/>
        </w:rPr>
        <w:t>Milvus</w:t>
      </w:r>
      <w:proofErr w:type="spellEnd"/>
      <w:r w:rsidRPr="00CF6547">
        <w:rPr>
          <w:rFonts w:ascii="Arial" w:hAnsi="Arial"/>
          <w:color w:val="333333"/>
          <w:lang w:val="es-EC"/>
        </w:rPr>
        <w:t>), bases relacionales SQL para transacciones y pasarelas con interfaces web (</w:t>
      </w:r>
      <w:proofErr w:type="spellStart"/>
      <w:r w:rsidRPr="00CF6547">
        <w:rPr>
          <w:rFonts w:ascii="Arial" w:hAnsi="Arial"/>
          <w:color w:val="333333"/>
          <w:lang w:val="es-EC"/>
        </w:rPr>
        <w:t>Streamlit</w:t>
      </w:r>
      <w:proofErr w:type="spellEnd"/>
      <w:r w:rsidRPr="00CF6547">
        <w:rPr>
          <w:rFonts w:ascii="Arial" w:hAnsi="Arial"/>
          <w:color w:val="333333"/>
          <w:lang w:val="es-EC"/>
        </w:rPr>
        <w:t xml:space="preserve"> o </w:t>
      </w:r>
      <w:proofErr w:type="spellStart"/>
      <w:r w:rsidRPr="00CF6547">
        <w:rPr>
          <w:rFonts w:ascii="Arial" w:hAnsi="Arial"/>
          <w:color w:val="333333"/>
          <w:lang w:val="es-EC"/>
        </w:rPr>
        <w:t>FastAPI</w:t>
      </w:r>
      <w:proofErr w:type="spellEnd"/>
      <w:r w:rsidRPr="00CF6547">
        <w:rPr>
          <w:rFonts w:ascii="Arial" w:hAnsi="Arial"/>
          <w:color w:val="333333"/>
          <w:lang w:val="es-EC"/>
        </w:rPr>
        <w:t>).</w:t>
      </w:r>
    </w:p>
    <w:sectPr w:rsidR="00F25D17" w:rsidRPr="00CF654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16216722">
    <w:abstractNumId w:val="8"/>
  </w:num>
  <w:num w:numId="2" w16cid:durableId="1345984347">
    <w:abstractNumId w:val="6"/>
  </w:num>
  <w:num w:numId="3" w16cid:durableId="1297443506">
    <w:abstractNumId w:val="5"/>
  </w:num>
  <w:num w:numId="4" w16cid:durableId="928461873">
    <w:abstractNumId w:val="4"/>
  </w:num>
  <w:num w:numId="5" w16cid:durableId="1204709699">
    <w:abstractNumId w:val="7"/>
  </w:num>
  <w:num w:numId="6" w16cid:durableId="344137117">
    <w:abstractNumId w:val="3"/>
  </w:num>
  <w:num w:numId="7" w16cid:durableId="1865289988">
    <w:abstractNumId w:val="2"/>
  </w:num>
  <w:num w:numId="8" w16cid:durableId="2822895">
    <w:abstractNumId w:val="1"/>
  </w:num>
  <w:num w:numId="9" w16cid:durableId="15327185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D47AC"/>
    <w:rsid w:val="00AA1D8D"/>
    <w:rsid w:val="00B47730"/>
    <w:rsid w:val="00CB0664"/>
    <w:rsid w:val="00CF6547"/>
    <w:rsid w:val="00F25D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E5605F"/>
  <w14:defaultImageDpi w14:val="300"/>
  <w15:docId w15:val="{42481D95-D462-4AE9-BFF3-BBA8F5F51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709</Words>
  <Characters>3905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Steven Tinoco Vera</cp:lastModifiedBy>
  <cp:revision>2</cp:revision>
  <dcterms:created xsi:type="dcterms:W3CDTF">2026-07-27T01:31:00Z</dcterms:created>
  <dcterms:modified xsi:type="dcterms:W3CDTF">2026-07-27T01:31:00Z</dcterms:modified>
  <cp:category/>
</cp:coreProperties>
</file>