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200"/>
      </w:pPr>
      <w:r>
        <w:rPr>
          <w:rFonts w:ascii="Inter" w:cs="Inter" w:eastAsia="Inter" w:hAnsi="Inter"/>
          <w:b/>
          <w:bCs/>
          <w:color w:val="8C6722"/>
          <w:spacing w:val="60"/>
          <w:sz w:val="17"/>
          <w:szCs w:val="17"/>
        </w:rPr>
        <w:t xml:space="preserve">PEDOMAN INTERNAL TIM EVENT</w:t>
      </w:r>
    </w:p>
    <w:p>
      <w:pPr>
        <w:spacing w:after="60"/>
      </w:pPr>
      <w:r>
        <w:rPr>
          <w:rFonts w:ascii="Fraunces" w:cs="Fraunces" w:eastAsia="Fraunces" w:hAnsi="Fraunces"/>
          <w:b/>
          <w:bCs/>
          <w:color w:val="0F1419"/>
          <w:sz w:val="46"/>
          <w:szCs w:val="46"/>
        </w:rPr>
        <w:t xml:space="preserve">Skema Bonus &amp; Atribusi Omzet Tim Event</w:t>
      </w:r>
    </w:p>
    <w:p>
      <w:pPr>
        <w:spacing w:after="200"/>
      </w:pPr>
      <w:r>
        <w:rPr>
          <w:rFonts w:ascii="Inter" w:cs="Inter" w:eastAsia="Inter" w:hAnsi="Inter"/>
          <w:i/>
          <w:iCs/>
          <w:color w:val="5B5247"/>
          <w:sz w:val="22"/>
          <w:szCs w:val="22"/>
        </w:rPr>
        <w:t xml:space="preserve">Klasifikasi Event, Pengakuan Pendapatan, dan Struktur Insentif Performa</w:t>
      </w:r>
    </w:p>
    <w:p>
      <w:pPr>
        <w:pBdr>
          <w:bottom w:val="single" w:color="B8893A" w:sz="14" w:space="1"/>
        </w:pBdr>
        <w:spacing w:after="60" w:before="0"/>
      </w:pPr>
      <w:r>
        <w:rPr>
          <w:sz w:val="2"/>
          <w:szCs w:val="2"/>
        </w:rPr>
        <w:t xml:space="preserve"/>
      </w:r>
    </w:p>
    <w:p>
      <w:pPr>
        <w:tabs>
          <w:tab w:val="right" w:pos="9026"/>
        </w:tabs>
        <w:spacing w:after="0" w:before="80"/>
      </w:pPr>
      <w:r>
        <w:rPr>
          <w:rFonts w:ascii="Inter" w:cs="Inter" w:eastAsia="Inter" w:hAnsi="Inter"/>
          <w:color w:val="0F1419"/>
          <w:sz w:val="18"/>
          <w:szCs w:val="18"/>
        </w:rPr>
        <w:t xml:space="preserve">Berlaku untuk: Tim Event &amp; Tim Marketing</w:t>
      </w:r>
      <w:r>
        <w:rPr>
          <w:rFonts w:ascii="Inter" w:cs="Inter" w:eastAsia="Inter" w:hAnsi="Inter"/>
          <w:color w:val="5B5247"/>
          <w:sz w:val="18"/>
          <w:szCs w:val="18"/>
        </w:rPr>
        <w:t xml:space="preserve">	Versi 1.0</w:t>
      </w:r>
    </w:p>
    <w:p>
      <w:pPr>
        <w:tabs>
          <w:tab w:val="right" w:pos="9026"/>
        </w:tabs>
        <w:spacing w:after="0" w:before="30"/>
      </w:pPr>
      <w:r>
        <w:rPr>
          <w:rFonts w:ascii="Inter" w:cs="Inter" w:eastAsia="Inter" w:hAnsi="Inter"/>
          <w:color w:val="0F1419"/>
          <w:sz w:val="18"/>
          <w:szCs w:val="18"/>
        </w:rPr>
        <w:t xml:space="preserve">Disahkan oleh: Direktur Utama</w:t>
      </w:r>
      <w:r>
        <w:rPr>
          <w:rFonts w:ascii="Inter" w:cs="Inter" w:eastAsia="Inter" w:hAnsi="Inter"/>
          <w:color w:val="5B5247"/>
          <w:sz w:val="18"/>
          <w:szCs w:val="18"/>
        </w:rPr>
        <w:t xml:space="preserve">	Status: Aktif</w:t>
      </w:r>
    </w:p>
    <w:p>
      <w:pPr>
        <w:pStyle w:val="Heading1"/>
      </w:pPr>
      <w:r>
        <w:t xml:space="preserve">1. Tujuan &amp; Prinsip Dasar</w:t>
      </w:r>
    </w:p>
    <w:p>
      <w:pPr>
        <w:spacing w:after="120" w:line="276"/>
      </w:pPr>
      <w:r>
        <w:rPr>
          <w:rFonts w:ascii="Inter" w:cs="Inter" w:eastAsia="Inter" w:hAnsi="Inter"/>
          <w:color w:val="0F1419"/>
          <w:sz w:val="21"/>
          <w:szCs w:val="21"/>
        </w:rPr>
        <w:t xml:space="preserve">Dokumen ini menetapkan dasar yang adil dan transparan untuk menentukan kapan sebuah omzet diakui sebagai kontribusi Tim Event, dan bagaimana insentif performa dihitung. Tujuannya menghilangkan tumpang tindih klaim antar tim serta memberi penghargaan yang proporsional terhadap kerja yang menghasilkan pendapatan tambahan.</w:t>
      </w:r>
    </w:p>
    <w:p>
      <w:pPr>
        <w:spacing w:after="40" w:before="60"/>
      </w:pPr>
      <w:r>
        <w:rPr>
          <w:rFonts w:ascii="Inter" w:cs="Inter" w:eastAsia="Inter" w:hAnsi="Inter"/>
          <w:b/>
          <w:bCs/>
          <w:color w:val="8C6722"/>
          <w:spacing w:val="40"/>
          <w:sz w:val="16"/>
          <w:szCs w:val="16"/>
        </w:rPr>
        <w:t xml:space="preserve">PRINSIP YANG DIPEGANG</w:t>
      </w:r>
    </w:p>
    <w:p>
      <w:pPr>
        <w:pStyle w:val="ListParagraph"/>
        <w:numPr>
          <w:ilvl w:val="0"/>
          <w:numId w:val="2"/>
        </w:numPr>
        <w:spacing w:after="90" w:line="270"/>
      </w:pPr>
      <w:r>
        <w:rPr>
          <w:rFonts w:ascii="Inter" w:cs="Inter" w:eastAsia="Inter" w:hAnsi="Inter"/>
          <w:b/>
          <w:bCs/>
          <w:color w:val="0F1419"/>
          <w:sz w:val="21"/>
          <w:szCs w:val="21"/>
        </w:rPr>
        <w:t xml:space="preserve">Restoran lebih dahulu. </w:t>
      </w:r>
      <w:r>
        <w:rPr>
          <w:rFonts w:ascii="Inter" w:cs="Inter" w:eastAsia="Inter" w:hAnsi="Inter"/>
          <w:color w:val="0F1419"/>
          <w:sz w:val="21"/>
          <w:szCs w:val="21"/>
        </w:rPr>
        <w:t xml:space="preserve">Seluruh program event tunduk pada positioning F&amp;B — entertainment adalah pendorong omzet, bukan inti bisnis.</w:t>
      </w:r>
    </w:p>
    <w:p>
      <w:pPr>
        <w:pStyle w:val="ListParagraph"/>
        <w:numPr>
          <w:ilvl w:val="0"/>
          <w:numId w:val="2"/>
        </w:numPr>
        <w:spacing w:after="90" w:line="270"/>
      </w:pPr>
      <w:r>
        <w:rPr>
          <w:rFonts w:ascii="Inter" w:cs="Inter" w:eastAsia="Inter" w:hAnsi="Inter"/>
          <w:b/>
          <w:bCs/>
          <w:color w:val="0F1419"/>
          <w:sz w:val="21"/>
          <w:szCs w:val="21"/>
        </w:rPr>
        <w:t xml:space="preserve">Tanpa hitung ganda. </w:t>
      </w:r>
      <w:r>
        <w:rPr>
          <w:rFonts w:ascii="Inter" w:cs="Inter" w:eastAsia="Inter" w:hAnsi="Inter"/>
          <w:color w:val="0F1419"/>
          <w:sz w:val="21"/>
          <w:szCs w:val="21"/>
        </w:rPr>
        <w:t xml:space="preserve">Satu rupiah omzet hanya boleh diatribusikan ke satu sumber: Tim Event, Marketing, atau Walk-in/Operasional.</w:t>
      </w:r>
    </w:p>
    <w:p>
      <w:pPr>
        <w:pStyle w:val="ListParagraph"/>
        <w:numPr>
          <w:ilvl w:val="0"/>
          <w:numId w:val="2"/>
        </w:numPr>
        <w:spacing w:after="90" w:line="270"/>
      </w:pPr>
      <w:r>
        <w:rPr>
          <w:rFonts w:ascii="Inter" w:cs="Inter" w:eastAsia="Inter" w:hAnsi="Inter"/>
          <w:b/>
          <w:bCs/>
          <w:color w:val="0F1419"/>
          <w:sz w:val="21"/>
          <w:szCs w:val="21"/>
        </w:rPr>
        <w:t xml:space="preserve">Berbasis uplift, bukan kotor. </w:t>
      </w:r>
      <w:r>
        <w:rPr>
          <w:rFonts w:ascii="Inter" w:cs="Inter" w:eastAsia="Inter" w:hAnsi="Inter"/>
          <w:color w:val="0F1419"/>
          <w:sz w:val="21"/>
          <w:szCs w:val="21"/>
        </w:rPr>
        <w:t xml:space="preserve">Tim Event dihargai atas tambahan omzet yang dihasilkan event, bukan total omzet harian secara otomatis.</w:t>
      </w:r>
    </w:p>
    <w:p>
      <w:pPr>
        <w:pStyle w:val="ListParagraph"/>
        <w:numPr>
          <w:ilvl w:val="0"/>
          <w:numId w:val="2"/>
        </w:numPr>
        <w:spacing w:after="90" w:line="270"/>
      </w:pPr>
      <w:r>
        <w:rPr>
          <w:rFonts w:ascii="Inter" w:cs="Inter" w:eastAsia="Inter" w:hAnsi="Inter"/>
          <w:b/>
          <w:bCs/>
          <w:color w:val="0F1419"/>
          <w:sz w:val="21"/>
          <w:szCs w:val="21"/>
        </w:rPr>
        <w:t xml:space="preserve">Angka nett. </w:t>
      </w:r>
      <w:r>
        <w:rPr>
          <w:rFonts w:ascii="Inter" w:cs="Inter" w:eastAsia="Inter" w:hAnsi="Inter"/>
          <w:color w:val="0F1419"/>
          <w:sz w:val="21"/>
          <w:szCs w:val="21"/>
        </w:rPr>
        <w:t xml:space="preserve">Seluruh perhitungan menggunakan nilai nett — sebelum tax &amp; service charge.</w:t>
      </w:r>
    </w:p>
    <w:p>
      <w:pPr>
        <w:pStyle w:val="Heading1"/>
      </w:pPr>
      <w:r>
        <w:t xml:space="preserve">2. Klasifikasi Event &amp; Atribusi Omzet</w:t>
      </w:r>
    </w:p>
    <w:p>
      <w:pPr>
        <w:spacing w:after="120" w:line="276"/>
      </w:pPr>
      <w:r>
        <w:rPr>
          <w:rFonts w:ascii="Inter" w:cs="Inter" w:eastAsia="Inter" w:hAnsi="Inter"/>
          <w:color w:val="0F1419"/>
          <w:sz w:val="21"/>
          <w:szCs w:val="21"/>
        </w:rPr>
        <w:t xml:space="preserve">Setiap hari operasional dipetakan ke salah satu kategori berikut. Kategori menentukan periode omzet yang diakui dan persentase yang menjadi hak Tim Event. Semua event harus terlebih dahulu disetujui Direktur Utama (lampiran proposal + konsep) agar memenuhi syarat klasifikasi.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300"/>
        <w:gridCol w:w="1200"/>
        <w:gridCol w:w="1326"/>
      </w:tblGrid>
      <w:tr>
        <w:trPr>
          <w:tblHeader/>
        </w:trPr>
        <w:tc>
          <w:tcPr>
            <w:tcW w:type="dxa" w:w="17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Kategori</w:t>
            </w:r>
          </w:p>
        </w:tc>
        <w:tc>
          <w:tcPr>
            <w:tcW w:type="dxa" w:w="25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Contoh</w:t>
            </w:r>
          </w:p>
        </w:tc>
        <w:tc>
          <w:tcPr>
            <w:tcW w:type="dxa" w:w="23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Periode Omzet Diakui</w:t>
            </w:r>
          </w:p>
        </w:tc>
        <w:tc>
          <w:tcPr>
            <w:tcW w:type="dxa" w:w="12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 ke Tim Event</w:t>
            </w:r>
          </w:p>
        </w:tc>
        <w:tc>
          <w:tcPr>
            <w:tcW w:type="dxa" w:w="1326"/>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Atribusi Sisa</w:t>
            </w:r>
          </w:p>
        </w:tc>
      </w:tr>
      <w:tr>
        <w:tc>
          <w:tcPr>
            <w:tcW w:type="dxa" w:w="1700"/>
            <w:tcBorders>
              <w:top w:val="single" w:color="D9CFB8" w:sz="2"/>
              <w:left w:val="single" w:color="D9CFB8" w:sz="2"/>
              <w:bottom w:val="single" w:color="D9CFB8" w:sz="2"/>
              <w:right w:val="single" w:color="D9CFB8" w:sz="2"/>
            </w:tcBorders>
            <w:shd w:fill="EDE3CF"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TIER A — Konser Besar / Artis Luar Riau</w:t>
            </w:r>
          </w:p>
        </w:tc>
        <w:tc>
          <w:tcPr>
            <w:tcW w:type="dxa" w:w="25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Konser artis nasional, artis dari luar Riau, ticketed show</w:t>
            </w:r>
          </w:p>
        </w:tc>
        <w:tc>
          <w:tcPr>
            <w:tcW w:type="dxa" w:w="23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Sepanjang hari operasional (buka s/d tutup)</w:t>
            </w:r>
          </w:p>
        </w:tc>
        <w:tc>
          <w:tcPr>
            <w:tcW w:type="dxa" w:w="12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bCs/>
                <w:i w:val="false"/>
                <w:iCs w:val="false"/>
                <w:color w:val="8C6722"/>
                <w:sz w:val="20"/>
                <w:szCs w:val="20"/>
              </w:rPr>
              <w:t xml:space="preserve">100%</w:t>
            </w:r>
          </w:p>
        </w:tc>
        <w:tc>
          <w:tcPr>
            <w:tcW w:type="dxa" w:w="13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w:t>
            </w:r>
          </w:p>
        </w:tc>
      </w:tr>
      <w:tr>
        <w:tc>
          <w:tcPr>
            <w:tcW w:type="dxa" w:w="17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TIER B — Event Thematic (Band / DJ Lokal / Reguler)</w:t>
            </w:r>
          </w:p>
        </w:tc>
        <w:tc>
          <w:tcPr>
            <w:tcW w:type="dxa" w:w="25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Live band lokal, DJ reguler, tema mingguan rutin</w:t>
            </w:r>
          </w:p>
        </w:tc>
        <w:tc>
          <w:tcPr>
            <w:tcW w:type="dxa" w:w="23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Hanya selama jam event berlangsung</w:t>
            </w:r>
          </w:p>
        </w:tc>
        <w:tc>
          <w:tcPr>
            <w:tcW w:type="dxa" w:w="12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center"/>
            </w:pPr>
            <w:r>
              <w:rPr>
                <w:rFonts w:ascii="Inter" w:cs="Inter" w:eastAsia="Inter" w:hAnsi="Inter"/>
                <w:b/>
                <w:bCs/>
                <w:i w:val="false"/>
                <w:iCs w:val="false"/>
                <w:color w:val="8C6722"/>
                <w:sz w:val="20"/>
                <w:szCs w:val="20"/>
              </w:rPr>
              <w:t xml:space="preserve">50%</w:t>
            </w:r>
          </w:p>
        </w:tc>
        <w:tc>
          <w:tcPr>
            <w:tcW w:type="dxa" w:w="1326"/>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50% Cashier / Operasional</w:t>
            </w:r>
          </w:p>
        </w:tc>
      </w:tr>
      <w:tr>
        <w:tc>
          <w:tcPr>
            <w:tcW w:type="dxa" w:w="1700"/>
            <w:tcBorders>
              <w:top w:val="single" w:color="D9CFB8" w:sz="2"/>
              <w:left w:val="single" w:color="D9CFB8" w:sz="2"/>
              <w:bottom w:val="single" w:color="D9CFB8" w:sz="2"/>
              <w:right w:val="single" w:color="D9CFB8" w:sz="2"/>
            </w:tcBorders>
            <w:shd w:fill="EDE3CF"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TIER C — Komunitas / Sekolah / Daytime</w:t>
            </w:r>
          </w:p>
        </w:tc>
        <w:tc>
          <w:tcPr>
            <w:tcW w:type="dxa" w:w="25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Acara komunitas, sekolah, gathering pagi/siang/sore</w:t>
            </w:r>
          </w:p>
        </w:tc>
        <w:tc>
          <w:tcPr>
            <w:tcW w:type="dxa" w:w="23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Hanya selama jam event berlangsung</w:t>
            </w:r>
          </w:p>
        </w:tc>
        <w:tc>
          <w:tcPr>
            <w:tcW w:type="dxa" w:w="12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bCs/>
                <w:i w:val="false"/>
                <w:iCs w:val="false"/>
                <w:color w:val="8C6722"/>
                <w:sz w:val="20"/>
                <w:szCs w:val="20"/>
              </w:rPr>
              <w:t xml:space="preserve">100%</w:t>
            </w:r>
          </w:p>
        </w:tc>
        <w:tc>
          <w:tcPr>
            <w:tcW w:type="dxa" w:w="13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Di luar jam event → Operasional</w:t>
            </w:r>
          </w:p>
        </w:tc>
      </w:tr>
      <w:tr>
        <w:tc>
          <w:tcPr>
            <w:tcW w:type="dxa" w:w="17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WALK-IN / Non-Event</w:t>
            </w:r>
          </w:p>
        </w:tc>
        <w:tc>
          <w:tcPr>
            <w:tcW w:type="dxa" w:w="25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Hari reguler tanpa event terjadwal</w:t>
            </w:r>
          </w:p>
        </w:tc>
        <w:tc>
          <w:tcPr>
            <w:tcW w:type="dxa" w:w="23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w:t>
            </w:r>
          </w:p>
        </w:tc>
        <w:tc>
          <w:tcPr>
            <w:tcW w:type="dxa" w:w="12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0%</w:t>
            </w:r>
          </w:p>
        </w:tc>
        <w:tc>
          <w:tcPr>
            <w:tcW w:type="dxa" w:w="1326"/>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Operasional (floor)</w:t>
            </w:r>
          </w:p>
        </w:tc>
      </w:tr>
      <w:tr>
        <w:tc>
          <w:tcPr>
            <w:tcW w:type="dxa" w:w="1700"/>
            <w:tcBorders>
              <w:top w:val="single" w:color="D9CFB8" w:sz="2"/>
              <w:left w:val="single" w:color="D9CFB8" w:sz="2"/>
              <w:bottom w:val="single" w:color="D9CFB8" w:sz="2"/>
              <w:right w:val="single" w:color="D9CFB8" w:sz="2"/>
            </w:tcBorders>
            <w:shd w:fill="EDE3CF"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CORPORATE / Reservasi</w:t>
            </w:r>
          </w:p>
        </w:tc>
        <w:tc>
          <w:tcPr>
            <w:tcW w:type="dxa" w:w="25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Reservasi korporat, booking instansi, MICE</w:t>
            </w:r>
          </w:p>
        </w:tc>
        <w:tc>
          <w:tcPr>
            <w:tcW w:type="dxa" w:w="23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Sesuai durasi booking</w:t>
            </w:r>
          </w:p>
        </w:tc>
        <w:tc>
          <w:tcPr>
            <w:tcW w:type="dxa" w:w="12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0%</w:t>
            </w:r>
          </w:p>
        </w:tc>
        <w:tc>
          <w:tcPr>
            <w:tcW w:type="dxa" w:w="13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Marketing PIC (selalu carve-out)</w:t>
            </w:r>
          </w:p>
        </w:tc>
      </w:tr>
    </w:tbl>
    <w:p>
      <w:pPr>
        <w:spacing w:after="0" w:before="100"/>
      </w:pPr>
      <w:r>
        <w:rPr>
          <w:rFonts w:ascii="Inter" w:cs="Inter" w:eastAsia="Inter" w:hAnsi="Inter"/>
          <w:i/>
          <w:iCs/>
          <w:color w:val="5B5247"/>
          <w:sz w:val="18"/>
          <w:szCs w:val="18"/>
        </w:rPr>
        <w:t xml:space="preserve">Catatan: omzet Corporate/Reservasi selalu di-carve-out lebih dulu dan menjadi hak Marketing PIC, di kategori event mana pun.</w:t>
      </w:r>
    </w:p>
    <w:p>
      <w:pPr>
        <w:pStyle w:val="Heading2"/>
      </w:pPr>
      <w:r>
        <w:t xml:space="preserve">2.1  Aturan Pengakuan per Tier</w:t>
      </w:r>
    </w:p>
    <w:p>
      <w:pPr>
        <w:pStyle w:val="ListParagraph"/>
        <w:numPr>
          <w:ilvl w:val="0"/>
          <w:numId w:val="3"/>
        </w:numPr>
        <w:spacing w:after="110" w:line="276"/>
      </w:pPr>
      <w:r>
        <w:rPr>
          <w:rFonts w:ascii="Inter" w:cs="Inter" w:eastAsia="Inter" w:hAnsi="Inter"/>
          <w:b/>
          <w:bCs/>
          <w:color w:val="0F1419"/>
          <w:sz w:val="21"/>
          <w:szCs w:val="21"/>
        </w:rPr>
        <w:t xml:space="preserve">Tier A — Konser / Artis Luar Riau. </w:t>
      </w:r>
      <w:r>
        <w:rPr>
          <w:rFonts w:ascii="Inter" w:cs="Inter" w:eastAsia="Inter" w:hAnsi="Inter"/>
          <w:color w:val="0F1419"/>
          <w:sz w:val="21"/>
          <w:szCs w:val="21"/>
        </w:rPr>
        <w:t xml:space="preserve">Bila menghadirkan konser atau artis dari luar Riau, omzet sepanjang hari tersebut diakui penuh (100%) sebagai pendapatan Tim Event.</w:t>
      </w:r>
    </w:p>
    <w:p>
      <w:pPr>
        <w:pStyle w:val="ListParagraph"/>
        <w:numPr>
          <w:ilvl w:val="0"/>
          <w:numId w:val="3"/>
        </w:numPr>
        <w:spacing w:after="110" w:line="276"/>
      </w:pPr>
      <w:r>
        <w:rPr>
          <w:rFonts w:ascii="Inter" w:cs="Inter" w:eastAsia="Inter" w:hAnsi="Inter"/>
          <w:b/>
          <w:bCs/>
          <w:color w:val="0F1419"/>
          <w:sz w:val="21"/>
          <w:szCs w:val="21"/>
        </w:rPr>
        <w:t xml:space="preserve">Tier B — Event Thematic (band / DJ lokal / reguler). </w:t>
      </w:r>
      <w:r>
        <w:rPr>
          <w:rFonts w:ascii="Inter" w:cs="Inter" w:eastAsia="Inter" w:hAnsi="Inter"/>
          <w:color w:val="0F1419"/>
          <w:sz w:val="21"/>
          <w:szCs w:val="21"/>
        </w:rPr>
        <w:t xml:space="preserve">Omzet hanya diakui selama jam event berlangsung, lalu dibagi dua: 50% untuk Tim Event dan 50% untuk Tim Cashier/Operasional. Tidak diakui penuh sebagai omzet Tim Event.</w:t>
      </w:r>
    </w:p>
    <w:p>
      <w:pPr>
        <w:pStyle w:val="ListParagraph"/>
        <w:numPr>
          <w:ilvl w:val="0"/>
          <w:numId w:val="3"/>
        </w:numPr>
        <w:spacing w:after="110" w:line="276"/>
      </w:pPr>
      <w:r>
        <w:rPr>
          <w:rFonts w:ascii="Inter" w:cs="Inter" w:eastAsia="Inter" w:hAnsi="Inter"/>
          <w:b/>
          <w:bCs/>
          <w:color w:val="0F1419"/>
          <w:sz w:val="21"/>
          <w:szCs w:val="21"/>
        </w:rPr>
        <w:t xml:space="preserve">Tier C — Komunitas / Sekolah / Daytime (pagi–siang–sore). </w:t>
      </w:r>
      <w:r>
        <w:rPr>
          <w:rFonts w:ascii="Inter" w:cs="Inter" w:eastAsia="Inter" w:hAnsi="Inter"/>
          <w:color w:val="0F1419"/>
          <w:sz w:val="21"/>
          <w:szCs w:val="21"/>
        </w:rPr>
        <w:t xml:space="preserve">Masuk target Tim Event hanya selama event berlangsung — bukan sepanjang hari. Omzet di luar jam event menjadi milik Operasional.</w:t>
      </w:r>
    </w:p>
    <w:p>
      <w:pPr>
        <w:pStyle w:val="Heading2"/>
      </w:pPr>
      <w:r>
        <w:t xml:space="preserve">2.2  Contoh Penerapan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E3CF" w:sz="2"/>
              <w:left w:val="single" w:color="B8893A" w:sz="18"/>
              <w:bottom w:val="single" w:color="EDE3CF" w:sz="2"/>
              <w:right w:val="single" w:color="EDE3CF" w:sz="2"/>
            </w:tcBorders>
            <w:shd w:fill="F6F1E7" w:val="clear"/>
            <w:tcMar>
              <w:top w:type="dxa" w:w="120"/>
              <w:left w:type="dxa" w:w="200"/>
              <w:bottom w:type="dxa" w:w="120"/>
              <w:right w:type="dxa" w:w="160"/>
            </w:tcMar>
          </w:tcPr>
          <w:p>
            <w:pPr>
              <w:spacing w:after="60"/>
            </w:pPr>
            <w:r>
              <w:rPr>
                <w:rFonts w:ascii="Inter" w:cs="Inter" w:eastAsia="Inter" w:hAnsi="Inter"/>
                <w:b/>
                <w:bCs/>
                <w:color w:val="8C6722"/>
                <w:sz w:val="19"/>
                <w:szCs w:val="19"/>
              </w:rPr>
              <w:t xml:space="preserve">Contoh Tier A — Konser artis nasional (Sabtu)</w:t>
            </w:r>
          </w:p>
          <w:p>
            <w:pPr>
              <w:spacing w:after="40" w:line="264"/>
            </w:pPr>
            <w:r>
              <w:rPr>
                <w:rFonts w:ascii="Inter" w:cs="Inter" w:eastAsia="Inter" w:hAnsi="Inter"/>
                <w:color w:val="0F1419"/>
                <w:sz w:val="19"/>
                <w:szCs w:val="19"/>
              </w:rPr>
              <w:t xml:space="preserve">Venue buka 10.00–closing. Total omzet hari itu Rp 80 juta nett.</w:t>
            </w:r>
          </w:p>
          <w:p>
            <w:pPr>
              <w:spacing w:after="40" w:line="264"/>
            </w:pPr>
            <w:r>
              <w:rPr>
                <w:rFonts w:ascii="Inter" w:cs="Inter" w:eastAsia="Inter" w:hAnsi="Inter"/>
                <w:color w:val="0F1419"/>
                <w:sz w:val="19"/>
                <w:szCs w:val="19"/>
              </w:rPr>
              <w:t xml:space="preserve">Diakui Tim Event: Rp 80 juta (100% sepanjang hari).</w:t>
            </w:r>
          </w:p>
          <w:p>
            <w:pPr>
              <w:spacing w:after="40" w:line="264"/>
            </w:pPr>
            <w:r>
              <w:rPr>
                <w:rFonts w:ascii="Inter" w:cs="Inter" w:eastAsia="Inter" w:hAnsi="Inter"/>
                <w:color w:val="0F1419"/>
                <w:sz w:val="19"/>
                <w:szCs w:val="19"/>
              </w:rPr>
              <w:t xml:space="preserve">→ Masuk skema bonus per event di tier &gt; Rp 56 juta → Rp 500.000/orang + voucher.</w:t>
            </w:r>
          </w:p>
        </w:tc>
      </w:tr>
    </w:tbl>
    <w:p>
      <w:pPr>
        <w:spacing w:after="8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E3CF" w:sz="2"/>
              <w:left w:val="single" w:color="B8893A" w:sz="18"/>
              <w:bottom w:val="single" w:color="EDE3CF" w:sz="2"/>
              <w:right w:val="single" w:color="EDE3CF" w:sz="2"/>
            </w:tcBorders>
            <w:shd w:fill="F6F1E7" w:val="clear"/>
            <w:tcMar>
              <w:top w:type="dxa" w:w="120"/>
              <w:left w:type="dxa" w:w="200"/>
              <w:bottom w:type="dxa" w:w="120"/>
              <w:right w:type="dxa" w:w="160"/>
            </w:tcMar>
          </w:tcPr>
          <w:p>
            <w:pPr>
              <w:spacing w:after="60"/>
            </w:pPr>
            <w:r>
              <w:rPr>
                <w:rFonts w:ascii="Inter" w:cs="Inter" w:eastAsia="Inter" w:hAnsi="Inter"/>
                <w:b/>
                <w:bCs/>
                <w:color w:val="8C6722"/>
                <w:sz w:val="19"/>
                <w:szCs w:val="19"/>
              </w:rPr>
              <w:t xml:space="preserve">Contoh Tier B — Live band lokal (Jumat, 20.00–23.00)</w:t>
            </w:r>
          </w:p>
          <w:p>
            <w:pPr>
              <w:spacing w:after="40" w:line="264"/>
            </w:pPr>
            <w:r>
              <w:rPr>
                <w:rFonts w:ascii="Inter" w:cs="Inter" w:eastAsia="Inter" w:hAnsi="Inter"/>
                <w:color w:val="0F1419"/>
                <w:sz w:val="19"/>
                <w:szCs w:val="19"/>
              </w:rPr>
              <w:t xml:space="preserve">Total omzet hari itu Rp 40 juta; di dalam jam event (20.00–23.00) terjadi Rp 28 juta.</w:t>
            </w:r>
          </w:p>
          <w:p>
            <w:pPr>
              <w:spacing w:after="40" w:line="264"/>
            </w:pPr>
            <w:r>
              <w:rPr>
                <w:rFonts w:ascii="Inter" w:cs="Inter" w:eastAsia="Inter" w:hAnsi="Inter"/>
                <w:color w:val="0F1419"/>
                <w:sz w:val="19"/>
                <w:szCs w:val="19"/>
              </w:rPr>
              <w:t xml:space="preserve">Diakui untuk perhitungan event: Rp 28 juta → dibagi 2.</w:t>
            </w:r>
          </w:p>
          <w:p>
            <w:pPr>
              <w:spacing w:after="40" w:line="264"/>
            </w:pPr>
            <w:r>
              <w:rPr>
                <w:rFonts w:ascii="Inter" w:cs="Inter" w:eastAsia="Inter" w:hAnsi="Inter"/>
                <w:color w:val="0F1419"/>
                <w:sz w:val="19"/>
                <w:szCs w:val="19"/>
              </w:rPr>
              <w:t xml:space="preserve">→ Tim Event: Rp 14 juta  ·  Cashier/Operasional: Rp 14 juta.</w:t>
            </w:r>
          </w:p>
          <w:p>
            <w:pPr>
              <w:spacing w:after="40" w:line="264"/>
            </w:pPr>
            <w:r>
              <w:rPr>
                <w:rFonts w:ascii="Inter" w:cs="Inter" w:eastAsia="Inter" w:hAnsi="Inter"/>
                <w:color w:val="0F1419"/>
                <w:sz w:val="19"/>
                <w:szCs w:val="19"/>
              </w:rPr>
              <w:t xml:space="preserve">Yang dihitung ke threshold bonus Tim Event adalah Rp 14 juta.</w:t>
            </w:r>
          </w:p>
        </w:tc>
      </w:tr>
    </w:tbl>
    <w:p>
      <w:pPr>
        <w:spacing w:after="8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E3CF" w:sz="2"/>
              <w:left w:val="single" w:color="B8893A" w:sz="18"/>
              <w:bottom w:val="single" w:color="EDE3CF" w:sz="2"/>
              <w:right w:val="single" w:color="EDE3CF" w:sz="2"/>
            </w:tcBorders>
            <w:shd w:fill="F6F1E7" w:val="clear"/>
            <w:tcMar>
              <w:top w:type="dxa" w:w="120"/>
              <w:left w:type="dxa" w:w="200"/>
              <w:bottom w:type="dxa" w:w="120"/>
              <w:right w:type="dxa" w:w="160"/>
            </w:tcMar>
          </w:tcPr>
          <w:p>
            <w:pPr>
              <w:spacing w:after="60"/>
            </w:pPr>
            <w:r>
              <w:rPr>
                <w:rFonts w:ascii="Inter" w:cs="Inter" w:eastAsia="Inter" w:hAnsi="Inter"/>
                <w:b/>
                <w:bCs/>
                <w:color w:val="8C6722"/>
                <w:sz w:val="19"/>
                <w:szCs w:val="19"/>
              </w:rPr>
              <w:t xml:space="preserve">Contoh Tier C — Acara komunitas (Minggu, 13.00–17.00)</w:t>
            </w:r>
          </w:p>
          <w:p>
            <w:pPr>
              <w:spacing w:after="40" w:line="264"/>
            </w:pPr>
            <w:r>
              <w:rPr>
                <w:rFonts w:ascii="Inter" w:cs="Inter" w:eastAsia="Inter" w:hAnsi="Inter"/>
                <w:color w:val="0F1419"/>
                <w:sz w:val="19"/>
                <w:szCs w:val="19"/>
              </w:rPr>
              <w:t xml:space="preserve">Omzet selama 13.00–17.00 = Rp 12 juta → diakui penuh untuk Tim Event (window event).</w:t>
            </w:r>
          </w:p>
          <w:p>
            <w:pPr>
              <w:spacing w:after="40" w:line="264"/>
            </w:pPr>
            <w:r>
              <w:rPr>
                <w:rFonts w:ascii="Inter" w:cs="Inter" w:eastAsia="Inter" w:hAnsi="Inter"/>
                <w:color w:val="0F1419"/>
                <w:sz w:val="19"/>
                <w:szCs w:val="19"/>
              </w:rPr>
              <w:t xml:space="preserve">Omzet pagi dan malam di luar jam tersebut tidak masuk hitungan Tim Event (milik Operasional).</w:t>
            </w:r>
          </w:p>
        </w:tc>
      </w:tr>
    </w:tbl>
    <w:p>
      <w:r>
        <w:br w:type="page"/>
      </w:r>
    </w:p>
    <w:p>
      <w:pPr>
        <w:pStyle w:val="Heading1"/>
      </w:pPr>
      <w:r>
        <w:t xml:space="preserve">3. Skema Bonus per Event</w:t>
      </w:r>
    </w:p>
    <w:p>
      <w:pPr>
        <w:spacing w:after="120" w:line="276"/>
      </w:pPr>
      <w:r>
        <w:rPr>
          <w:rFonts w:ascii="Inter" w:cs="Inter" w:eastAsia="Inter" w:hAnsi="Inter"/>
          <w:color w:val="0F1419"/>
          <w:sz w:val="21"/>
          <w:szCs w:val="21"/>
        </w:rPr>
        <w:t xml:space="preserve">Dihitung dari omzet F&amp;B yang diakui untuk Tim Event (sesuai aturan tier di Bagian 2). Bonus per orang berlaku untuk crew yang bertugas pada event tersebut.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26"/>
      </w:tblGrid>
      <w:tr>
        <w:trPr>
          <w:tblHeader/>
        </w:trPr>
        <w:tc>
          <w:tcPr>
            <w:tcW w:type="dxa" w:w="36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Omzet F&amp;B per Event (nett)</w:t>
            </w:r>
          </w:p>
        </w:tc>
        <w:tc>
          <w:tcPr>
            <w:tcW w:type="dxa" w:w="30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Bonus / Orang</w:t>
            </w:r>
          </w:p>
        </w:tc>
        <w:tc>
          <w:tcPr>
            <w:tcW w:type="dxa" w:w="2426"/>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Voucher F&amp;B (tambahan)</w:t>
            </w:r>
          </w:p>
        </w:tc>
      </w:tr>
      <w:tr>
        <w:tc>
          <w:tcPr>
            <w:tcW w:type="dxa" w:w="36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&lt; Rp 35 juta</w:t>
            </w:r>
          </w:p>
        </w:tc>
        <w:tc>
          <w:tcPr>
            <w:tcW w:type="dxa" w:w="3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Tidak ada bonus (standar kerja)</w:t>
            </w:r>
          </w:p>
        </w:tc>
        <w:tc>
          <w:tcPr>
            <w:tcW w:type="dxa" w:w="24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w:t>
            </w:r>
          </w:p>
        </w:tc>
      </w:tr>
      <w:tr>
        <w:tc>
          <w:tcPr>
            <w:tcW w:type="dxa" w:w="36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Rp 35 juta – Rp 45 juta</w:t>
            </w:r>
          </w:p>
        </w:tc>
        <w:tc>
          <w:tcPr>
            <w:tcW w:type="dxa" w:w="30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300.000 / orang</w:t>
            </w:r>
          </w:p>
        </w:tc>
        <w:tc>
          <w:tcPr>
            <w:tcW w:type="dxa" w:w="2426"/>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Rp 100.000 (di atas Rp 30 jt)</w:t>
            </w:r>
          </w:p>
        </w:tc>
      </w:tr>
      <w:tr>
        <w:tc>
          <w:tcPr>
            <w:tcW w:type="dxa" w:w="36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Rp 46 juta – Rp 55 juta</w:t>
            </w:r>
          </w:p>
        </w:tc>
        <w:tc>
          <w:tcPr>
            <w:tcW w:type="dxa" w:w="3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400.000 / orang</w:t>
            </w:r>
          </w:p>
        </w:tc>
        <w:tc>
          <w:tcPr>
            <w:tcW w:type="dxa" w:w="24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Rp 100.000 (di atas Rp 30 jt)</w:t>
            </w:r>
          </w:p>
        </w:tc>
      </w:tr>
      <w:tr>
        <w:tc>
          <w:tcPr>
            <w:tcW w:type="dxa" w:w="36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Rp 56 juta – Rp 100 juta</w:t>
            </w:r>
          </w:p>
        </w:tc>
        <w:tc>
          <w:tcPr>
            <w:tcW w:type="dxa" w:w="30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500.000 / orang</w:t>
            </w:r>
          </w:p>
        </w:tc>
        <w:tc>
          <w:tcPr>
            <w:tcW w:type="dxa" w:w="2426"/>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Rp 150.000 (di atas Rp 56 jt)</w:t>
            </w:r>
          </w:p>
        </w:tc>
      </w:tr>
      <w:tr>
        <w:tc>
          <w:tcPr>
            <w:tcW w:type="dxa" w:w="36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&gt; Rp 100 juta</w:t>
            </w:r>
          </w:p>
        </w:tc>
        <w:tc>
          <w:tcPr>
            <w:tcW w:type="dxa" w:w="3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bCs/>
                <w:i w:val="false"/>
                <w:iCs w:val="false"/>
                <w:color w:val="8C6722"/>
                <w:sz w:val="20"/>
                <w:szCs w:val="20"/>
              </w:rPr>
              <w:t xml:space="preserve">Rp 1.000.000 / orang</w:t>
            </w:r>
          </w:p>
        </w:tc>
        <w:tc>
          <w:tcPr>
            <w:tcW w:type="dxa" w:w="24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center"/>
            </w:pPr>
            <w:r>
              <w:rPr>
                <w:rFonts w:ascii="Inter" w:cs="Inter" w:eastAsia="Inter" w:hAnsi="Inter"/>
                <w:b w:val="false"/>
                <w:bCs w:val="false"/>
                <w:i w:val="false"/>
                <w:iCs w:val="false"/>
                <w:color w:val="0F1419"/>
                <w:sz w:val="20"/>
                <w:szCs w:val="20"/>
              </w:rPr>
              <w:t xml:space="preserve">Rp 250.000 (di atas Rp 100 jt)</w:t>
            </w:r>
          </w:p>
        </w:tc>
      </w:tr>
    </w:tbl>
    <w:p>
      <w:pPr>
        <w:spacing w:after="0" w:before="100"/>
      </w:pPr>
      <w:r>
        <w:rPr>
          <w:rFonts w:ascii="Inter" w:cs="Inter" w:eastAsia="Inter" w:hAnsi="Inter"/>
          <w:i/>
          <w:iCs/>
          <w:color w:val="5B5247"/>
          <w:sz w:val="18"/>
          <w:szCs w:val="18"/>
        </w:rPr>
        <w:t xml:space="preserve">Laporan event diserahkan maksimal 7–14 hari setelah event selesai; bonus dicairkan pada periode gajian. Seluruh angka nett (sebelum tax &amp; service).</w:t>
      </w:r>
    </w:p>
    <w:p>
      <w:pPr>
        <w:pStyle w:val="Heading1"/>
      </w:pPr>
      <w:r>
        <w:t xml:space="preserve">4. Bonus Target Bulanan (Volume Event)</w:t>
      </w:r>
    </w:p>
    <w:p>
      <w:pPr>
        <w:spacing w:after="120" w:line="276"/>
      </w:pPr>
      <w:r>
        <w:rPr>
          <w:rFonts w:ascii="Inter" w:cs="Inter" w:eastAsia="Inter" w:hAnsi="Inter"/>
          <w:color w:val="0F1419"/>
          <w:sz w:val="21"/>
          <w:szCs w:val="21"/>
        </w:rPr>
        <w:t xml:space="preserve">Apresiasi atas konsistensi tim menjalankan program rutin. Hanya event yang disetujui Direktur Utama (dengan proposal + konsep) yang dihitung.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Jumlah Event Internal / Kolaborasi per Bulan</w:t>
            </w:r>
          </w:p>
        </w:tc>
        <w:tc>
          <w:tcPr>
            <w:tcW w:type="dxa" w:w="40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Bonus Tim (dibagi rata)</w:t>
            </w:r>
          </w:p>
        </w:tc>
      </w:tr>
      <w:tr>
        <w:tc>
          <w:tcPr>
            <w:tcW w:type="dxa" w:w="50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8 event</w:t>
            </w:r>
          </w:p>
        </w:tc>
        <w:tc>
          <w:tcPr>
            <w:tcW w:type="dxa" w:w="4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Tidak ada bonus (standar kerja)</w:t>
            </w:r>
          </w:p>
        </w:tc>
      </w:tr>
      <w:tr>
        <w:tc>
          <w:tcPr>
            <w:tcW w:type="dxa" w:w="5026"/>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10 event</w:t>
            </w:r>
          </w:p>
        </w:tc>
        <w:tc>
          <w:tcPr>
            <w:tcW w:type="dxa" w:w="40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200.000</w:t>
            </w:r>
          </w:p>
        </w:tc>
      </w:tr>
      <w:tr>
        <w:tc>
          <w:tcPr>
            <w:tcW w:type="dxa" w:w="50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12 event</w:t>
            </w:r>
          </w:p>
        </w:tc>
        <w:tc>
          <w:tcPr>
            <w:tcW w:type="dxa" w:w="4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bCs/>
                <w:i w:val="false"/>
                <w:iCs w:val="false"/>
                <w:color w:val="8C6722"/>
                <w:sz w:val="20"/>
                <w:szCs w:val="20"/>
              </w:rPr>
              <w:t xml:space="preserve">Rp 500.000</w:t>
            </w:r>
          </w:p>
        </w:tc>
      </w:tr>
    </w:tbl>
    <w:p>
      <w:pPr>
        <w:spacing w:after="0" w:before="100"/>
      </w:pPr>
      <w:r>
        <w:rPr>
          <w:rFonts w:ascii="Inter" w:cs="Inter" w:eastAsia="Inter" w:hAnsi="Inter"/>
          <w:i/>
          <w:iCs/>
          <w:color w:val="5B5247"/>
          <w:sz w:val="18"/>
          <w:szCs w:val="18"/>
        </w:rPr>
        <w:t xml:space="preserve">Event harus disetujui Direktur Utama — wajib melampirkan proposal + konsep.</w:t>
      </w:r>
    </w:p>
    <w:p>
      <w:pPr>
        <w:pStyle w:val="Heading1"/>
      </w:pPr>
      <w:r>
        <w:t xml:space="preserve">5. Insentif Non-Tunai</w:t>
      </w:r>
    </w:p>
    <w:p>
      <w:pPr>
        <w:pStyle w:val="ListParagraph"/>
        <w:numPr>
          <w:ilvl w:val="0"/>
          <w:numId w:val="2"/>
        </w:numPr>
        <w:spacing w:after="90" w:line="270"/>
      </w:pPr>
      <w:r>
        <w:rPr>
          <w:rFonts w:ascii="Inter" w:cs="Inter" w:eastAsia="Inter" w:hAnsi="Inter"/>
          <w:b/>
          <w:bCs/>
          <w:color w:val="0F1419"/>
          <w:sz w:val="21"/>
          <w:szCs w:val="21"/>
        </w:rPr>
        <w:t xml:space="preserve">Voucher F&amp;B Laksamana Rp 100.000 </w:t>
      </w:r>
      <w:r>
        <w:rPr>
          <w:rFonts w:ascii="Inter" w:cs="Inter" w:eastAsia="Inter" w:hAnsi="Inter"/>
          <w:color w:val="0F1419"/>
          <w:sz w:val="21"/>
          <w:szCs w:val="21"/>
        </w:rPr>
        <w:t xml:space="preserve">untuk setiap event di atas Rp 30 juta.</w:t>
      </w:r>
    </w:p>
    <w:p>
      <w:pPr>
        <w:pStyle w:val="ListParagraph"/>
        <w:numPr>
          <w:ilvl w:val="0"/>
          <w:numId w:val="2"/>
        </w:numPr>
        <w:spacing w:after="90" w:line="270"/>
      </w:pPr>
      <w:r>
        <w:rPr>
          <w:rFonts w:ascii="Inter" w:cs="Inter" w:eastAsia="Inter" w:hAnsi="Inter"/>
          <w:b/>
          <w:bCs/>
          <w:color w:val="0F1419"/>
          <w:sz w:val="21"/>
          <w:szCs w:val="21"/>
        </w:rPr>
        <w:t xml:space="preserve">Voucher F&amp;B Laksamana Rp 150.000 </w:t>
      </w:r>
      <w:r>
        <w:rPr>
          <w:rFonts w:ascii="Inter" w:cs="Inter" w:eastAsia="Inter" w:hAnsi="Inter"/>
          <w:color w:val="0F1419"/>
          <w:sz w:val="21"/>
          <w:szCs w:val="21"/>
        </w:rPr>
        <w:t xml:space="preserve">untuk setiap event di atas Rp 56 juta.</w:t>
      </w:r>
    </w:p>
    <w:p>
      <w:pPr>
        <w:pStyle w:val="ListParagraph"/>
        <w:numPr>
          <w:ilvl w:val="0"/>
          <w:numId w:val="2"/>
        </w:numPr>
        <w:spacing w:after="90" w:line="270"/>
      </w:pPr>
      <w:r>
        <w:rPr>
          <w:rFonts w:ascii="Inter" w:cs="Inter" w:eastAsia="Inter" w:hAnsi="Inter"/>
          <w:b/>
          <w:bCs/>
          <w:color w:val="0F1419"/>
          <w:sz w:val="21"/>
          <w:szCs w:val="21"/>
        </w:rPr>
        <w:t xml:space="preserve">Voucher F&amp;B Laksamana Rp 250.000 </w:t>
      </w:r>
      <w:r>
        <w:rPr>
          <w:rFonts w:ascii="Inter" w:cs="Inter" w:eastAsia="Inter" w:hAnsi="Inter"/>
          <w:color w:val="0F1419"/>
          <w:sz w:val="21"/>
          <w:szCs w:val="21"/>
        </w:rPr>
        <w:t xml:space="preserve">untuk setiap event di atas Rp 100 juta.</w:t>
      </w:r>
    </w:p>
    <w:p>
      <w:pPr>
        <w:pStyle w:val="ListParagraph"/>
        <w:numPr>
          <w:ilvl w:val="0"/>
          <w:numId w:val="2"/>
        </w:numPr>
        <w:spacing w:after="90" w:line="270"/>
      </w:pPr>
      <w:r>
        <w:rPr>
          <w:rFonts w:ascii="Inter" w:cs="Inter" w:eastAsia="Inter" w:hAnsi="Inter"/>
          <w:b/>
          <w:bCs/>
          <w:color w:val="0F1419"/>
          <w:sz w:val="21"/>
          <w:szCs w:val="21"/>
        </w:rPr>
        <w:t xml:space="preserve">1 hari cuti tambahan </w:t>
      </w:r>
      <w:r>
        <w:rPr>
          <w:rFonts w:ascii="Inter" w:cs="Inter" w:eastAsia="Inter" w:hAnsi="Inter"/>
          <w:color w:val="0F1419"/>
          <w:sz w:val="21"/>
          <w:szCs w:val="21"/>
        </w:rPr>
        <w:t xml:space="preserve">per 3 event besar (&gt; Rp 50 juta) dalam satu bulan. Cuti berlaku akumulatif selama 1 tahun.</w:t>
      </w:r>
    </w:p>
    <w:p>
      <w:pPr>
        <w:pStyle w:val="Heading1"/>
      </w:pPr>
      <w:r>
        <w:t xml:space="preserve">6. Bonus Omzet Bulanan (Marketing PIC)</w:t>
      </w:r>
    </w:p>
    <w:p>
      <w:pPr>
        <w:spacing w:after="120" w:line="276"/>
      </w:pPr>
      <w:r>
        <w:rPr>
          <w:rFonts w:ascii="Inter" w:cs="Inter" w:eastAsia="Inter" w:hAnsi="Inter"/>
          <w:color w:val="0F1419"/>
          <w:sz w:val="21"/>
          <w:szCs w:val="21"/>
        </w:rPr>
        <w:t xml:space="preserve">Dihitung berdasarkan total omzet event yang ditangani oleh PIC Marketing dalam satu bulan. Berlaku untuk PIC yang menghandle event/klien, terpisah dari bonus per event Tim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Total Omzet Event / Bulan (nett, per PIC)</w:t>
            </w:r>
          </w:p>
        </w:tc>
        <w:tc>
          <w:tcPr>
            <w:tcW w:type="dxa" w:w="4000"/>
            <w:tcBorders>
              <w:top w:val="single" w:color="D9CFB8" w:sz="2"/>
              <w:left w:val="single" w:color="D9CFB8" w:sz="2"/>
              <w:bottom w:val="single" w:color="D9CFB8" w:sz="2"/>
              <w:right w:val="single" w:color="D9CFB8" w:sz="2"/>
            </w:tcBorders>
            <w:shd w:fill="0F1419"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FFFFFF"/>
                <w:sz w:val="19"/>
                <w:szCs w:val="19"/>
              </w:rPr>
              <w:t xml:space="preserve">Bonus Marketing PIC</w:t>
            </w:r>
          </w:p>
        </w:tc>
      </w:tr>
      <w:tr>
        <w:tc>
          <w:tcPr>
            <w:tcW w:type="dxa" w:w="50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Rp 150 juta – Rp 200 juta</w:t>
            </w:r>
          </w:p>
        </w:tc>
        <w:tc>
          <w:tcPr>
            <w:tcW w:type="dxa" w:w="4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250.000</w:t>
            </w:r>
          </w:p>
        </w:tc>
      </w:tr>
      <w:tr>
        <w:tc>
          <w:tcPr>
            <w:tcW w:type="dxa" w:w="5026"/>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Rp 201 juta – Rp 250 juta</w:t>
            </w:r>
          </w:p>
        </w:tc>
        <w:tc>
          <w:tcPr>
            <w:tcW w:type="dxa" w:w="40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350.000</w:t>
            </w:r>
          </w:p>
        </w:tc>
      </w:tr>
      <w:tr>
        <w:tc>
          <w:tcPr>
            <w:tcW w:type="dxa" w:w="50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Rp 251 juta – Rp 300 juta</w:t>
            </w:r>
          </w:p>
        </w:tc>
        <w:tc>
          <w:tcPr>
            <w:tcW w:type="dxa" w:w="4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500.000</w:t>
            </w:r>
          </w:p>
        </w:tc>
      </w:tr>
      <w:tr>
        <w:tc>
          <w:tcPr>
            <w:tcW w:type="dxa" w:w="5026"/>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Rp 301 juta – Rp 350 juta</w:t>
            </w:r>
          </w:p>
        </w:tc>
        <w:tc>
          <w:tcPr>
            <w:tcW w:type="dxa" w:w="4000"/>
            <w:tcBorders>
              <w:top w:val="single" w:color="D9CFB8" w:sz="2"/>
              <w:left w:val="single" w:color="D9CFB8" w:sz="2"/>
              <w:bottom w:val="single" w:color="D9CFB8" w:sz="2"/>
              <w:right w:val="single" w:color="D9CFB8" w:sz="2"/>
            </w:tcBorders>
            <w:shd w:fill="F6F1E7" w:val="clear"/>
            <w:tcMar>
              <w:top w:type="dxa" w:w="90"/>
              <w:left w:type="dxa" w:w="130"/>
              <w:bottom w:type="dxa" w:w="90"/>
              <w:right w:type="dxa" w:w="130"/>
            </w:tcMar>
            <w:vAlign w:val="center"/>
          </w:tcPr>
          <w:p>
            <w:pPr>
              <w:spacing w:line="252"/>
              <w:jc w:val="left"/>
            </w:pPr>
            <w:r>
              <w:rPr>
                <w:rFonts w:ascii="Inter" w:cs="Inter" w:eastAsia="Inter" w:hAnsi="Inter"/>
                <w:b/>
                <w:bCs/>
                <w:i w:val="false"/>
                <w:iCs w:val="false"/>
                <w:color w:val="0F1419"/>
                <w:sz w:val="20"/>
                <w:szCs w:val="20"/>
              </w:rPr>
              <w:t xml:space="preserve">Rp 700.000</w:t>
            </w:r>
          </w:p>
        </w:tc>
      </w:tr>
      <w:tr>
        <w:tc>
          <w:tcPr>
            <w:tcW w:type="dxa" w:w="5026"/>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val="false"/>
                <w:bCs w:val="false"/>
                <w:i w:val="false"/>
                <w:iCs w:val="false"/>
                <w:color w:val="0F1419"/>
                <w:sz w:val="20"/>
                <w:szCs w:val="20"/>
              </w:rPr>
              <w:t xml:space="preserve">&gt; Rp 350 juta</w:t>
            </w:r>
          </w:p>
        </w:tc>
        <w:tc>
          <w:tcPr>
            <w:tcW w:type="dxa" w:w="4000"/>
            <w:tcBorders>
              <w:top w:val="single" w:color="D9CFB8" w:sz="2"/>
              <w:left w:val="single" w:color="D9CFB8" w:sz="2"/>
              <w:bottom w:val="single" w:color="D9CFB8" w:sz="2"/>
              <w:right w:val="single" w:color="D9CFB8" w:sz="2"/>
            </w:tcBorders>
            <w:tcMar>
              <w:top w:type="dxa" w:w="90"/>
              <w:left w:type="dxa" w:w="130"/>
              <w:bottom w:type="dxa" w:w="90"/>
              <w:right w:type="dxa" w:w="130"/>
            </w:tcMar>
            <w:vAlign w:val="center"/>
          </w:tcPr>
          <w:p>
            <w:pPr>
              <w:spacing w:line="252"/>
              <w:jc w:val="left"/>
            </w:pPr>
            <w:r>
              <w:rPr>
                <w:rFonts w:ascii="Inter" w:cs="Inter" w:eastAsia="Inter" w:hAnsi="Inter"/>
                <w:b/>
                <w:bCs/>
                <w:i w:val="false"/>
                <w:iCs w:val="false"/>
                <w:color w:val="8C6722"/>
                <w:sz w:val="20"/>
                <w:szCs w:val="20"/>
              </w:rPr>
              <w:t xml:space="preserve">Rp 1.000.000</w:t>
            </w:r>
          </w:p>
        </w:tc>
      </w:tr>
    </w:tbl>
    <w:p>
      <w:pPr>
        <w:spacing w:after="0" w:before="100"/>
      </w:pPr>
      <w:r>
        <w:rPr>
          <w:rFonts w:ascii="Inter" w:cs="Inter" w:eastAsia="Inter" w:hAnsi="Inter"/>
          <w:i/>
          <w:iCs/>
          <w:color w:val="5B5247"/>
          <w:sz w:val="18"/>
          <w:szCs w:val="18"/>
        </w:rPr>
        <w:t xml:space="preserve">Dihitung per PIC yang menghandle event. Seluruh angka nett (sebelum tax &amp; service).</w:t>
      </w:r>
    </w:p>
    <w:p>
      <w:pPr>
        <w:pStyle w:val="Heading1"/>
      </w:pPr>
      <w:r>
        <w:t xml:space="preserve">7. Klaim &amp; Verifikasi</w:t>
      </w:r>
    </w:p>
    <w:p>
      <w:pPr>
        <w:spacing w:after="120" w:line="276"/>
      </w:pPr>
      <w:r>
        <w:rPr>
          <w:rFonts w:ascii="Inter" w:cs="Inter" w:eastAsia="Inter" w:hAnsi="Inter"/>
          <w:color w:val="0F1419"/>
          <w:sz w:val="21"/>
          <w:szCs w:val="21"/>
        </w:rPr>
        <w:t xml:space="preserve">Untuk setiap event (klien maupun internal), Tim Event wajib menempuh alur berikut sebelum bonus dapat dicairkan:</w:t>
      </w:r>
    </w:p>
    <w:p>
      <w:pPr>
        <w:pStyle w:val="ListParagraph"/>
        <w:numPr>
          <w:ilvl w:val="0"/>
          <w:numId w:val="3"/>
        </w:numPr>
        <w:spacing w:after="110" w:line="276"/>
      </w:pPr>
      <w:r>
        <w:rPr>
          <w:rFonts w:ascii="Inter" w:cs="Inter" w:eastAsia="Inter" w:hAnsi="Inter"/>
          <w:b/>
          <w:bCs/>
          <w:color w:val="0F1419"/>
          <w:sz w:val="21"/>
          <w:szCs w:val="21"/>
        </w:rPr>
        <w:t xml:space="preserve">Isi Laporan Event </w:t>
      </w:r>
      <w:r>
        <w:rPr>
          <w:rFonts w:ascii="Inter" w:cs="Inter" w:eastAsia="Inter" w:hAnsi="Inter"/>
          <w:color w:val="0F1419"/>
          <w:sz w:val="21"/>
          <w:szCs w:val="21"/>
        </w:rPr>
        <w:t xml:space="preserve">— rundown, jumlah crew, nilai omzet/event (beserta jam event untuk Tier B &amp; C), dan dokumentasi.</w:t>
      </w:r>
    </w:p>
    <w:p>
      <w:pPr>
        <w:pStyle w:val="ListParagraph"/>
        <w:numPr>
          <w:ilvl w:val="0"/>
          <w:numId w:val="3"/>
        </w:numPr>
        <w:spacing w:after="110" w:line="276"/>
      </w:pPr>
      <w:r>
        <w:rPr>
          <w:rFonts w:ascii="Inter" w:cs="Inter" w:eastAsia="Inter" w:hAnsi="Inter"/>
          <w:b/>
          <w:bCs/>
          <w:color w:val="0F1419"/>
          <w:sz w:val="21"/>
          <w:szCs w:val="21"/>
        </w:rPr>
        <w:t xml:space="preserve">Verifikasi </w:t>
      </w:r>
      <w:r>
        <w:rPr>
          <w:rFonts w:ascii="Inter" w:cs="Inter" w:eastAsia="Inter" w:hAnsi="Inter"/>
          <w:color w:val="0F1419"/>
          <w:sz w:val="21"/>
          <w:szCs w:val="21"/>
        </w:rPr>
        <w:t xml:space="preserve">oleh SPV Event atau CEO atas nilai omzet dan klasifikasi tier.</w:t>
      </w:r>
    </w:p>
    <w:p>
      <w:pPr>
        <w:pStyle w:val="ListParagraph"/>
        <w:numPr>
          <w:ilvl w:val="0"/>
          <w:numId w:val="3"/>
        </w:numPr>
        <w:spacing w:after="110" w:line="276"/>
      </w:pPr>
      <w:r>
        <w:rPr>
          <w:rFonts w:ascii="Inter" w:cs="Inter" w:eastAsia="Inter" w:hAnsi="Inter"/>
          <w:b/>
          <w:bCs/>
          <w:color w:val="0F1419"/>
          <w:sz w:val="21"/>
          <w:szCs w:val="21"/>
        </w:rPr>
        <w:t xml:space="preserve">Persetujuan pencairan </w:t>
      </w:r>
      <w:r>
        <w:rPr>
          <w:rFonts w:ascii="Inter" w:cs="Inter" w:eastAsia="Inter" w:hAnsi="Inter"/>
          <w:color w:val="0F1419"/>
          <w:sz w:val="21"/>
          <w:szCs w:val="21"/>
        </w:rPr>
        <w:t xml:space="preserve">oleh Finance, HRD, dan CEO.</w:t>
      </w:r>
    </w:p>
    <w:p>
      <w:pPr>
        <w:pStyle w:val="Heading1"/>
      </w:pPr>
      <w:r>
        <w:t xml:space="preserve">8. Motivasi &amp; Apresiasi</w:t>
      </w:r>
    </w:p>
    <w:p>
      <w:pPr>
        <w:pStyle w:val="ListParagraph"/>
        <w:numPr>
          <w:ilvl w:val="0"/>
          <w:numId w:val="2"/>
        </w:numPr>
        <w:spacing w:after="90" w:line="270"/>
      </w:pPr>
      <w:r>
        <w:rPr>
          <w:rFonts w:ascii="Inter" w:cs="Inter" w:eastAsia="Inter" w:hAnsi="Inter"/>
          <w:b/>
          <w:bCs/>
          <w:color w:val="0F1419"/>
          <w:sz w:val="21"/>
          <w:szCs w:val="21"/>
        </w:rPr>
        <w:t xml:space="preserve">Leaderboard Event Internal </w:t>
      </w:r>
      <w:r>
        <w:rPr>
          <w:rFonts w:ascii="Inter" w:cs="Inter" w:eastAsia="Inter" w:hAnsi="Inter"/>
          <w:color w:val="0F1419"/>
          <w:sz w:val="21"/>
          <w:szCs w:val="21"/>
        </w:rPr>
        <w:t xml:space="preserve">— tim berlomba menciptakan event terbaik setiap bulan.</w:t>
      </w:r>
    </w:p>
    <w:p>
      <w:pPr>
        <w:pStyle w:val="ListParagraph"/>
        <w:numPr>
          <w:ilvl w:val="0"/>
          <w:numId w:val="2"/>
        </w:numPr>
        <w:spacing w:after="90" w:line="270"/>
      </w:pPr>
      <w:r>
        <w:rPr>
          <w:rFonts w:ascii="Inter" w:cs="Inter" w:eastAsia="Inter" w:hAnsi="Inter"/>
          <w:b/>
          <w:bCs/>
          <w:color w:val="0F1419"/>
          <w:sz w:val="21"/>
          <w:szCs w:val="21"/>
        </w:rPr>
        <w:t xml:space="preserve">Apresiasi publik </w:t>
      </w:r>
      <w:r>
        <w:rPr>
          <w:rFonts w:ascii="Inter" w:cs="Inter" w:eastAsia="Inter" w:hAnsi="Inter"/>
          <w:color w:val="0F1419"/>
          <w:sz w:val="21"/>
          <w:szCs w:val="21"/>
        </w:rPr>
        <w:t xml:space="preserve">— event sukses dipublikasikan di IG Story / grup WA.</w:t>
      </w:r>
    </w:p>
    <w:p>
      <w:pPr>
        <w:pStyle w:val="ListParagraph"/>
        <w:numPr>
          <w:ilvl w:val="0"/>
          <w:numId w:val="2"/>
        </w:numPr>
        <w:spacing w:after="90" w:line="270"/>
      </w:pPr>
      <w:r>
        <w:rPr>
          <w:rFonts w:ascii="Inter" w:cs="Inter" w:eastAsia="Inter" w:hAnsi="Inter"/>
          <w:b/>
          <w:bCs/>
          <w:color w:val="0F1419"/>
          <w:sz w:val="21"/>
          <w:szCs w:val="21"/>
        </w:rPr>
        <w:t xml:space="preserve">Tim Event of The Month </w:t>
      </w:r>
      <w:r>
        <w:rPr>
          <w:rFonts w:ascii="Inter" w:cs="Inter" w:eastAsia="Inter" w:hAnsi="Inter"/>
          <w:color w:val="0F1419"/>
          <w:sz w:val="21"/>
          <w:szCs w:val="21"/>
        </w:rPr>
        <w:t xml:space="preserve">— reward bulanan berupa traktiran / bonus tambahan.</w:t>
      </w:r>
    </w:p>
    <w:p>
      <w:pPr>
        <w:pStyle w:val="Heading1"/>
      </w:pPr>
      <w:r>
        <w:t xml:space="preserve">9. Catatan Kalibrasi</w:t>
      </w:r>
    </w:p>
    <w:p>
      <w:pPr>
        <w:spacing w:after="60" w:line="276"/>
      </w:pPr>
      <w:r>
        <w:rPr>
          <w:rFonts w:ascii="Inter" w:cs="Inter" w:eastAsia="Inter" w:hAnsi="Inter"/>
          <w:color w:val="0F1419"/>
          <w:sz w:val="21"/>
          <w:szCs w:val="21"/>
        </w:rPr>
        <w:t xml:space="preserve">Seluruh ambang batas omzet dan nilai bonus pada dokumen ini adalah titik awal, bukan target final. Setelah 2–3 bulan data operasional aktual terkumpul, threshold dan nilai bonus akan ditinjau ulang bersama Finance agar tetap proporsional terhadap margin dan beban biaya event.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9CFB8" w:sz="4" w:space="1"/>
      </w:pBdr>
      <w:spacing w:after="0" w:before="0"/>
    </w:pPr>
    <w:r>
      <w:rPr>
        <w:sz w:val="2"/>
        <w:szCs w:val="2"/>
      </w:rPr>
      <w:t xml:space="preserve"/>
    </w:r>
  </w:p>
  <w:p>
    <w:pPr>
      <w:tabs>
        <w:tab w:val="right" w:pos="9026"/>
      </w:tabs>
    </w:pPr>
    <w:r>
      <w:rPr>
        <w:rFonts w:ascii="Inter" w:cs="Inter" w:eastAsia="Inter" w:hAnsi="Inter"/>
        <w:color w:val="5B5247"/>
        <w:sz w:val="15"/>
        <w:szCs w:val="15"/>
      </w:rPr>
      <w:t xml:space="preserve">Pedoman Internal · Rahasia</w:t>
    </w:r>
    <w:r>
      <w:rPr>
        <w:rFonts w:ascii="Inter" w:cs="Inter" w:eastAsia="Inter" w:hAnsi="Inter"/>
        <w:color w:val="5B5247"/>
        <w:sz w:val="15"/>
        <w:szCs w:val="15"/>
      </w:rPr>
      <w:t xml:space="preserve">	Hal. </w:t>
    </w:r>
    <w:r>
      <w:rPr>
        <w:rFonts w:ascii="Inter" w:cs="Inter" w:eastAsia="Inter" w:hAnsi="Inter"/>
        <w:color w:val="5B524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Inter" w:cs="Inter" w:eastAsia="Inter" w:hAnsi="Inter"/>
        <w:b/>
        <w:bCs/>
        <w:color w:val="0F1419"/>
        <w:spacing w:val="30"/>
        <w:sz w:val="15"/>
        <w:szCs w:val="15"/>
      </w:rPr>
      <w:t xml:space="preserve">LAKSAMANA MUDA</w:t>
    </w:r>
    <w:r>
      <w:rPr>
        <w:rFonts w:ascii="Inter" w:cs="Inter" w:eastAsia="Inter" w:hAnsi="Inter"/>
        <w:color w:val="5B5247"/>
        <w:sz w:val="15"/>
        <w:szCs w:val="15"/>
      </w:rPr>
      <w:t xml:space="preserve">	Coffee &amp; Live Space</w:t>
    </w:r>
  </w:p>
  <w:p>
    <w:pPr>
      <w:pBdr>
        <w:bottom w:val="single" w:color="B8893A" w:sz="6" w:space="1"/>
      </w:pBdr>
      <w:spacing w:after="0" w:before="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C6722"/>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F14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Fraunces" w:cs="Fraunces" w:eastAsia="Fraunces" w:hAnsi="Fraunces"/>
      <w:b/>
      <w:bCs/>
      <w:color w:val="0F1419"/>
      <w:sz w:val="30"/>
      <w:szCs w:val="30"/>
    </w:rPr>
  </w:style>
  <w:style w:type="paragraph" w:styleId="Heading2">
    <w:name w:val="Heading 2"/>
    <w:basedOn w:val="Normal"/>
    <w:next w:val="Normal"/>
    <w:qFormat/>
    <w:pPr>
      <w:spacing w:after="100" w:before="220"/>
      <w:outlineLvl w:val="1"/>
    </w:pPr>
    <w:rPr>
      <w:rFonts w:ascii="Fraunces" w:cs="Fraunces" w:eastAsia="Fraunces" w:hAnsi="Fraunces"/>
      <w:b/>
      <w:bCs/>
      <w:color w:val="8C67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Skema Bonus &amp; Atribusi Omzet Tim Event</dc:title>
  <dc:creator>Laksamana Muda Coffee &amp; Live Space</dc:creator>
  <cp:lastModifiedBy>Un-named</cp:lastModifiedBy>
  <cp:revision>1</cp:revision>
  <dcterms:created xsi:type="dcterms:W3CDTF">2026-06-17T07:52:13.757Z</dcterms:created>
  <dcterms:modified xsi:type="dcterms:W3CDTF">2026-06-17T07:52:13.758Z</dcterms:modified>
</cp:coreProperties>
</file>

<file path=docProps/custom.xml><?xml version="1.0" encoding="utf-8"?>
<Properties xmlns="http://schemas.openxmlformats.org/officeDocument/2006/custom-properties" xmlns:vt="http://schemas.openxmlformats.org/officeDocument/2006/docPropsVTypes"/>
</file>