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Fraunces" w:cs="Fraunces" w:eastAsia="Fraunces" w:hAnsi="Fraunces"/>
          <w:b/>
          <w:bCs/>
          <w:color w:val="0F1419"/>
          <w:sz w:val="44"/>
          <w:szCs w:val="44"/>
        </w:rPr>
        <w:t xml:space="preserve">SKEMA TARGET &amp; BONUS</w:t>
      </w:r>
    </w:p>
    <w:p>
      <w:pPr>
        <w:spacing w:after="60"/>
      </w:pPr>
      <w:r>
        <w:rPr>
          <w:rFonts w:ascii="Fraunces" w:cs="Fraunces" w:eastAsia="Fraunces" w:hAnsi="Fraunces"/>
          <w:b/>
          <w:bCs/>
          <w:color w:val="B8893A"/>
          <w:sz w:val="44"/>
          <w:szCs w:val="44"/>
        </w:rPr>
        <w:t xml:space="preserve">Tim Event &amp; Marketing</w:t>
      </w:r>
    </w:p>
    <w:p>
      <w:pPr>
        <w:pBdr>
          <w:bottom w:val="single" w:color="B8893A" w:sz="12" w:space="2"/>
        </w:pBdr>
        <w:spacing w:after="160"/>
      </w:pPr>
      <w:r>
        <w:rPr>
          <w:rFonts w:ascii="Inter" w:cs="Inter" w:eastAsia="Inter" w:hAnsi="Inter"/>
          <w:color w:val="6B6258"/>
          <w:sz w:val="20"/>
          <w:szCs w:val="20"/>
        </w:rPr>
        <w:t xml:space="preserve">Laksamana Muda Coffee &amp; Live Space  —  Pekanbaru</w:t>
      </w:r>
    </w:p>
    <w:p>
      <w:pPr>
        <w:spacing w:after="14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Dokumen ini mengatur cara pengakuan omzet event dan skema bonus untuk Tim Event serta Marketing PIC. Prinsip dasarnya sederhana: </w:t>
      </w:r>
      <w:r>
        <w:rPr>
          <w:rFonts w:ascii="Inter" w:cs="Inter" w:eastAsia="Inter" w:hAnsi="Inter"/>
          <w:b/>
          <w:bCs/>
          <w:i w:val="false"/>
          <w:iCs w:val="false"/>
          <w:color w:val="0F1419"/>
          <w:sz w:val="21"/>
          <w:szCs w:val="21"/>
        </w:rPr>
        <w:t xml:space="preserve">tentukan dulu berapa omzet yang sah diakui sebagai hasil kerja tim event, baru hitung bonusnya.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 Omzet harian tidak otomatis menjadi milik tim event — bergantung pada kategori event (lihat Bagian 1).</w:t>
      </w:r>
    </w:p>
    <w:p>
      <w:pPr>
        <w:pStyle w:val="Heading1"/>
        <w:spacing w:after="60" w:before="320"/>
      </w:pPr>
      <w:r>
        <w:rPr>
          <w:rFonts w:ascii="Fraunces" w:cs="Fraunces" w:eastAsia="Fraunces" w:hAnsi="Fraunces"/>
          <w:b/>
          <w:bCs/>
          <w:color w:val="0F1419"/>
          <w:sz w:val="28"/>
          <w:szCs w:val="28"/>
        </w:rPr>
        <w:t xml:space="preserve">1.  Kategori Event &amp; Pengakuan Omzet</w:t>
      </w:r>
    </w:p>
    <w:p>
      <w:pPr>
        <w:pBdr>
          <w:bottom w:val="single" w:color="B8893A" w:sz="8" w:space="1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6B6258"/>
          <w:sz w:val="20"/>
          <w:szCs w:val="20"/>
        </w:rPr>
        <w:t xml:space="preserve">Setiap aktivitas dikategorikan terlebih dahulu agar jelas omzet mana yang menjadi kredit Tim Event, Marketing, atau Operasional. Ini mencegah satu omzet diklaim dua tim.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900"/>
        <w:gridCol w:w="2526"/>
        <w:gridCol w:w="1750"/>
      </w:tblGrid>
      <w:tr>
        <w:trPr>
          <w:tblHeader/>
        </w:trPr>
        <w:tc>
          <w:tcPr>
            <w:tcW w:type="dxa" w:w="185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shd w:fill="B889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290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shd w:fill="B889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Contoh</w:t>
            </w:r>
          </w:p>
        </w:tc>
        <w:tc>
          <w:tcPr>
            <w:tcW w:type="dxa" w:w="2526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shd w:fill="B889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Omzet yang Diakui</w:t>
            </w:r>
          </w:p>
        </w:tc>
        <w:tc>
          <w:tcPr>
            <w:tcW w:type="dxa" w:w="175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shd w:fill="B889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Kredit ke</w:t>
            </w:r>
          </w:p>
        </w:tc>
      </w:tr>
      <w:tr>
        <w:tc>
          <w:tcPr>
            <w:tcW w:type="dxa" w:w="185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Konser / Artis Luar Riau</w:t>
            </w:r>
          </w:p>
        </w:tc>
        <w:tc>
          <w:tcPr>
            <w:tcW w:type="dxa" w:w="290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Mengundang artis/band dari luar Riau, ticketed show</w:t>
            </w:r>
          </w:p>
        </w:tc>
        <w:tc>
          <w:tcPr>
            <w:tcW w:type="dxa" w:w="2526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Omzet penuh sepanjang hari tersebut</w:t>
            </w:r>
          </w:p>
        </w:tc>
        <w:tc>
          <w:tcPr>
            <w:tcW w:type="dxa" w:w="175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Tim Event</w:t>
            </w:r>
          </w:p>
        </w:tc>
      </w:tr>
      <w:tr>
        <w:tc>
          <w:tcPr>
            <w:tcW w:type="dxa" w:w="185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Event Thematic</w:t>
            </w:r>
          </w:p>
        </w:tc>
        <w:tc>
          <w:tcPr>
            <w:tcW w:type="dxa" w:w="290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Band / DJ lokal atau reguler, tema mingguan</w:t>
            </w:r>
          </w:p>
        </w:tc>
        <w:tc>
          <w:tcPr>
            <w:tcW w:type="dxa" w:w="2526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Hanya selama jam event — dibagi 50/50 dengan Kasir / Operasional</w:t>
            </w:r>
          </w:p>
        </w:tc>
        <w:tc>
          <w:tcPr>
            <w:tcW w:type="dxa" w:w="175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Tim Event + Operasional</w:t>
            </w:r>
          </w:p>
        </w:tc>
      </w:tr>
      <w:tr>
        <w:tc>
          <w:tcPr>
            <w:tcW w:type="dxa" w:w="185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Komunitas / Sekolah / Siang–Sore</w:t>
            </w:r>
          </w:p>
        </w:tc>
        <w:tc>
          <w:tcPr>
            <w:tcW w:type="dxa" w:w="290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Acara komunitas, sekolah, gathering pagi–sore</w:t>
            </w:r>
          </w:p>
        </w:tc>
        <w:tc>
          <w:tcPr>
            <w:tcW w:type="dxa" w:w="2526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Hanya selama event berlangsung (bukan sepanjang hari)</w:t>
            </w:r>
          </w:p>
        </w:tc>
        <w:tc>
          <w:tcPr>
            <w:tcW w:type="dxa" w:w="175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Tim Event</w:t>
            </w:r>
          </w:p>
        </w:tc>
      </w:tr>
      <w:tr>
        <w:tc>
          <w:tcPr>
            <w:tcW w:type="dxa" w:w="185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Reservasi Korporat / Booking</w:t>
            </w:r>
          </w:p>
        </w:tc>
        <w:tc>
          <w:tcPr>
            <w:tcW w:type="dxa" w:w="290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Booking perusahaan, meeting, private event</w:t>
            </w:r>
          </w:p>
        </w:tc>
        <w:tc>
          <w:tcPr>
            <w:tcW w:type="dxa" w:w="2526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Nilai reservasi (di-carve-out lebih dulu)</w:t>
            </w:r>
          </w:p>
        </w:tc>
        <w:tc>
          <w:tcPr>
            <w:tcW w:type="dxa" w:w="175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Marketing PIC</w:t>
            </w:r>
          </w:p>
        </w:tc>
      </w:tr>
      <w:tr>
        <w:tc>
          <w:tcPr>
            <w:tcW w:type="dxa" w:w="185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shd w:fill="F5EFE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B6258"/>
                <w:sz w:val="20"/>
                <w:szCs w:val="20"/>
              </w:rPr>
              <w:t xml:space="preserve">Walk-in / Hari Reguler</w:t>
            </w:r>
          </w:p>
        </w:tc>
        <w:tc>
          <w:tcPr>
            <w:tcW w:type="dxa" w:w="290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shd w:fill="F5EFE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B6258"/>
                <w:sz w:val="20"/>
                <w:szCs w:val="20"/>
              </w:rPr>
              <w:t xml:space="preserve">Hari non-event tanpa program</w:t>
            </w:r>
          </w:p>
        </w:tc>
        <w:tc>
          <w:tcPr>
            <w:tcW w:type="dxa" w:w="2526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shd w:fill="F5EFE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B6258"/>
                <w:sz w:val="20"/>
                <w:szCs w:val="20"/>
              </w:rPr>
              <w:t xml:space="preserve">— (baseline harian)</w:t>
            </w:r>
          </w:p>
        </w:tc>
        <w:tc>
          <w:tcPr>
            <w:tcW w:type="dxa" w:w="175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shd w:fill="F5EFE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B6258"/>
                <w:sz w:val="20"/>
                <w:szCs w:val="20"/>
              </w:rPr>
              <w:t xml:space="preserve">Operasional / Kasir</w:t>
            </w:r>
          </w:p>
        </w:tc>
      </w:tr>
    </w:tbl>
    <w:p>
      <w:pPr>
        <w:spacing w:after="120" w:before="60" w:line="264"/>
      </w:pPr>
      <w:r>
        <w:rPr>
          <w:rFonts w:ascii="Inter" w:cs="Inter" w:eastAsia="Inter" w:hAnsi="Inter"/>
          <w:i/>
          <w:iCs/>
          <w:color w:val="6B6258"/>
          <w:sz w:val="18"/>
          <w:szCs w:val="18"/>
        </w:rPr>
        <w:t xml:space="preserve">Catatan: angka omzet di seluruh dokumen ini dihitung nett — sebelum tax &amp; service charge.</w:t>
      </w:r>
    </w:p>
    <w:p>
      <w:pPr>
        <w:pStyle w:val="Heading1"/>
        <w:spacing w:after="60" w:before="320"/>
      </w:pPr>
      <w:r>
        <w:rPr>
          <w:rFonts w:ascii="Fraunces" w:cs="Fraunces" w:eastAsia="Fraunces" w:hAnsi="Fraunces"/>
          <w:b/>
          <w:bCs/>
          <w:color w:val="0F1419"/>
          <w:sz w:val="28"/>
          <w:szCs w:val="28"/>
        </w:rPr>
        <w:t xml:space="preserve">2.  Bonus per Event (Tim Event)</w:t>
      </w:r>
    </w:p>
    <w:p>
      <w:pPr>
        <w:pBdr>
          <w:bottom w:val="single" w:color="B8893A" w:sz="8" w:space="1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Dihitung dari </w:t>
      </w:r>
      <w:r>
        <w:rPr>
          <w:rFonts w:ascii="Inter" w:cs="Inter" w:eastAsia="Inter" w:hAnsi="Inter"/>
          <w:b/>
          <w:bCs/>
          <w:i w:val="false"/>
          <w:iCs w:val="false"/>
          <w:color w:val="0F1419"/>
          <w:sz w:val="21"/>
          <w:szCs w:val="21"/>
        </w:rPr>
        <w:t xml:space="preserve">Omzet Diakui Tim Event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 (hasil Bagian 1), bukan dari omzet kotor harian. Bonus diberikan </w:t>
      </w:r>
      <w:r>
        <w:rPr>
          <w:rFonts w:ascii="Inter" w:cs="Inter" w:eastAsia="Inter" w:hAnsi="Inter"/>
          <w:b/>
          <w:bCs/>
          <w:i w:val="false"/>
          <w:iCs w:val="false"/>
          <w:color w:val="0F1419"/>
          <w:sz w:val="21"/>
          <w:szCs w:val="21"/>
        </w:rPr>
        <w:t xml:space="preserve">per orang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 kepada crew yang bertugas.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shd w:fill="B889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Omzet Diakui per Event</w:t>
            </w:r>
          </w:p>
        </w:tc>
        <w:tc>
          <w:tcPr>
            <w:tcW w:type="dxa" w:w="400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shd w:fill="B889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Bonus per Orang</w:t>
            </w:r>
          </w:p>
        </w:tc>
      </w:tr>
      <w:tr>
        <w:tc>
          <w:tcPr>
            <w:tcW w:type="dxa" w:w="5026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shd w:fill="F5EFE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B6258"/>
                <w:sz w:val="20"/>
                <w:szCs w:val="20"/>
              </w:rPr>
              <w:t xml:space="preserve">&lt; Rp 35 juta</w:t>
            </w:r>
          </w:p>
        </w:tc>
        <w:tc>
          <w:tcPr>
            <w:tcW w:type="dxa" w:w="400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shd w:fill="F5EFE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B6258"/>
                <w:sz w:val="20"/>
                <w:szCs w:val="20"/>
              </w:rPr>
              <w:t xml:space="preserve">—  (standar kerja)</w:t>
            </w:r>
          </w:p>
        </w:tc>
      </w:tr>
      <w:tr>
        <w:tc>
          <w:tcPr>
            <w:tcW w:type="dxa" w:w="5026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Rp 35 juta – Rp 45 juta</w:t>
            </w:r>
          </w:p>
        </w:tc>
        <w:tc>
          <w:tcPr>
            <w:tcW w:type="dxa" w:w="400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Rp 300.000</w:t>
            </w:r>
          </w:p>
        </w:tc>
      </w:tr>
      <w:tr>
        <w:tc>
          <w:tcPr>
            <w:tcW w:type="dxa" w:w="5026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Rp 46 juta – Rp 55 juta</w:t>
            </w:r>
          </w:p>
        </w:tc>
        <w:tc>
          <w:tcPr>
            <w:tcW w:type="dxa" w:w="400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Rp 400.000</w:t>
            </w:r>
          </w:p>
        </w:tc>
      </w:tr>
      <w:tr>
        <w:tc>
          <w:tcPr>
            <w:tcW w:type="dxa" w:w="5026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Rp 56 juta – Rp 100 juta</w:t>
            </w:r>
          </w:p>
        </w:tc>
        <w:tc>
          <w:tcPr>
            <w:tcW w:type="dxa" w:w="400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Rp 500.000</w:t>
            </w:r>
          </w:p>
        </w:tc>
      </w:tr>
      <w:tr>
        <w:tc>
          <w:tcPr>
            <w:tcW w:type="dxa" w:w="5026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F1419"/>
                <w:sz w:val="20"/>
                <w:szCs w:val="20"/>
              </w:rPr>
              <w:t xml:space="preserve">&gt; Rp 100 juta</w:t>
            </w:r>
          </w:p>
        </w:tc>
        <w:tc>
          <w:tcPr>
            <w:tcW w:type="dxa" w:w="400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F1419"/>
                <w:sz w:val="20"/>
                <w:szCs w:val="20"/>
              </w:rPr>
              <w:t xml:space="preserve">Rp 1.000.000</w:t>
            </w:r>
          </w:p>
        </w:tc>
      </w:tr>
    </w:tbl>
    <w:p>
      <w:pPr>
        <w:spacing w:after="120" w:before="60" w:line="264"/>
      </w:pPr>
      <w:r>
        <w:rPr>
          <w:rFonts w:ascii="Inter" w:cs="Inter" w:eastAsia="Inter" w:hAnsi="Inter"/>
          <w:i/>
          <w:iCs/>
          <w:color w:val="6B6258"/>
          <w:sz w:val="18"/>
          <w:szCs w:val="18"/>
        </w:rPr>
        <w:t xml:space="preserve">Nilai dihitung dari nett (sebelum tax &amp; service).</w:t>
      </w:r>
    </w:p>
    <w:p>
      <w:pPr>
        <w:pStyle w:val="Heading1"/>
        <w:spacing w:after="60" w:before="320"/>
      </w:pPr>
      <w:r>
        <w:rPr>
          <w:rFonts w:ascii="Fraunces" w:cs="Fraunces" w:eastAsia="Fraunces" w:hAnsi="Fraunces"/>
          <w:b/>
          <w:bCs/>
          <w:color w:val="0F1419"/>
          <w:sz w:val="28"/>
          <w:szCs w:val="28"/>
        </w:rPr>
        <w:t xml:space="preserve">3.  Bonus Target Bulanan (Kuantitas Event)</w:t>
      </w:r>
    </w:p>
    <w:p>
      <w:pPr>
        <w:pBdr>
          <w:bottom w:val="single" w:color="B8893A" w:sz="8" w:space="1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6B6258"/>
          <w:sz w:val="20"/>
          <w:szCs w:val="20"/>
        </w:rPr>
        <w:t xml:space="preserve">Mendorong tim menjaga ritme program internal yang konsisten. Bonus dibagi rata ke seluruh Tim Event.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shd w:fill="B889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Jumlah Event Internal / Kolaborasi per Bulan</w:t>
            </w:r>
          </w:p>
        </w:tc>
        <w:tc>
          <w:tcPr>
            <w:tcW w:type="dxa" w:w="400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shd w:fill="B889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Bonus (dibagi tim)</w:t>
            </w:r>
          </w:p>
        </w:tc>
      </w:tr>
      <w:tr>
        <w:tc>
          <w:tcPr>
            <w:tcW w:type="dxa" w:w="5026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shd w:fill="F5EFE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B6258"/>
                <w:sz w:val="20"/>
                <w:szCs w:val="20"/>
              </w:rPr>
              <w:t xml:space="preserve">8 event  (target standar)</w:t>
            </w:r>
          </w:p>
        </w:tc>
        <w:tc>
          <w:tcPr>
            <w:tcW w:type="dxa" w:w="400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shd w:fill="F5EFE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6B6258"/>
                <w:sz w:val="20"/>
                <w:szCs w:val="20"/>
              </w:rPr>
              <w:t xml:space="preserve">—  (belum ada bonus)</w:t>
            </w:r>
          </w:p>
        </w:tc>
      </w:tr>
      <w:tr>
        <w:tc>
          <w:tcPr>
            <w:tcW w:type="dxa" w:w="5026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10 event</w:t>
            </w:r>
          </w:p>
        </w:tc>
        <w:tc>
          <w:tcPr>
            <w:tcW w:type="dxa" w:w="400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Rp 200.000</w:t>
            </w:r>
          </w:p>
        </w:tc>
      </w:tr>
      <w:tr>
        <w:tc>
          <w:tcPr>
            <w:tcW w:type="dxa" w:w="5026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F1419"/>
                <w:sz w:val="20"/>
                <w:szCs w:val="20"/>
              </w:rPr>
              <w:t xml:space="preserve">12 event</w:t>
            </w:r>
          </w:p>
        </w:tc>
        <w:tc>
          <w:tcPr>
            <w:tcW w:type="dxa" w:w="400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F1419"/>
                <w:sz w:val="20"/>
                <w:szCs w:val="20"/>
              </w:rPr>
              <w:t xml:space="preserve">Rp 500.000</w:t>
            </w:r>
          </w:p>
        </w:tc>
      </w:tr>
    </w:tbl>
    <w:p>
      <w:pPr>
        <w:spacing w:after="120" w:before="60" w:line="264"/>
      </w:pPr>
      <w:r>
        <w:rPr>
          <w:rFonts w:ascii="Inter" w:cs="Inter" w:eastAsia="Inter" w:hAnsi="Inter"/>
          <w:i/>
          <w:iCs/>
          <w:color w:val="6B6258"/>
          <w:sz w:val="18"/>
          <w:szCs w:val="18"/>
        </w:rPr>
        <w:t xml:space="preserve">Setiap event wajib di-approve Direktur Utama dengan lampiran proposal + konsep agar dihitung sebagai event resmi.</w:t>
      </w:r>
    </w:p>
    <w:p>
      <w:pPr>
        <w:pStyle w:val="Heading1"/>
        <w:spacing w:after="60" w:before="320"/>
      </w:pPr>
      <w:r>
        <w:rPr>
          <w:rFonts w:ascii="Fraunces" w:cs="Fraunces" w:eastAsia="Fraunces" w:hAnsi="Fraunces"/>
          <w:b/>
          <w:bCs/>
          <w:color w:val="0F1419"/>
          <w:sz w:val="28"/>
          <w:szCs w:val="28"/>
        </w:rPr>
        <w:t xml:space="preserve">4.  Insentif Non-Tunai (Tambahan)</w:t>
      </w:r>
    </w:p>
    <w:p>
      <w:pPr>
        <w:pBdr>
          <w:bottom w:val="single" w:color="B8893A" w:sz="8" w:space="1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Voucher F&amp;B Laksamana </w:t>
      </w:r>
      <w:r>
        <w:rPr>
          <w:rFonts w:ascii="Inter" w:cs="Inter" w:eastAsia="Inter" w:hAnsi="Inter"/>
          <w:b/>
          <w:bCs/>
          <w:i w:val="false"/>
          <w:iCs w:val="false"/>
          <w:color w:val="0F1419"/>
          <w:sz w:val="21"/>
          <w:szCs w:val="21"/>
        </w:rPr>
        <w:t xml:space="preserve">Rp 100.000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 untuk setiap event di atas Rp 30 juta.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Voucher F&amp;B Laksamana </w:t>
      </w:r>
      <w:r>
        <w:rPr>
          <w:rFonts w:ascii="Inter" w:cs="Inter" w:eastAsia="Inter" w:hAnsi="Inter"/>
          <w:b/>
          <w:bCs/>
          <w:i w:val="false"/>
          <w:iCs w:val="false"/>
          <w:color w:val="0F1419"/>
          <w:sz w:val="21"/>
          <w:szCs w:val="21"/>
        </w:rPr>
        <w:t xml:space="preserve">Rp 150.000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 untuk setiap event di atas Rp 56 juta.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Voucher F&amp;B Laksamana </w:t>
      </w:r>
      <w:r>
        <w:rPr>
          <w:rFonts w:ascii="Inter" w:cs="Inter" w:eastAsia="Inter" w:hAnsi="Inter"/>
          <w:b/>
          <w:bCs/>
          <w:i w:val="false"/>
          <w:iCs w:val="false"/>
          <w:color w:val="0F1419"/>
          <w:sz w:val="21"/>
          <w:szCs w:val="21"/>
        </w:rPr>
        <w:t xml:space="preserve">Rp 250.000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 untuk setiap event di atas Rp 100 juta.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/>
          <w:bCs/>
          <w:i w:val="false"/>
          <w:iCs w:val="false"/>
          <w:color w:val="0F1419"/>
          <w:sz w:val="21"/>
          <w:szCs w:val="21"/>
        </w:rPr>
        <w:t xml:space="preserve">1 hari cuti tambahan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 per 3 event besar (di atas Rp 50 juta) dalam 1 bulan. Cuti berlaku akumulatif selama 1 tahun.</w:t>
      </w:r>
    </w:p>
    <w:p>
      <w:pPr>
        <w:pStyle w:val="Heading1"/>
        <w:spacing w:after="60" w:before="320"/>
      </w:pPr>
      <w:r>
        <w:rPr>
          <w:rFonts w:ascii="Fraunces" w:cs="Fraunces" w:eastAsia="Fraunces" w:hAnsi="Fraunces"/>
          <w:b/>
          <w:bCs/>
          <w:color w:val="0F1419"/>
          <w:sz w:val="28"/>
          <w:szCs w:val="28"/>
        </w:rPr>
        <w:t xml:space="preserve">5.  Bonus Marketing PIC (Total Omzet Bulanan)</w:t>
      </w:r>
    </w:p>
    <w:p>
      <w:pPr>
        <w:pBdr>
          <w:bottom w:val="single" w:color="B8893A" w:sz="8" w:space="1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Jalur terpisah dari bonus Tim Event. Dihitung berdasarkan </w:t>
      </w:r>
      <w:r>
        <w:rPr>
          <w:rFonts w:ascii="Inter" w:cs="Inter" w:eastAsia="Inter" w:hAnsi="Inter"/>
          <w:b/>
          <w:bCs/>
          <w:i w:val="false"/>
          <w:iCs w:val="false"/>
          <w:color w:val="0F1419"/>
          <w:sz w:val="21"/>
          <w:szCs w:val="21"/>
        </w:rPr>
        <w:t xml:space="preserve">total nilai omzet event yang di-handle oleh PIC Marketing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 dalam satu bulan.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shd w:fill="B889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Nilai Omzet / Bulan</w:t>
            </w:r>
          </w:p>
        </w:tc>
        <w:tc>
          <w:tcPr>
            <w:tcW w:type="dxa" w:w="400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shd w:fill="B889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Bonus Marketing</w:t>
            </w:r>
          </w:p>
        </w:tc>
      </w:tr>
      <w:tr>
        <w:tc>
          <w:tcPr>
            <w:tcW w:type="dxa" w:w="5026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Rp 150 juta – Rp 200 juta</w:t>
            </w:r>
          </w:p>
        </w:tc>
        <w:tc>
          <w:tcPr>
            <w:tcW w:type="dxa" w:w="400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Rp 250.000</w:t>
            </w:r>
          </w:p>
        </w:tc>
      </w:tr>
      <w:tr>
        <w:tc>
          <w:tcPr>
            <w:tcW w:type="dxa" w:w="5026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Rp 201 juta – Rp 250 juta</w:t>
            </w:r>
          </w:p>
        </w:tc>
        <w:tc>
          <w:tcPr>
            <w:tcW w:type="dxa" w:w="400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Rp 350.000</w:t>
            </w:r>
          </w:p>
        </w:tc>
      </w:tr>
      <w:tr>
        <w:tc>
          <w:tcPr>
            <w:tcW w:type="dxa" w:w="5026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Rp 251 juta – Rp 300 juta</w:t>
            </w:r>
          </w:p>
        </w:tc>
        <w:tc>
          <w:tcPr>
            <w:tcW w:type="dxa" w:w="400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Rp 500.000</w:t>
            </w:r>
          </w:p>
        </w:tc>
      </w:tr>
      <w:tr>
        <w:tc>
          <w:tcPr>
            <w:tcW w:type="dxa" w:w="5026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Rp 301 juta – Rp 350 juta</w:t>
            </w:r>
          </w:p>
        </w:tc>
        <w:tc>
          <w:tcPr>
            <w:tcW w:type="dxa" w:w="400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F1419"/>
                <w:sz w:val="20"/>
                <w:szCs w:val="20"/>
              </w:rPr>
              <w:t xml:space="preserve">Rp 700.000</w:t>
            </w:r>
          </w:p>
        </w:tc>
      </w:tr>
      <w:tr>
        <w:tc>
          <w:tcPr>
            <w:tcW w:type="dxa" w:w="5026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F1419"/>
                <w:sz w:val="20"/>
                <w:szCs w:val="20"/>
              </w:rPr>
              <w:t xml:space="preserve">&gt; Rp 350 juta</w:t>
            </w:r>
          </w:p>
        </w:tc>
        <w:tc>
          <w:tcPr>
            <w:tcW w:type="dxa" w:w="4000"/>
            <w:tcBorders>
              <w:top w:val="single" w:color="DDD3C4" w:sz="4"/>
              <w:left w:val="single" w:color="DDD3C4" w:sz="4"/>
              <w:bottom w:val="single" w:color="DDD3C4" w:sz="4"/>
              <w:right w:val="single" w:color="DDD3C4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F1419"/>
                <w:sz w:val="20"/>
                <w:szCs w:val="20"/>
              </w:rPr>
              <w:t xml:space="preserve">Rp 1.000.000</w:t>
            </w:r>
          </w:p>
        </w:tc>
      </w:tr>
    </w:tbl>
    <w:p>
      <w:pPr>
        <w:spacing w:after="120" w:before="60" w:line="264"/>
      </w:pPr>
      <w:r>
        <w:rPr>
          <w:rFonts w:ascii="Inter" w:cs="Inter" w:eastAsia="Inter" w:hAnsi="Inter"/>
          <w:i/>
          <w:iCs/>
          <w:color w:val="6B6258"/>
          <w:sz w:val="18"/>
          <w:szCs w:val="18"/>
        </w:rPr>
        <w:t xml:space="preserve">Dihitung per PIC yang menangani event. Nett (sebelum tax &amp; service).</w:t>
      </w:r>
    </w:p>
    <w:p>
      <w:pPr>
        <w:pStyle w:val="Heading1"/>
        <w:spacing w:after="60" w:before="320"/>
      </w:pPr>
      <w:r>
        <w:rPr>
          <w:rFonts w:ascii="Fraunces" w:cs="Fraunces" w:eastAsia="Fraunces" w:hAnsi="Fraunces"/>
          <w:b/>
          <w:bCs/>
          <w:color w:val="0F1419"/>
          <w:sz w:val="28"/>
          <w:szCs w:val="28"/>
        </w:rPr>
        <w:t xml:space="preserve">6.  Klaim &amp; Verifikasi</w:t>
      </w:r>
    </w:p>
    <w:p>
      <w:pPr>
        <w:pBdr>
          <w:bottom w:val="single" w:color="B8893A" w:sz="8" w:space="1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spacing w:after="10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0"/>
          <w:szCs w:val="20"/>
        </w:rPr>
        <w:t xml:space="preserve">Untuk setiap event (klien maupun internal), Tim Event wajib menjalankan alur berikut sebelum bonus dapat dicairkan: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/>
          <w:bCs/>
          <w:i w:val="false"/>
          <w:iCs w:val="false"/>
          <w:color w:val="0F1419"/>
          <w:sz w:val="21"/>
          <w:szCs w:val="21"/>
        </w:rPr>
        <w:t xml:space="preserve">Isi Laporan Event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: rundown, jumlah crew, nilai omzet/event, dan dokumentasi.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/>
          <w:bCs/>
          <w:i w:val="false"/>
          <w:iCs w:val="false"/>
          <w:color w:val="0F1419"/>
          <w:sz w:val="21"/>
          <w:szCs w:val="21"/>
        </w:rPr>
        <w:t xml:space="preserve">Verifikasi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 oleh SPV Event atau CEO.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/>
          <w:bCs/>
          <w:i w:val="false"/>
          <w:iCs w:val="false"/>
          <w:color w:val="0F1419"/>
          <w:sz w:val="21"/>
          <w:szCs w:val="21"/>
        </w:rPr>
        <w:t xml:space="preserve">Persetujuan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 Finance, HRD, dan CEO untuk pencairan.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/>
          <w:bCs/>
          <w:i w:val="false"/>
          <w:iCs w:val="false"/>
          <w:color w:val="0F1419"/>
          <w:sz w:val="21"/>
          <w:szCs w:val="21"/>
        </w:rPr>
        <w:t xml:space="preserve">Tenggat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: laporan maksimal 7–14 hari setelah event selesai. Bonus dicairkan saat gajian.</w:t>
      </w:r>
    </w:p>
    <w:p>
      <w:pPr>
        <w:pStyle w:val="Heading1"/>
        <w:spacing w:after="60" w:before="320"/>
      </w:pPr>
      <w:r>
        <w:rPr>
          <w:rFonts w:ascii="Fraunces" w:cs="Fraunces" w:eastAsia="Fraunces" w:hAnsi="Fraunces"/>
          <w:b/>
          <w:bCs/>
          <w:color w:val="0F1419"/>
          <w:sz w:val="28"/>
          <w:szCs w:val="28"/>
        </w:rPr>
        <w:t xml:space="preserve">7.  Motivasi &amp; Apresiasi</w:t>
      </w:r>
    </w:p>
    <w:p>
      <w:pPr>
        <w:pBdr>
          <w:bottom w:val="single" w:color="B8893A" w:sz="8" w:space="1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/>
          <w:bCs/>
          <w:i w:val="false"/>
          <w:iCs w:val="false"/>
          <w:color w:val="0F1419"/>
          <w:sz w:val="21"/>
          <w:szCs w:val="21"/>
        </w:rPr>
        <w:t xml:space="preserve">Leaderboard Event Internal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 — tim berlomba membuat event terbaik tiap bulan.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/>
          <w:bCs/>
          <w:i w:val="false"/>
          <w:iCs w:val="false"/>
          <w:color w:val="0F1419"/>
          <w:sz w:val="21"/>
          <w:szCs w:val="21"/>
        </w:rPr>
        <w:t xml:space="preserve">Apresiasi Publik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 — event sukses dipublikasikan di IG Story / grup WA.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/>
          <w:bCs/>
          <w:i w:val="false"/>
          <w:iCs w:val="false"/>
          <w:color w:val="0F1419"/>
          <w:sz w:val="21"/>
          <w:szCs w:val="21"/>
        </w:rPr>
        <w:t xml:space="preserve">Tim Event of The Month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 — reward bulanan: traktiran atau bonus tambahan.</w:t>
      </w:r>
    </w:p>
    <w:p>
      <w:pPr>
        <w:pStyle w:val="Heading1"/>
        <w:spacing w:after="60" w:before="320"/>
      </w:pPr>
      <w:r>
        <w:rPr>
          <w:rFonts w:ascii="Fraunces" w:cs="Fraunces" w:eastAsia="Fraunces" w:hAnsi="Fraunces"/>
          <w:b/>
          <w:bCs/>
          <w:color w:val="0F1419"/>
          <w:sz w:val="28"/>
          <w:szCs w:val="28"/>
        </w:rPr>
        <w:t xml:space="preserve">Catatan Penting</w:t>
      </w:r>
    </w:p>
    <w:p>
      <w:pPr>
        <w:pBdr>
          <w:bottom w:val="single" w:color="B8893A" w:sz="8" w:space="1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Semua angka omzet dihitung </w:t>
      </w:r>
      <w:r>
        <w:rPr>
          <w:rFonts w:ascii="Inter" w:cs="Inter" w:eastAsia="Inter" w:hAnsi="Inter"/>
          <w:b/>
          <w:bCs/>
          <w:i w:val="false"/>
          <w:iCs w:val="false"/>
          <w:color w:val="0F1419"/>
          <w:sz w:val="21"/>
          <w:szCs w:val="21"/>
        </w:rPr>
        <w:t xml:space="preserve">nett (sebelum tax &amp; service charge)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Angka pada seluruh tabel adalah </w:t>
      </w:r>
      <w:r>
        <w:rPr>
          <w:rFonts w:ascii="Inter" w:cs="Inter" w:eastAsia="Inter" w:hAnsi="Inter"/>
          <w:b/>
          <w:bCs/>
          <w:i w:val="false"/>
          <w:iCs w:val="false"/>
          <w:color w:val="0F1419"/>
          <w:sz w:val="21"/>
          <w:szCs w:val="21"/>
        </w:rPr>
        <w:t xml:space="preserve">titik awal (benchmark)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, bukan target final. Dikalibrasi ulang setelah 2–3 bulan data operasional aktual.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F1419"/>
          <w:sz w:val="21"/>
          <w:szCs w:val="21"/>
        </w:rPr>
        <w:t xml:space="preserve">Satu omzet tidak boleh diklaim dua tim. Kategori pada Bagian 1 adalah penentu kredit.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3C4" w:sz="4" w:space="6"/>
      </w:pBdr>
      <w:tabs>
        <w:tab w:val="right" w:pos="9026"/>
      </w:tabs>
    </w:pPr>
    <w:r>
      <w:rPr>
        <w:rFonts w:ascii="Inter" w:cs="Inter" w:eastAsia="Inter" w:hAnsi="Inter"/>
        <w:color w:val="6B6258"/>
        <w:sz w:val="14"/>
        <w:szCs w:val="14"/>
      </w:rPr>
      <w:t xml:space="preserve">Dokumen internal — rahasia. Tidak untuk disebarluaskan.</w:t>
    </w:r>
    <w:r>
      <w:rPr>
        <w:rFonts w:ascii="Inter" w:cs="Inter" w:eastAsia="Inter" w:hAnsi="Inter"/>
        <w:color w:val="6B6258"/>
        <w:sz w:val="14"/>
        <w:szCs w:val="14"/>
      </w:rPr>
      <w:t xml:space="preserve">	Hal. </w:t>
    </w:r>
    <w:r>
      <w:rPr>
        <w:rFonts w:ascii="Inter" w:cs="Inter" w:eastAsia="Inter" w:hAnsi="Inter"/>
        <w:color w:val="6B625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3C4" w:sz="4" w:space="6"/>
      </w:pBdr>
      <w:tabs>
        <w:tab w:val="right" w:pos="9026"/>
      </w:tabs>
      <w:spacing w:after="0"/>
    </w:pPr>
    <w:r>
      <w:rPr>
        <w:rFonts w:ascii="Fraunces" w:cs="Fraunces" w:eastAsia="Fraunces" w:hAnsi="Fraunces"/>
        <w:b/>
        <w:bCs/>
        <w:color w:val="0F1419"/>
        <w:sz w:val="16"/>
        <w:szCs w:val="16"/>
      </w:rPr>
      <w:t xml:space="preserve">LAKSAMANA MUDA</w:t>
    </w:r>
    <w:r>
      <w:rPr>
        <w:rFonts w:ascii="Inter" w:cs="Inter" w:eastAsia="Inter" w:hAnsi="Inter"/>
        <w:color w:val="6B6258"/>
        <w:sz w:val="14"/>
        <w:szCs w:val="14"/>
      </w:rPr>
      <w:t xml:space="preserve">  •  Coffee &amp; Live Space</w:t>
    </w:r>
    <w:r>
      <w:rPr>
        <w:rFonts w:ascii="Inter" w:cs="Inter" w:eastAsia="Inter" w:hAnsi="Inter"/>
        <w:color w:val="6B6258"/>
        <w:sz w:val="14"/>
        <w:szCs w:val="14"/>
      </w:rPr>
      <w:t xml:space="preserve">	Internal — SDM &amp; Operasional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40"/>
      </w:pPr>
      <w:rPr>
        <w:color w:val="B889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F141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320"/>
      <w:outlineLvl w:val="0"/>
    </w:pPr>
    <w:rPr>
      <w:rFonts w:ascii="Fraunces" w:cs="Fraunces" w:eastAsia="Fraunces" w:hAnsi="Fraunces"/>
      <w:b/>
      <w:bCs/>
      <w:color w:val="0F141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2026-06-17T07:40:12.234Z</dcterms:created>
  <dcterms:modified xsi:type="dcterms:W3CDTF">2026-06-17T07:40:12.234Z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