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FC1574C" w:rsidR="00531FBF" w:rsidRPr="00B7788F" w:rsidRDefault="004A2F82" w:rsidP="00B7788F">
            <w:pPr>
              <w:contextualSpacing/>
              <w:jc w:val="center"/>
              <w:rPr>
                <w:rFonts w:eastAsia="Times New Roman" w:cstheme="minorHAnsi"/>
                <w:b/>
                <w:bCs/>
                <w:sz w:val="22"/>
                <w:szCs w:val="22"/>
              </w:rPr>
            </w:pPr>
            <w:r>
              <w:rPr>
                <w:rFonts w:eastAsia="Times New Roman" w:cstheme="minorHAnsi"/>
                <w:b/>
                <w:bCs/>
                <w:sz w:val="22"/>
                <w:szCs w:val="22"/>
              </w:rPr>
              <w:t>April 15, 2026</w:t>
            </w:r>
          </w:p>
        </w:tc>
        <w:tc>
          <w:tcPr>
            <w:tcW w:w="2338" w:type="dxa"/>
            <w:tcMar>
              <w:left w:w="115" w:type="dxa"/>
              <w:right w:w="115" w:type="dxa"/>
            </w:tcMar>
          </w:tcPr>
          <w:p w14:paraId="07699096" w14:textId="510ACBBC" w:rsidR="00531FBF" w:rsidRPr="00B7788F" w:rsidRDefault="004A2F82" w:rsidP="00B7788F">
            <w:pPr>
              <w:contextualSpacing/>
              <w:jc w:val="center"/>
              <w:rPr>
                <w:rFonts w:eastAsia="Times New Roman" w:cstheme="minorHAnsi"/>
                <w:b/>
                <w:bCs/>
                <w:sz w:val="22"/>
                <w:szCs w:val="22"/>
              </w:rPr>
            </w:pPr>
            <w:r>
              <w:rPr>
                <w:rFonts w:eastAsia="Times New Roman" w:cstheme="minorHAnsi"/>
                <w:b/>
                <w:bCs/>
                <w:sz w:val="22"/>
                <w:szCs w:val="22"/>
              </w:rPr>
              <w:t>Steven Tepsic</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r w:rsidR="009446BF" w:rsidRPr="00B7788F" w14:paraId="7D0DCC3C" w14:textId="77777777" w:rsidTr="00824ABB">
        <w:trPr>
          <w:tblHeader/>
        </w:trPr>
        <w:tc>
          <w:tcPr>
            <w:tcW w:w="2337" w:type="dxa"/>
            <w:tcMar>
              <w:left w:w="115" w:type="dxa"/>
              <w:right w:w="115" w:type="dxa"/>
            </w:tcMar>
          </w:tcPr>
          <w:p w14:paraId="351D72AE" w14:textId="7AC2BF8B" w:rsidR="009446BF" w:rsidRPr="00B7788F" w:rsidRDefault="009446BF" w:rsidP="00B7788F">
            <w:pPr>
              <w:contextualSpacing/>
              <w:jc w:val="center"/>
              <w:rPr>
                <w:rFonts w:eastAsia="Times New Roman" w:cstheme="minorHAnsi"/>
                <w:b/>
                <w:bCs/>
                <w:sz w:val="22"/>
                <w:szCs w:val="22"/>
              </w:rPr>
            </w:pPr>
            <w:r>
              <w:rPr>
                <w:rFonts w:eastAsia="Times New Roman" w:cstheme="minorHAnsi"/>
                <w:b/>
                <w:bCs/>
                <w:sz w:val="22"/>
                <w:szCs w:val="22"/>
              </w:rPr>
              <w:t>1.1</w:t>
            </w:r>
          </w:p>
        </w:tc>
        <w:tc>
          <w:tcPr>
            <w:tcW w:w="2337" w:type="dxa"/>
            <w:tcMar>
              <w:left w:w="115" w:type="dxa"/>
              <w:right w:w="115" w:type="dxa"/>
            </w:tcMar>
          </w:tcPr>
          <w:p w14:paraId="45C53B7A" w14:textId="6BE9339F" w:rsidR="009446BF" w:rsidRDefault="009446BF" w:rsidP="00B7788F">
            <w:pPr>
              <w:contextualSpacing/>
              <w:jc w:val="center"/>
              <w:rPr>
                <w:rFonts w:eastAsia="Times New Roman" w:cstheme="minorHAnsi"/>
                <w:b/>
                <w:bCs/>
                <w:sz w:val="22"/>
                <w:szCs w:val="22"/>
              </w:rPr>
            </w:pPr>
            <w:r>
              <w:rPr>
                <w:rFonts w:eastAsia="Times New Roman" w:cstheme="minorHAnsi"/>
                <w:b/>
                <w:bCs/>
                <w:sz w:val="22"/>
                <w:szCs w:val="22"/>
              </w:rPr>
              <w:t>April 17, 2026</w:t>
            </w:r>
          </w:p>
        </w:tc>
        <w:tc>
          <w:tcPr>
            <w:tcW w:w="2338" w:type="dxa"/>
            <w:tcMar>
              <w:left w:w="115" w:type="dxa"/>
              <w:right w:w="115" w:type="dxa"/>
            </w:tcMar>
          </w:tcPr>
          <w:p w14:paraId="3A878EFD" w14:textId="1216EBF2" w:rsidR="009446BF" w:rsidRDefault="009446BF" w:rsidP="00B7788F">
            <w:pPr>
              <w:contextualSpacing/>
              <w:jc w:val="center"/>
              <w:rPr>
                <w:rFonts w:eastAsia="Times New Roman" w:cstheme="minorHAnsi"/>
                <w:b/>
                <w:bCs/>
                <w:sz w:val="22"/>
                <w:szCs w:val="22"/>
              </w:rPr>
            </w:pPr>
            <w:r>
              <w:rPr>
                <w:rFonts w:eastAsia="Times New Roman" w:cstheme="minorHAnsi"/>
                <w:b/>
                <w:bCs/>
                <w:sz w:val="22"/>
                <w:szCs w:val="22"/>
              </w:rPr>
              <w:t>Steven Tepsic</w:t>
            </w:r>
          </w:p>
        </w:tc>
        <w:tc>
          <w:tcPr>
            <w:tcW w:w="2338" w:type="dxa"/>
            <w:tcMar>
              <w:left w:w="115" w:type="dxa"/>
              <w:right w:w="115" w:type="dxa"/>
            </w:tcMar>
          </w:tcPr>
          <w:p w14:paraId="7D854750" w14:textId="03220C62" w:rsidR="009446BF" w:rsidRPr="00B7788F" w:rsidRDefault="009446BF" w:rsidP="00B7788F">
            <w:pPr>
              <w:contextualSpacing/>
              <w:jc w:val="center"/>
              <w:rPr>
                <w:rFonts w:eastAsia="Times New Roman" w:cstheme="minorHAnsi"/>
                <w:b/>
                <w:bCs/>
                <w:sz w:val="22"/>
                <w:szCs w:val="22"/>
              </w:rPr>
            </w:pPr>
            <w:r>
              <w:rPr>
                <w:rFonts w:eastAsia="Times New Roman" w:cstheme="minorHAnsi"/>
                <w:b/>
                <w:bCs/>
                <w:sz w:val="22"/>
                <w:szCs w:val="22"/>
              </w:rPr>
              <w:t>Revisited parts 1-5 and completed form</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80BA7F5" w:rsidR="00485402" w:rsidRPr="00B7788F" w:rsidRDefault="00CD6206" w:rsidP="00D47759">
      <w:pPr>
        <w:contextualSpacing/>
        <w:rPr>
          <w:rFonts w:cstheme="minorHAnsi"/>
          <w:sz w:val="22"/>
          <w:szCs w:val="22"/>
        </w:rPr>
      </w:pPr>
      <w:r>
        <w:rPr>
          <w:rFonts w:cstheme="minorHAnsi"/>
          <w:sz w:val="22"/>
          <w:szCs w:val="22"/>
        </w:rPr>
        <w:t>Steven Tepsic</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6F17026" w14:textId="5DB1FD4B" w:rsidR="006E29F2" w:rsidRDefault="006E29F2" w:rsidP="006E29F2">
      <w:pPr>
        <w:ind w:firstLine="360"/>
        <w:contextualSpacing/>
        <w:rPr>
          <w:rFonts w:eastAsia="Times New Roman"/>
          <w:sz w:val="22"/>
          <w:szCs w:val="22"/>
        </w:rPr>
      </w:pPr>
      <w:r w:rsidRPr="006E29F2">
        <w:rPr>
          <w:rFonts w:eastAsia="Times New Roman"/>
          <w:sz w:val="22"/>
          <w:szCs w:val="22"/>
        </w:rPr>
        <w:t>For this instance, I would recommend the SHA-256 variant. SHA-256 is a member of the SHA-2 family, standardized by NIST in 2002. After collision attacks were demonstrated against MD5 and SHA-0 in 2004, and theoretical attacks were extended to SHA-1, NIST opened a competition to develop a next-generation standard</w:t>
      </w:r>
      <w:r>
        <w:rPr>
          <w:rFonts w:eastAsia="Times New Roman"/>
          <w:sz w:val="22"/>
          <w:szCs w:val="22"/>
        </w:rPr>
        <w:t>,</w:t>
      </w:r>
      <w:r w:rsidRPr="006E29F2">
        <w:rPr>
          <w:rFonts w:eastAsia="Times New Roman"/>
          <w:sz w:val="22"/>
          <w:szCs w:val="22"/>
        </w:rPr>
        <w:t xml:space="preserve"> ultimately resulting in SHA-3 (Dumitra, 2015). SHA-256 remains unbroken and continues to be recommended alongside SHA-3.</w:t>
      </w:r>
      <w:r>
        <w:rPr>
          <w:rFonts w:eastAsia="Times New Roman"/>
          <w:sz w:val="22"/>
          <w:szCs w:val="22"/>
        </w:rPr>
        <w:t xml:space="preserve"> Both are also listed by Oracle’s list of cipher algorithms (Oracle, 2017).</w:t>
      </w:r>
    </w:p>
    <w:p w14:paraId="25BA480C" w14:textId="77777777" w:rsidR="006E29F2" w:rsidRPr="006E29F2" w:rsidRDefault="006E29F2" w:rsidP="006E29F2">
      <w:pPr>
        <w:contextualSpacing/>
        <w:rPr>
          <w:rFonts w:eastAsia="Times New Roman"/>
          <w:sz w:val="22"/>
          <w:szCs w:val="22"/>
        </w:rPr>
      </w:pPr>
    </w:p>
    <w:p w14:paraId="6768320D" w14:textId="34637703" w:rsidR="006E29F2" w:rsidRDefault="006E29F2" w:rsidP="006E29F2">
      <w:pPr>
        <w:ind w:firstLine="360"/>
        <w:contextualSpacing/>
        <w:rPr>
          <w:rFonts w:eastAsia="Times New Roman"/>
          <w:sz w:val="22"/>
          <w:szCs w:val="22"/>
        </w:rPr>
      </w:pPr>
      <w:r w:rsidRPr="006E29F2">
        <w:rPr>
          <w:rFonts w:eastAsia="Times New Roman"/>
          <w:sz w:val="22"/>
          <w:szCs w:val="22"/>
        </w:rPr>
        <w:t>SHA-256 produces a fixed 256-bit digest using the Merkle-Damgård construction, processing input in 512-bit blocks over 64 rounds of computation (Dumitra, 2015). SHA-256 is a hash function, not a cipher, so it operates without symmetric or asymmetric keys. Rather than encrypting data, it produces a unique fingerprint of the input</w:t>
      </w:r>
      <w:r>
        <w:rPr>
          <w:rFonts w:eastAsia="Times New Roman"/>
          <w:sz w:val="22"/>
          <w:szCs w:val="22"/>
        </w:rPr>
        <w:t>, which</w:t>
      </w:r>
      <w:r w:rsidRPr="006E29F2">
        <w:rPr>
          <w:rFonts w:eastAsia="Times New Roman"/>
          <w:sz w:val="22"/>
          <w:szCs w:val="22"/>
        </w:rPr>
        <w:t xml:space="preserve"> mak</w:t>
      </w:r>
      <w:r>
        <w:rPr>
          <w:rFonts w:eastAsia="Times New Roman"/>
          <w:sz w:val="22"/>
          <w:szCs w:val="22"/>
        </w:rPr>
        <w:t>es</w:t>
      </w:r>
      <w:r w:rsidRPr="006E29F2">
        <w:rPr>
          <w:rFonts w:eastAsia="Times New Roman"/>
          <w:sz w:val="22"/>
          <w:szCs w:val="22"/>
        </w:rPr>
        <w:t xml:space="preserve"> it computationally infeasible to reverse the </w:t>
      </w:r>
      <w:r>
        <w:rPr>
          <w:rFonts w:eastAsia="Times New Roman"/>
          <w:sz w:val="22"/>
          <w:szCs w:val="22"/>
        </w:rPr>
        <w:t>hash</w:t>
      </w:r>
      <w:r w:rsidRPr="006E29F2">
        <w:rPr>
          <w:rFonts w:eastAsia="Times New Roman"/>
          <w:sz w:val="22"/>
          <w:szCs w:val="22"/>
        </w:rPr>
        <w:t xml:space="preserve"> or find two different inputs that produce the same output (Dumitra, 2015).</w:t>
      </w:r>
    </w:p>
    <w:p w14:paraId="7747D0CC" w14:textId="77777777" w:rsidR="006E29F2" w:rsidRPr="006E29F2" w:rsidRDefault="006E29F2" w:rsidP="006E29F2">
      <w:pPr>
        <w:contextualSpacing/>
        <w:rPr>
          <w:rFonts w:eastAsia="Times New Roman"/>
          <w:sz w:val="22"/>
          <w:szCs w:val="22"/>
        </w:rPr>
      </w:pPr>
    </w:p>
    <w:p w14:paraId="23550B2B" w14:textId="043EDD2D" w:rsidR="006E29F2" w:rsidRPr="006E29F2" w:rsidRDefault="006E29F2" w:rsidP="006E29F2">
      <w:pPr>
        <w:ind w:firstLine="360"/>
        <w:contextualSpacing/>
        <w:rPr>
          <w:rFonts w:eastAsia="Times New Roman"/>
          <w:sz w:val="22"/>
          <w:szCs w:val="22"/>
        </w:rPr>
      </w:pPr>
      <w:r w:rsidRPr="006E29F2">
        <w:rPr>
          <w:rFonts w:eastAsia="Times New Roman"/>
          <w:sz w:val="22"/>
          <w:szCs w:val="22"/>
        </w:rPr>
        <w:t>Cryptographic hash functions have evolved significantly over time.</w:t>
      </w:r>
      <w:r w:rsidR="00706BE7">
        <w:rPr>
          <w:rFonts w:eastAsia="Times New Roman"/>
          <w:sz w:val="22"/>
          <w:szCs w:val="22"/>
        </w:rPr>
        <w:t xml:space="preserve"> From basic written encryption, to computational encryption, and then encryption designed to defeat quantum computers.</w:t>
      </w:r>
      <w:r w:rsidRPr="006E29F2">
        <w:rPr>
          <w:rFonts w:eastAsia="Times New Roman"/>
          <w:sz w:val="22"/>
          <w:szCs w:val="22"/>
        </w:rPr>
        <w:t xml:space="preserve"> Early algorithms like MD4 and MD5 were eventually broken, leading to the SHA family developed by NIST. SHA-256 represents the current practical standard, with SHA-3 (Keccak) existing as a complementary alternative using a fundamentally different sponge construction rather than Merkle-Damgård (Dumitra, 2015).</w:t>
      </w:r>
    </w:p>
    <w:p w14:paraId="5CAB2AA8" w14:textId="77777777" w:rsidR="00010B8A" w:rsidRPr="00B7788F" w:rsidRDefault="00010B8A" w:rsidP="00D47759">
      <w:pPr>
        <w:contextualSpacing/>
        <w:rPr>
          <w:rFonts w:cstheme="minorHAnsi"/>
          <w:sz w:val="22"/>
          <w:szCs w:val="22"/>
        </w:rPr>
      </w:pPr>
    </w:p>
    <w:p w14:paraId="7CBD82F1" w14:textId="1CC9CBD4" w:rsidR="00E4044A" w:rsidRPr="00F43D07"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49F82108" w:rsidR="00DB5652" w:rsidRPr="00B7788F" w:rsidRDefault="00D64341" w:rsidP="00D64341">
      <w:pPr>
        <w:contextualSpacing/>
        <w:jc w:val="center"/>
        <w:rPr>
          <w:rFonts w:cstheme="minorHAnsi"/>
          <w:sz w:val="22"/>
          <w:szCs w:val="22"/>
        </w:rPr>
      </w:pPr>
      <w:r w:rsidRPr="00D64341">
        <w:rPr>
          <w:rFonts w:eastAsia="Times New Roman" w:cstheme="minorHAnsi"/>
          <w:noProof/>
          <w:sz w:val="22"/>
          <w:szCs w:val="22"/>
        </w:rPr>
        <w:drawing>
          <wp:inline distT="0" distB="0" distL="0" distR="0" wp14:anchorId="4F180CE4" wp14:editId="49C2733A">
            <wp:extent cx="2630524" cy="3362325"/>
            <wp:effectExtent l="0" t="0" r="0" b="0"/>
            <wp:docPr id="4225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9133" name=""/>
                    <pic:cNvPicPr/>
                  </pic:nvPicPr>
                  <pic:blipFill>
                    <a:blip r:embed="rId13"/>
                    <a:stretch>
                      <a:fillRect/>
                    </a:stretch>
                  </pic:blipFill>
                  <pic:spPr>
                    <a:xfrm>
                      <a:off x="0" y="0"/>
                      <a:ext cx="2636209" cy="3369591"/>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6BA341E9" w14:textId="3A2FE9E4" w:rsidR="00DB5652" w:rsidRDefault="00791BBE" w:rsidP="00D47759">
      <w:pPr>
        <w:contextualSpacing/>
        <w:rPr>
          <w:rFonts w:cstheme="minorHAnsi"/>
          <w:sz w:val="22"/>
          <w:szCs w:val="22"/>
        </w:rPr>
      </w:pPr>
      <w:r w:rsidRPr="00791BBE">
        <w:rPr>
          <w:rFonts w:eastAsia="Times New Roman" w:cstheme="minorHAnsi"/>
          <w:noProof/>
          <w:sz w:val="22"/>
          <w:szCs w:val="22"/>
        </w:rPr>
        <w:drawing>
          <wp:inline distT="0" distB="0" distL="0" distR="0" wp14:anchorId="4D434007" wp14:editId="2619787C">
            <wp:extent cx="5943600" cy="3482340"/>
            <wp:effectExtent l="0" t="0" r="0" b="3810"/>
            <wp:docPr id="50488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80446" name=""/>
                    <pic:cNvPicPr/>
                  </pic:nvPicPr>
                  <pic:blipFill>
                    <a:blip r:embed="rId14"/>
                    <a:stretch>
                      <a:fillRect/>
                    </a:stretch>
                  </pic:blipFill>
                  <pic:spPr>
                    <a:xfrm>
                      <a:off x="0" y="0"/>
                      <a:ext cx="5943600" cy="3482340"/>
                    </a:xfrm>
                    <a:prstGeom prst="rect">
                      <a:avLst/>
                    </a:prstGeom>
                  </pic:spPr>
                </pic:pic>
              </a:graphicData>
            </a:graphic>
          </wp:inline>
        </w:drawing>
      </w:r>
    </w:p>
    <w:p w14:paraId="15A10815" w14:textId="77777777" w:rsidR="00D64341" w:rsidRPr="00B7788F" w:rsidRDefault="00D6434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6F681708" w14:textId="2EE7C9A3" w:rsidR="00DB5652" w:rsidRDefault="00D62929" w:rsidP="00D47759">
      <w:pPr>
        <w:contextualSpacing/>
        <w:rPr>
          <w:rFonts w:cstheme="minorHAnsi"/>
          <w:sz w:val="22"/>
          <w:szCs w:val="22"/>
        </w:rPr>
      </w:pPr>
      <w:r w:rsidRPr="00D62929">
        <w:rPr>
          <w:rFonts w:eastAsia="Times New Roman" w:cstheme="minorHAnsi"/>
          <w:noProof/>
          <w:sz w:val="22"/>
          <w:szCs w:val="22"/>
        </w:rPr>
        <w:drawing>
          <wp:inline distT="0" distB="0" distL="0" distR="0" wp14:anchorId="2F4002F6" wp14:editId="28611177">
            <wp:extent cx="5943600" cy="2109470"/>
            <wp:effectExtent l="0" t="0" r="0" b="5080"/>
            <wp:docPr id="128530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4592" name=""/>
                    <pic:cNvPicPr/>
                  </pic:nvPicPr>
                  <pic:blipFill>
                    <a:blip r:embed="rId15"/>
                    <a:stretch>
                      <a:fillRect/>
                    </a:stretch>
                  </pic:blipFill>
                  <pic:spPr>
                    <a:xfrm>
                      <a:off x="0" y="0"/>
                      <a:ext cx="5943600" cy="2109470"/>
                    </a:xfrm>
                    <a:prstGeom prst="rect">
                      <a:avLst/>
                    </a:prstGeom>
                  </pic:spPr>
                </pic:pic>
              </a:graphicData>
            </a:graphic>
          </wp:inline>
        </w:drawing>
      </w:r>
    </w:p>
    <w:p w14:paraId="4C9D5C7B" w14:textId="77777777" w:rsidR="00D64341" w:rsidRPr="00B7788F" w:rsidRDefault="00D64341" w:rsidP="00D47759">
      <w:pPr>
        <w:contextualSpacing/>
        <w:rPr>
          <w:rFonts w:cstheme="minorHAnsi"/>
          <w:sz w:val="22"/>
          <w:szCs w:val="22"/>
        </w:rPr>
      </w:pPr>
    </w:p>
    <w:p w14:paraId="34047AD2" w14:textId="77777777" w:rsidR="00D64341" w:rsidRDefault="00D64341">
      <w:pPr>
        <w:rPr>
          <w:rFonts w:cstheme="minorHAnsi"/>
          <w:b/>
          <w:bCs/>
          <w:sz w:val="22"/>
          <w:szCs w:val="22"/>
        </w:rPr>
      </w:pPr>
      <w:bookmarkStart w:id="27" w:name="_Toc1258769504"/>
      <w:bookmarkStart w:id="28" w:name="_Toc1151872792"/>
      <w:bookmarkStart w:id="29" w:name="_Toc102040762"/>
      <w:r>
        <w:br w:type="page"/>
      </w:r>
    </w:p>
    <w:p w14:paraId="24144543" w14:textId="05C364F3" w:rsidR="00E33862" w:rsidRPr="00B7788F" w:rsidRDefault="000202DE" w:rsidP="00AC1A15">
      <w:pPr>
        <w:pStyle w:val="Heading2"/>
        <w:numPr>
          <w:ilvl w:val="0"/>
          <w:numId w:val="21"/>
        </w:numPr>
        <w:spacing w:before="0" w:line="240" w:lineRule="auto"/>
      </w:pPr>
      <w:r w:rsidRPr="00B7788F">
        <w:lastRenderedPageBreak/>
        <w:t>Secondary Testing</w:t>
      </w:r>
      <w:bookmarkEnd w:id="27"/>
      <w:bookmarkEnd w:id="28"/>
      <w:bookmarkEnd w:id="29"/>
    </w:p>
    <w:p w14:paraId="75B70F3E" w14:textId="1A7870EF" w:rsidR="00DB5652" w:rsidRDefault="001A46D7" w:rsidP="00D47759">
      <w:pPr>
        <w:contextualSpacing/>
        <w:rPr>
          <w:noProof/>
        </w:rPr>
      </w:pPr>
      <w:r w:rsidRPr="001A46D7">
        <w:rPr>
          <w:rFonts w:eastAsia="Times New Roman" w:cstheme="minorHAnsi"/>
          <w:noProof/>
          <w:sz w:val="22"/>
          <w:szCs w:val="22"/>
        </w:rPr>
        <w:drawing>
          <wp:inline distT="0" distB="0" distL="0" distR="0" wp14:anchorId="49C1DF56" wp14:editId="30CF4435">
            <wp:extent cx="5150159" cy="3400425"/>
            <wp:effectExtent l="0" t="0" r="0" b="0"/>
            <wp:docPr id="9653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9273" name=""/>
                    <pic:cNvPicPr/>
                  </pic:nvPicPr>
                  <pic:blipFill>
                    <a:blip r:embed="rId16"/>
                    <a:stretch>
                      <a:fillRect/>
                    </a:stretch>
                  </pic:blipFill>
                  <pic:spPr>
                    <a:xfrm>
                      <a:off x="0" y="0"/>
                      <a:ext cx="5157810" cy="3405477"/>
                    </a:xfrm>
                    <a:prstGeom prst="rect">
                      <a:avLst/>
                    </a:prstGeom>
                  </pic:spPr>
                </pic:pic>
              </a:graphicData>
            </a:graphic>
          </wp:inline>
        </w:drawing>
      </w:r>
      <w:r w:rsidR="00D64341" w:rsidRPr="00D64341">
        <w:rPr>
          <w:noProof/>
        </w:rPr>
        <w:t xml:space="preserve"> </w:t>
      </w:r>
      <w:r w:rsidRPr="001A46D7">
        <w:rPr>
          <w:noProof/>
        </w:rPr>
        <w:drawing>
          <wp:inline distT="0" distB="0" distL="0" distR="0" wp14:anchorId="390AAC6E" wp14:editId="63361B4B">
            <wp:extent cx="5124333" cy="4162425"/>
            <wp:effectExtent l="0" t="0" r="635" b="0"/>
            <wp:docPr id="13964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9507" name=""/>
                    <pic:cNvPicPr/>
                  </pic:nvPicPr>
                  <pic:blipFill>
                    <a:blip r:embed="rId17"/>
                    <a:stretch>
                      <a:fillRect/>
                    </a:stretch>
                  </pic:blipFill>
                  <pic:spPr>
                    <a:xfrm>
                      <a:off x="0" y="0"/>
                      <a:ext cx="5154637" cy="4187041"/>
                    </a:xfrm>
                    <a:prstGeom prst="rect">
                      <a:avLst/>
                    </a:prstGeom>
                  </pic:spPr>
                </pic:pic>
              </a:graphicData>
            </a:graphic>
          </wp:inline>
        </w:drawing>
      </w:r>
    </w:p>
    <w:p w14:paraId="3A706904" w14:textId="77777777" w:rsidR="001A46D7" w:rsidRPr="00B7788F" w:rsidRDefault="001A46D7" w:rsidP="00D47759">
      <w:pPr>
        <w:contextualSpacing/>
        <w:rPr>
          <w:rFonts w:cstheme="minorHAnsi"/>
          <w:sz w:val="22"/>
          <w:szCs w:val="22"/>
        </w:rPr>
      </w:pPr>
    </w:p>
    <w:p w14:paraId="42BA38F6" w14:textId="630FC5D7" w:rsidR="003978A0" w:rsidRPr="00F43D07" w:rsidRDefault="000202DE" w:rsidP="00D47759">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1F425485" w14:textId="56567904" w:rsidR="00E4044A" w:rsidRDefault="001A46D7" w:rsidP="00D47759">
      <w:pPr>
        <w:contextualSpacing/>
        <w:rPr>
          <w:rFonts w:eastAsia="Times New Roman" w:cstheme="minorHAnsi"/>
          <w:sz w:val="22"/>
          <w:szCs w:val="22"/>
        </w:rPr>
      </w:pPr>
      <w:r w:rsidRPr="001A46D7">
        <w:rPr>
          <w:rFonts w:eastAsia="Times New Roman" w:cstheme="minorHAnsi"/>
          <w:noProof/>
          <w:sz w:val="22"/>
          <w:szCs w:val="22"/>
        </w:rPr>
        <w:lastRenderedPageBreak/>
        <w:drawing>
          <wp:inline distT="0" distB="0" distL="0" distR="0" wp14:anchorId="4E6D80CB" wp14:editId="39D60CD8">
            <wp:extent cx="5943600" cy="3088005"/>
            <wp:effectExtent l="0" t="0" r="0" b="0"/>
            <wp:docPr id="125313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5886" name=""/>
                    <pic:cNvPicPr/>
                  </pic:nvPicPr>
                  <pic:blipFill>
                    <a:blip r:embed="rId18"/>
                    <a:stretch>
                      <a:fillRect/>
                    </a:stretch>
                  </pic:blipFill>
                  <pic:spPr>
                    <a:xfrm>
                      <a:off x="0" y="0"/>
                      <a:ext cx="5943600" cy="3088005"/>
                    </a:xfrm>
                    <a:prstGeom prst="rect">
                      <a:avLst/>
                    </a:prstGeom>
                  </pic:spPr>
                </pic:pic>
              </a:graphicData>
            </a:graphic>
          </wp:inline>
        </w:drawing>
      </w:r>
    </w:p>
    <w:p w14:paraId="399C5DE1" w14:textId="1648FD2D" w:rsidR="00930139" w:rsidRPr="00B7788F" w:rsidRDefault="00930139" w:rsidP="00D47759">
      <w:pPr>
        <w:contextualSpacing/>
        <w:rPr>
          <w:rFonts w:eastAsia="Times New Roman" w:cstheme="minorHAnsi"/>
          <w:sz w:val="22"/>
          <w:szCs w:val="22"/>
        </w:rPr>
      </w:pPr>
      <w:r w:rsidRPr="00930139">
        <w:rPr>
          <w:rFonts w:eastAsia="Times New Roman" w:cstheme="minorHAnsi"/>
          <w:noProof/>
          <w:sz w:val="22"/>
          <w:szCs w:val="22"/>
        </w:rPr>
        <w:drawing>
          <wp:inline distT="0" distB="0" distL="0" distR="0" wp14:anchorId="0925605F" wp14:editId="79EED8C0">
            <wp:extent cx="5772956" cy="1943371"/>
            <wp:effectExtent l="0" t="0" r="0" b="0"/>
            <wp:docPr id="72594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5186" name=""/>
                    <pic:cNvPicPr/>
                  </pic:nvPicPr>
                  <pic:blipFill>
                    <a:blip r:embed="rId19"/>
                    <a:stretch>
                      <a:fillRect/>
                    </a:stretch>
                  </pic:blipFill>
                  <pic:spPr>
                    <a:xfrm>
                      <a:off x="0" y="0"/>
                      <a:ext cx="5772956" cy="1943371"/>
                    </a:xfrm>
                    <a:prstGeom prst="rect">
                      <a:avLst/>
                    </a:prstGeom>
                  </pic:spPr>
                </pic:pic>
              </a:graphicData>
            </a:graphic>
          </wp:inline>
        </w:drawing>
      </w:r>
    </w:p>
    <w:p w14:paraId="70DC1555" w14:textId="462B420F" w:rsidR="00E33862" w:rsidRPr="00B7788F" w:rsidRDefault="009446BF" w:rsidP="00D47759">
      <w:pPr>
        <w:rPr>
          <w:rFonts w:cstheme="minorHAnsi"/>
          <w:sz w:val="22"/>
          <w:szCs w:val="22"/>
        </w:rPr>
      </w:pPr>
      <w:r>
        <w:rPr>
          <w:rFonts w:cstheme="minorHAnsi"/>
          <w:sz w:val="22"/>
          <w:szCs w:val="22"/>
        </w:rPr>
        <w:br w:type="page"/>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3B61ABE" w14:textId="77777777" w:rsidR="001A680F" w:rsidRDefault="001A680F" w:rsidP="001A680F">
      <w:pPr>
        <w:ind w:firstLine="360"/>
        <w:contextualSpacing/>
        <w:rPr>
          <w:rFonts w:eastAsia="Times New Roman"/>
          <w:sz w:val="22"/>
          <w:szCs w:val="22"/>
        </w:rPr>
      </w:pPr>
      <w:r w:rsidRPr="001A680F">
        <w:rPr>
          <w:rFonts w:eastAsia="Times New Roman"/>
          <w:sz w:val="22"/>
          <w:szCs w:val="22"/>
        </w:rPr>
        <w:t>The first part of the vulnerability assessment process flow is the architecture review. The program is a web application that did not include any data encryption, no SSL certificate, and an outdated OWASP Dependency-Check plugin (version 5.3.0). After updating the plugin to version 12.2.0, running the dependency check, and suppressing confirmed false positives, the architecture review determined the scope of the manual code review needed.</w:t>
      </w:r>
    </w:p>
    <w:p w14:paraId="41C59442" w14:textId="77777777" w:rsidR="001A680F" w:rsidRPr="001A680F" w:rsidRDefault="001A680F" w:rsidP="001A680F">
      <w:pPr>
        <w:ind w:firstLine="360"/>
        <w:contextualSpacing/>
        <w:rPr>
          <w:rFonts w:eastAsia="Times New Roman"/>
          <w:sz w:val="22"/>
          <w:szCs w:val="22"/>
        </w:rPr>
      </w:pPr>
    </w:p>
    <w:p w14:paraId="7C2C9CC6" w14:textId="6EA8C383" w:rsidR="001A680F" w:rsidRPr="001A680F" w:rsidRDefault="001A680F" w:rsidP="001A680F">
      <w:pPr>
        <w:ind w:firstLine="360"/>
        <w:contextualSpacing/>
        <w:rPr>
          <w:rFonts w:eastAsia="Times New Roman"/>
          <w:sz w:val="22"/>
          <w:szCs w:val="22"/>
        </w:rPr>
      </w:pPr>
      <w:r w:rsidRPr="001A680F">
        <w:rPr>
          <w:rFonts w:eastAsia="Times New Roman"/>
          <w:sz w:val="22"/>
          <w:szCs w:val="22"/>
        </w:rPr>
        <w:t>Starting with input validation, this is not a concern for this application because all data is hardcoded</w:t>
      </w:r>
      <w:r>
        <w:rPr>
          <w:rFonts w:eastAsia="Times New Roman"/>
          <w:sz w:val="22"/>
          <w:szCs w:val="22"/>
        </w:rPr>
        <w:t>,</w:t>
      </w:r>
      <w:r w:rsidRPr="001A680F">
        <w:rPr>
          <w:rFonts w:eastAsia="Times New Roman"/>
          <w:sz w:val="22"/>
          <w:szCs w:val="22"/>
        </w:rPr>
        <w:t xml:space="preserve"> no user input is accepted. Next, the API was reviewed and found to have no external user interactions, making it secure in its current form. Cryptography was the primary area of focus, where SHA-256 was implemented using Java's MessageDigest class to produce a checksum of the application data. Following that, client-server security was addressed by configuring TLS through Java's keytool utility, which generates a key pair and self-signed certificate stored in a keystore file, enabling HTTPS on port 8443. Code errors are handled with try-catch blocks in the hashing function, catching both NoSuchAlgorithmException and UnsupportedEncodingException and returning controlled error messages rather than exposing stack traces. Finally, code quality and encapsulation were verified — the simplicity of the program, with a single controller class and one endpoint, makes both straightforward to confirm. The last step was verifying that the refactored code runs without errors and returns the expected hash output.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269B931" w14:textId="77777777" w:rsidR="001B15B9" w:rsidRPr="001B15B9" w:rsidRDefault="001B15B9" w:rsidP="001B15B9">
      <w:pPr>
        <w:ind w:firstLine="360"/>
        <w:rPr>
          <w:rFonts w:eastAsia="Times New Roman"/>
          <w:sz w:val="22"/>
          <w:szCs w:val="22"/>
        </w:rPr>
      </w:pPr>
      <w:r w:rsidRPr="001B15B9">
        <w:rPr>
          <w:rFonts w:eastAsia="Times New Roman"/>
          <w:sz w:val="22"/>
          <w:szCs w:val="22"/>
        </w:rPr>
        <w:t>Industry standard best practices were implemented throughout the project using standard Java security tools, including the keytool utility and the MessageDigest class. Best practices were also maintained through the use of SHA-256, a NIST-approved hashing algorithm, and OWASP Dependency-Check for third-party library vulnerability scanning. Both NIST and OWASP are highly respected authorities in the cybersecurity space, making their standards a reliable foundation for secure development decisions. Another application of industry best practices was the implementation of HTTPS with Transport Layer Security, ensuring all communication between the client and server is encrypted in transit. One known drawback is the hardcoding of the keystore password in application.properties, which in a real-world environment would be pulled from an external secrets manager or environment variable rather than stored in plaintext.</w:t>
      </w:r>
    </w:p>
    <w:p w14:paraId="366622C8" w14:textId="77777777" w:rsidR="001B15B9" w:rsidRDefault="001B15B9" w:rsidP="001B15B9">
      <w:pPr>
        <w:ind w:firstLine="360"/>
        <w:rPr>
          <w:rFonts w:eastAsia="Times New Roman"/>
          <w:sz w:val="22"/>
          <w:szCs w:val="22"/>
        </w:rPr>
      </w:pPr>
    </w:p>
    <w:p w14:paraId="7CF246DE" w14:textId="55C38A16" w:rsidR="001B15B9" w:rsidRPr="001B15B9" w:rsidRDefault="001B15B9" w:rsidP="001B15B9">
      <w:pPr>
        <w:ind w:firstLine="360"/>
        <w:rPr>
          <w:rFonts w:eastAsia="Times New Roman"/>
          <w:sz w:val="22"/>
          <w:szCs w:val="22"/>
        </w:rPr>
      </w:pPr>
      <w:r w:rsidRPr="001B15B9">
        <w:rPr>
          <w:rFonts w:eastAsia="Times New Roman"/>
          <w:sz w:val="22"/>
          <w:szCs w:val="22"/>
        </w:rPr>
        <w:t>One of the main values of applying these practices for Artemis Financial is risk reduction. TLS encryption ensures that even if an attacker intercepts transmitted data, they are unable to read it. The SHA-256 checksum provides a separate layer of data integrity verification, allowing the recipient to confirm that the data has not been altered in transit. Together these two mechanisms address both confidentiality and integrity</w:t>
      </w:r>
      <w:r>
        <w:rPr>
          <w:rFonts w:eastAsia="Times New Roman"/>
          <w:sz w:val="22"/>
          <w:szCs w:val="22"/>
        </w:rPr>
        <w:t>,</w:t>
      </w:r>
      <w:r w:rsidRPr="001B15B9">
        <w:rPr>
          <w:rFonts w:eastAsia="Times New Roman"/>
          <w:sz w:val="22"/>
          <w:szCs w:val="22"/>
        </w:rPr>
        <w:t xml:space="preserve"> two of the core pillars of information security. The other benefit to Artemis is a strong reputation around security and confidentiality. Companies that do not deploy secure coding practices frequently become victims of attacks and lose consumer confidence as a result. For a financial consulting firm handling clients' savings, retirement, and investment data, that confidence is a direct business asset.</w:t>
      </w:r>
    </w:p>
    <w:p w14:paraId="4B618B1E" w14:textId="7D070C24" w:rsidR="004A2F82" w:rsidRDefault="004A2F82" w:rsidP="001B15B9">
      <w:pPr>
        <w:ind w:firstLine="360"/>
        <w:rPr>
          <w:rFonts w:eastAsia="Times New Roman"/>
          <w:sz w:val="22"/>
          <w:szCs w:val="22"/>
        </w:rPr>
      </w:pPr>
      <w:r>
        <w:rPr>
          <w:rFonts w:eastAsia="Times New Roman"/>
          <w:sz w:val="22"/>
          <w:szCs w:val="22"/>
        </w:rPr>
        <w:br w:type="page"/>
      </w:r>
    </w:p>
    <w:p w14:paraId="476DB397" w14:textId="77777777" w:rsidR="004A2F82" w:rsidRPr="004A2F82" w:rsidRDefault="004A2F82" w:rsidP="004A2F82">
      <w:pPr>
        <w:contextualSpacing/>
        <w:rPr>
          <w:rFonts w:eastAsia="Times New Roman"/>
          <w:sz w:val="22"/>
          <w:szCs w:val="22"/>
        </w:rPr>
      </w:pPr>
      <w:r w:rsidRPr="004A2F82">
        <w:rPr>
          <w:rFonts w:eastAsia="Times New Roman"/>
          <w:sz w:val="22"/>
          <w:szCs w:val="22"/>
        </w:rPr>
        <w:lastRenderedPageBreak/>
        <w:t>References</w:t>
      </w:r>
    </w:p>
    <w:p w14:paraId="568F8930" w14:textId="77777777" w:rsidR="004A2F82" w:rsidRPr="004A2F82" w:rsidRDefault="004A2F82" w:rsidP="004A2F82">
      <w:pPr>
        <w:contextualSpacing/>
        <w:rPr>
          <w:rFonts w:eastAsia="Times New Roman"/>
          <w:sz w:val="22"/>
          <w:szCs w:val="22"/>
        </w:rPr>
      </w:pPr>
    </w:p>
    <w:p w14:paraId="5B8ECE67" w14:textId="77777777" w:rsidR="004A2F82" w:rsidRPr="004A2F82" w:rsidRDefault="004A2F82" w:rsidP="004A2F82">
      <w:pPr>
        <w:contextualSpacing/>
        <w:rPr>
          <w:rFonts w:eastAsia="Times New Roman"/>
          <w:sz w:val="22"/>
          <w:szCs w:val="22"/>
        </w:rPr>
      </w:pPr>
      <w:r w:rsidRPr="004A2F82">
        <w:rPr>
          <w:rFonts w:eastAsia="Times New Roman"/>
          <w:sz w:val="22"/>
          <w:szCs w:val="22"/>
        </w:rPr>
        <w:t>Dumitra, S. (2015). Sha Family Functions. Journal of Applied Quantitative Methods, 10(3), 47–58.</w:t>
      </w:r>
    </w:p>
    <w:p w14:paraId="109128B4" w14:textId="77777777" w:rsidR="004A2F82" w:rsidRPr="004A2F82" w:rsidRDefault="004A2F82" w:rsidP="004A2F82">
      <w:pPr>
        <w:contextualSpacing/>
        <w:rPr>
          <w:rFonts w:eastAsia="Times New Roman"/>
          <w:sz w:val="22"/>
          <w:szCs w:val="22"/>
        </w:rPr>
      </w:pPr>
    </w:p>
    <w:p w14:paraId="69DB4B51" w14:textId="1CE54928" w:rsidR="004A2F82" w:rsidRPr="004A2F82" w:rsidRDefault="004A2F82" w:rsidP="004A2F82">
      <w:pPr>
        <w:contextualSpacing/>
        <w:rPr>
          <w:rFonts w:eastAsia="Times New Roman"/>
          <w:sz w:val="22"/>
          <w:szCs w:val="22"/>
        </w:rPr>
      </w:pPr>
      <w:r w:rsidRPr="004A2F82">
        <w:rPr>
          <w:rFonts w:eastAsia="Times New Roman"/>
          <w:sz w:val="22"/>
          <w:szCs w:val="22"/>
        </w:rPr>
        <w:t xml:space="preserve">Oracle. (2017). Java security standard algorithm names: Cipher algorithm names. Java Platform, </w:t>
      </w:r>
    </w:p>
    <w:p w14:paraId="5EBFEFEB" w14:textId="77777777" w:rsidR="004A2F82" w:rsidRPr="004A2F82" w:rsidRDefault="004A2F82" w:rsidP="004A2F82">
      <w:pPr>
        <w:ind w:firstLine="720"/>
        <w:contextualSpacing/>
        <w:rPr>
          <w:rFonts w:eastAsia="Times New Roman"/>
          <w:sz w:val="22"/>
          <w:szCs w:val="22"/>
        </w:rPr>
      </w:pPr>
      <w:r w:rsidRPr="004A2F82">
        <w:rPr>
          <w:rFonts w:eastAsia="Times New Roman"/>
          <w:sz w:val="22"/>
          <w:szCs w:val="22"/>
        </w:rPr>
        <w:t>Standard Edition 9. https://docs.oracle.com/javase/9/docs/specs/security/standard-</w:t>
      </w:r>
    </w:p>
    <w:p w14:paraId="6F13D8CA" w14:textId="0463E171" w:rsidR="004A2F82" w:rsidRPr="00B7788F" w:rsidRDefault="004A2F82" w:rsidP="004A2F82">
      <w:pPr>
        <w:ind w:left="720"/>
        <w:contextualSpacing/>
        <w:rPr>
          <w:rFonts w:eastAsia="Times New Roman"/>
          <w:sz w:val="22"/>
          <w:szCs w:val="22"/>
        </w:rPr>
      </w:pPr>
      <w:r w:rsidRPr="004A2F82">
        <w:rPr>
          <w:rFonts w:eastAsia="Times New Roman"/>
          <w:sz w:val="22"/>
          <w:szCs w:val="22"/>
        </w:rPr>
        <w:t>names.html#cipher-algorithm-names</w:t>
      </w:r>
    </w:p>
    <w:sectPr w:rsidR="004A2F82"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1CBC" w14:textId="77777777" w:rsidR="00256A12" w:rsidRDefault="00256A12" w:rsidP="002F3F84">
      <w:r>
        <w:separator/>
      </w:r>
    </w:p>
  </w:endnote>
  <w:endnote w:type="continuationSeparator" w:id="0">
    <w:p w14:paraId="71E60699" w14:textId="77777777" w:rsidR="00256A12" w:rsidRDefault="00256A12" w:rsidP="002F3F84">
      <w:r>
        <w:continuationSeparator/>
      </w:r>
    </w:p>
  </w:endnote>
  <w:endnote w:type="continuationNotice" w:id="1">
    <w:p w14:paraId="03DC7D76" w14:textId="77777777" w:rsidR="00256A12" w:rsidRDefault="00256A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043E" w14:textId="77777777" w:rsidR="00256A12" w:rsidRDefault="00256A12" w:rsidP="002F3F84">
      <w:r>
        <w:separator/>
      </w:r>
    </w:p>
  </w:footnote>
  <w:footnote w:type="continuationSeparator" w:id="0">
    <w:p w14:paraId="146ECAFA" w14:textId="77777777" w:rsidR="00256A12" w:rsidRDefault="00256A12" w:rsidP="002F3F84">
      <w:r>
        <w:continuationSeparator/>
      </w:r>
    </w:p>
  </w:footnote>
  <w:footnote w:type="continuationNotice" w:id="1">
    <w:p w14:paraId="7D89104D" w14:textId="77777777" w:rsidR="00256A12" w:rsidRDefault="00256A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63887783">
    <w:abstractNumId w:val="16"/>
  </w:num>
  <w:num w:numId="2" w16cid:durableId="1478760378">
    <w:abstractNumId w:val="20"/>
  </w:num>
  <w:num w:numId="3" w16cid:durableId="186258111">
    <w:abstractNumId w:val="6"/>
  </w:num>
  <w:num w:numId="4" w16cid:durableId="2104378347">
    <w:abstractNumId w:val="8"/>
  </w:num>
  <w:num w:numId="5" w16cid:durableId="9533255">
    <w:abstractNumId w:val="4"/>
  </w:num>
  <w:num w:numId="6" w16cid:durableId="699088968">
    <w:abstractNumId w:val="17"/>
  </w:num>
  <w:num w:numId="7" w16cid:durableId="597561949">
    <w:abstractNumId w:val="12"/>
    <w:lvlOverride w:ilvl="0">
      <w:lvl w:ilvl="0">
        <w:numFmt w:val="lowerLetter"/>
        <w:lvlText w:val="%1."/>
        <w:lvlJc w:val="left"/>
      </w:lvl>
    </w:lvlOverride>
  </w:num>
  <w:num w:numId="8" w16cid:durableId="745886456">
    <w:abstractNumId w:val="5"/>
  </w:num>
  <w:num w:numId="9" w16cid:durableId="1331519861">
    <w:abstractNumId w:val="1"/>
    <w:lvlOverride w:ilvl="0">
      <w:lvl w:ilvl="0">
        <w:numFmt w:val="lowerLetter"/>
        <w:lvlText w:val="%1."/>
        <w:lvlJc w:val="left"/>
      </w:lvl>
    </w:lvlOverride>
  </w:num>
  <w:num w:numId="10" w16cid:durableId="2079939679">
    <w:abstractNumId w:val="0"/>
  </w:num>
  <w:num w:numId="11" w16cid:durableId="1881631473">
    <w:abstractNumId w:val="3"/>
  </w:num>
  <w:num w:numId="12" w16cid:durableId="985864413">
    <w:abstractNumId w:val="19"/>
  </w:num>
  <w:num w:numId="13" w16cid:durableId="1776831006">
    <w:abstractNumId w:val="15"/>
  </w:num>
  <w:num w:numId="14" w16cid:durableId="1462767224">
    <w:abstractNumId w:val="2"/>
  </w:num>
  <w:num w:numId="15" w16cid:durableId="493183989">
    <w:abstractNumId w:val="11"/>
  </w:num>
  <w:num w:numId="16" w16cid:durableId="1751582212">
    <w:abstractNumId w:val="9"/>
  </w:num>
  <w:num w:numId="17" w16cid:durableId="108202138">
    <w:abstractNumId w:val="14"/>
  </w:num>
  <w:num w:numId="18" w16cid:durableId="322203520">
    <w:abstractNumId w:val="18"/>
  </w:num>
  <w:num w:numId="19" w16cid:durableId="2101294237">
    <w:abstractNumId w:val="7"/>
  </w:num>
  <w:num w:numId="20" w16cid:durableId="1187132478">
    <w:abstractNumId w:val="13"/>
  </w:num>
  <w:num w:numId="21" w16cid:durableId="1200817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226EE"/>
    <w:rsid w:val="00144936"/>
    <w:rsid w:val="00151233"/>
    <w:rsid w:val="00164480"/>
    <w:rsid w:val="00177698"/>
    <w:rsid w:val="00182245"/>
    <w:rsid w:val="00183C9F"/>
    <w:rsid w:val="00187548"/>
    <w:rsid w:val="001933BA"/>
    <w:rsid w:val="001A381D"/>
    <w:rsid w:val="001A46D7"/>
    <w:rsid w:val="001A680F"/>
    <w:rsid w:val="001B15B9"/>
    <w:rsid w:val="001B4F8C"/>
    <w:rsid w:val="001F5F49"/>
    <w:rsid w:val="002001E0"/>
    <w:rsid w:val="00234FC3"/>
    <w:rsid w:val="00246C90"/>
    <w:rsid w:val="00256A12"/>
    <w:rsid w:val="00271E26"/>
    <w:rsid w:val="0027476F"/>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2F8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2D71"/>
    <w:rsid w:val="006B66FE"/>
    <w:rsid w:val="006E1A73"/>
    <w:rsid w:val="006E29F2"/>
    <w:rsid w:val="006E3003"/>
    <w:rsid w:val="00701A84"/>
    <w:rsid w:val="00706BE7"/>
    <w:rsid w:val="0071273D"/>
    <w:rsid w:val="0076659B"/>
    <w:rsid w:val="00790486"/>
    <w:rsid w:val="00791BBE"/>
    <w:rsid w:val="00793EE5"/>
    <w:rsid w:val="00797EC8"/>
    <w:rsid w:val="00816AE9"/>
    <w:rsid w:val="00824ABB"/>
    <w:rsid w:val="00826665"/>
    <w:rsid w:val="00844A5D"/>
    <w:rsid w:val="00861EC1"/>
    <w:rsid w:val="00874EC1"/>
    <w:rsid w:val="008802BA"/>
    <w:rsid w:val="008A7514"/>
    <w:rsid w:val="008B068E"/>
    <w:rsid w:val="00930139"/>
    <w:rsid w:val="00940B1A"/>
    <w:rsid w:val="009446BF"/>
    <w:rsid w:val="00957280"/>
    <w:rsid w:val="009714E8"/>
    <w:rsid w:val="00974AE3"/>
    <w:rsid w:val="009826D6"/>
    <w:rsid w:val="009B11AB"/>
    <w:rsid w:val="009C6202"/>
    <w:rsid w:val="009C7B99"/>
    <w:rsid w:val="009D3129"/>
    <w:rsid w:val="009E099F"/>
    <w:rsid w:val="009F285B"/>
    <w:rsid w:val="00A2133A"/>
    <w:rsid w:val="00A61060"/>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95F09"/>
    <w:rsid w:val="00C32F3D"/>
    <w:rsid w:val="00C41B36"/>
    <w:rsid w:val="00C56FC2"/>
    <w:rsid w:val="00C67FA3"/>
    <w:rsid w:val="00CD6206"/>
    <w:rsid w:val="00CE44E9"/>
    <w:rsid w:val="00CF445D"/>
    <w:rsid w:val="00CF618A"/>
    <w:rsid w:val="00D0558B"/>
    <w:rsid w:val="00D47759"/>
    <w:rsid w:val="00D62929"/>
    <w:rsid w:val="00D64341"/>
    <w:rsid w:val="00DB5652"/>
    <w:rsid w:val="00DD6742"/>
    <w:rsid w:val="00E02BD0"/>
    <w:rsid w:val="00E2578D"/>
    <w:rsid w:val="00E33862"/>
    <w:rsid w:val="00E4044A"/>
    <w:rsid w:val="00E5594E"/>
    <w:rsid w:val="00E66FC0"/>
    <w:rsid w:val="00E941D0"/>
    <w:rsid w:val="00E94646"/>
    <w:rsid w:val="00EB1CEC"/>
    <w:rsid w:val="00EB4E90"/>
    <w:rsid w:val="00EC29F5"/>
    <w:rsid w:val="00ED1CC4"/>
    <w:rsid w:val="00EE3EAE"/>
    <w:rsid w:val="00EF4D6F"/>
    <w:rsid w:val="00F432FF"/>
    <w:rsid w:val="00F43D07"/>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9</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7668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Steven Tepsic</cp:lastModifiedBy>
  <cp:revision>9</cp:revision>
  <dcterms:created xsi:type="dcterms:W3CDTF">2026-04-15T23:07:00Z</dcterms:created>
  <dcterms:modified xsi:type="dcterms:W3CDTF">2026-04-18T01:21:00Z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