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  <w:r>
        <w:t xml:space="preserve"> </w:t>
      </w:r>
      <w:r>
        <w:t xml:space="preserve">ABEONA</w:t>
      </w:r>
      <w:r>
        <w:t xml:space="preserve"> </w:t>
      </w:r>
      <w:r>
        <w:t xml:space="preserve">Crew</w:t>
      </w:r>
      <w:r>
        <w:t xml:space="preserve"> </w:t>
      </w:r>
      <w:r>
        <w:t xml:space="preserve">Capsule</w:t>
      </w:r>
      <w:r>
        <w:t xml:space="preserve"> </w:t>
      </w:r>
      <w:r>
        <w:t xml:space="preserve">Service</w:t>
      </w:r>
      <w:r>
        <w:t xml:space="preserve"> </w:t>
      </w:r>
      <w:r>
        <w:t xml:space="preserve">Module:</w:t>
      </w:r>
      <w:r>
        <w:br/>
      </w:r>
      <w:r>
        <w:t xml:space="preserve">Propulsion</w:t>
      </w:r>
      <w:r>
        <w:t xml:space="preserve"> </w:t>
      </w:r>
      <w:r>
        <w:t xml:space="preserve">CAD</w:t>
      </w:r>
      <w:r>
        <w:t xml:space="preserve"> </w:t>
      </w:r>
      <w:r>
        <w:t xml:space="preserve">Model</w:t>
      </w:r>
      <w:r>
        <w:t xml:space="preserve"> </w:t>
      </w:r>
      <w:r>
        <w:t xml:space="preserve">and</w:t>
      </w:r>
      <w:r>
        <w:t xml:space="preserve"> </w:t>
      </w:r>
      <w:r>
        <w:t xml:space="preserve">Performance</w:t>
      </w:r>
      <w:r>
        <w:t xml:space="preserve"> </w:t>
      </w:r>
      <w:r>
        <w:t xml:space="preserve">Verification</w:t>
      </w:r>
    </w:p>
    <w:p>
      <w:pPr>
        <w:pStyle w:val="Author"/>
      </w:pPr>
      <w:r>
        <w:t xml:space="preserve">[Your</w:t>
      </w:r>
      <w:r>
        <w:t xml:space="preserve"> </w:t>
      </w:r>
      <w:r>
        <w:t xml:space="preserve">Name]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report documents the Onshape CAD model of the Project ABEONA Crew Capsule service-module propulsion system and an</w:t>
      </w:r>
      <w:r>
        <w:t xml:space="preserve"> </w:t>
      </w:r>
      <w:r>
        <w:t xml:space="preserve">independent check of the main-engine performance. The model contains the 25 kN NTO/MMH main engine, the two propellant</w:t>
      </w:r>
      <w:r>
        <w:t xml:space="preserve"> </w:t>
      </w:r>
      <w:r>
        <w:t xml:space="preserve">tanks, four helium pressurant bottles, the propellant feed and helium pressurization lines, and reference shells for the</w:t>
      </w:r>
      <w:r>
        <w:t xml:space="preserve"> </w:t>
      </w:r>
      <w:r>
        <w:t xml:space="preserve">service module, the capsule and the launch escape system (LES).</w:t>
      </w:r>
    </w:p>
    <w:p>
      <w:pPr>
        <w:pStyle w:val="BodyText"/>
      </w:pPr>
      <w:r>
        <w:t xml:space="preserve">The engine geometry and the layout were generated by the main-engine design analysis [1] and were not changed, except</w:t>
      </w:r>
      <w:r>
        <w:t xml:space="preserve"> </w:t>
      </w:r>
      <w:r>
        <w:t xml:space="preserve">where noted in Sec. </w:t>
      </w:r>
      <w:hyperlink w:anchor="sec:changes">
        <w:r>
          <w:rPr>
            <w:rStyle w:val="Hyperlink"/>
          </w:rPr>
          <w:t xml:space="preserve">3</w:t>
        </w:r>
      </w:hyperlink>
      <w:r>
        <w:t xml:space="preserve">. The tank size, envelope and LES shape follow the Preliminary Design Review (PDR)</w:t>
      </w:r>
      <w:r>
        <w:t xml:space="preserve"> </w:t>
      </w:r>
      <w:r>
        <w:t xml:space="preserve">crew-capsule drawing [2,3]. The vehicle numbers come from the Crew Capsule tab of</w:t>
      </w:r>
      <w:r>
        <w:t xml:space="preserve"> </w:t>
      </w:r>
      <w:r>
        <w:rPr>
          <w:rStyle w:val="VerbatimChar"/>
        </w:rPr>
        <w:t xml:space="preserve">Mission_Breakdown.xlsx</w:t>
      </w:r>
      <w:r>
        <w:t xml:space="preserve"> </w:t>
      </w:r>
      <w:r>
        <w:t xml:space="preserve">[4].</w:t>
      </w:r>
      <w:r>
        <w:t xml:space="preserve"> </w:t>
      </w:r>
      <w:r>
        <w:t xml:space="preserve">The ideal performance was re-computed with RocketCEA [5], which wraps NASA CEA [6], and compared with the in-house</w:t>
      </w:r>
      <w:r>
        <w:t xml:space="preserve"> </w:t>
      </w:r>
      <w:r>
        <w:t xml:space="preserve">equilibrium solver used in [1] (Sec. </w:t>
      </w:r>
      <w:hyperlink w:anchor="sec:cea">
        <w:r>
          <w:rPr>
            <w:rStyle w:val="Hyperlink"/>
          </w:rPr>
          <w:t xml:space="preserve">8</w:t>
        </w:r>
      </w:hyperlink>
      <w:r>
        <w:t xml:space="preserve">).</w:t>
      </w:r>
    </w:p>
    <w:bookmarkEnd w:id="20"/>
    <w:bookmarkStart w:id="39" w:name="model-construction"/>
    <w:p>
      <w:pPr>
        <w:pStyle w:val="Heading1"/>
      </w:pPr>
      <w:r>
        <w:t xml:space="preserve">Model Construction</w:t>
      </w:r>
    </w:p>
    <w:p>
      <w:pPr>
        <w:pStyle w:val="FirstParagraph"/>
      </w:pPr>
      <w:r>
        <w:t xml:space="preserve">The whole model is one parametric Onshape feature,</w:t>
      </w:r>
      <w:r>
        <w:t xml:space="preserve"> </w:t>
      </w:r>
      <w:r>
        <w:rPr>
          <w:iCs/>
          <w:i/>
        </w:rPr>
        <w:t xml:space="preserve">ABEONA engine and tanks</w:t>
      </w:r>
      <w:r>
        <w:t xml:space="preserve">. It is written in FeatureScript and</w:t>
      </w:r>
      <w:r>
        <w:t xml:space="preserve"> </w:t>
      </w:r>
      <w:r>
        <w:t xml:space="preserve">generated by a Python script from the analysis outputs</w:t>
      </w:r>
      <w:r>
        <w:t xml:space="preserve"> </w:t>
      </w:r>
      <w:r>
        <w:rPr>
          <w:rStyle w:val="VerbatimChar"/>
        </w:rPr>
        <w:t xml:space="preserve">engine_profile.csv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layout.json</w:t>
      </w:r>
      <w:r>
        <w:t xml:space="preserve"> </w:t>
      </w:r>
      <w:r>
        <w:t xml:space="preserve">[1]. The model</w:t>
      </w:r>
      <w:r>
        <w:t xml:space="preserve"> </w:t>
      </w:r>
      <w:r>
        <w:t xml:space="preserve">can therefore be rebuilt from the analysis files at any time. Units are millimetres. The origin is at the service-module</w:t>
      </w:r>
      <w:r>
        <w:t xml:space="preserve"> </w:t>
      </w:r>
      <w:r>
        <w:t xml:space="preserve">(SM) base on the vehicle axis, with +Z up. Figures </w:t>
      </w:r>
      <w:hyperlink w:anchor="fig:iso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</w:t>
      </w:r>
      <w:r>
        <w:t xml:space="preserve"> </w:t>
      </w:r>
      <w:hyperlink w:anchor="fig:fron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 the full model.</w:t>
      </w:r>
    </w:p>
    <w:p>
      <w:pPr>
        <w:pStyle w:val="CaptionedFigure"/>
      </w:pPr>
      <w:r>
        <w:drawing>
          <wp:inline>
            <wp:extent cx="2400300" cy="32004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ad_is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Full model, isometric view.</w:t>
      </w:r>
    </w:p>
    <w:p>
      <w:pPr>
        <w:pStyle w:val="CaptionedFigure"/>
      </w:pPr>
      <w:r>
        <w:drawing>
          <wp:inline>
            <wp:extent cx="2400300" cy="3200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ad_fron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Full model, front view.</w:t>
      </w:r>
    </w:p>
    <w:bookmarkStart w:id="27" w:name="engine"/>
    <w:p>
      <w:pPr>
        <w:pStyle w:val="Heading2"/>
      </w:pPr>
      <w:r>
        <w:t xml:space="preserve">Engine</w:t>
      </w:r>
    </w:p>
    <w:p>
      <w:pPr>
        <w:pStyle w:val="FirstParagraph"/>
      </w:pPr>
      <w:r>
        <w:t xml:space="preserve">The ablative liner, the titanium case and the C-103 nozzle extension are each revolved 360° about the vehicle axis</w:t>
      </w:r>
      <w:r>
        <w:t xml:space="preserve"> </w:t>
      </w:r>
      <w:r>
        <w:t xml:space="preserve">from the analysis contour. Each is a single smooth body: the gas-side and outer contours are fitted splines through the</w:t>
      </w:r>
      <w:r>
        <w:t xml:space="preserve"> </w:t>
      </w:r>
      <w:r>
        <w:t xml:space="preserve">contour stations. The cylindrical chamber section is a straight line. The extension is the gas-side spline surface</w:t>
      </w:r>
      <w:r>
        <w:t xml:space="preserve"> </w:t>
      </w:r>
      <w:r>
        <w:t xml:space="preserve">thickened outward by a constant 0.6 mm. It is trimmed where it meets the liner end face at area ratio 6. The liner, case</w:t>
      </w:r>
      <w:r>
        <w:t xml:space="preserve"> </w:t>
      </w:r>
      <w:r>
        <w:t xml:space="preserve">and extension stay separate parts because they are different materials.</w:t>
      </w:r>
    </w:p>
    <w:p>
      <w:pPr>
        <w:pStyle w:val="BodyText"/>
      </w:pPr>
      <w:r>
        <w:t xml:space="preserve">The injector is a 20 mm 304L plate at chamber diameter with twelve quarter-wave acoustic cavities, each 59.4 mm deep [1].</w:t>
      </w:r>
      <w:r>
        <w:t xml:space="preserve"> </w:t>
      </w:r>
      <w:r>
        <w:t xml:space="preserve">The analysis gives only the number and depth of the cavities, so they are modelled as axial Ø16 mm bores on a 100 mm</w:t>
      </w:r>
      <w:r>
        <w:t xml:space="preserve"> </w:t>
      </w:r>
      <w:r>
        <w:t xml:space="preserve">pitch radius. The valve, gimbal and head stack is a cylinder 350 mm long, from the injector face to the gimbal plane. Its</w:t>
      </w:r>
      <w:r>
        <w:t xml:space="preserve"> </w:t>
      </w:r>
      <w:r>
        <w:t xml:space="preserve">density is set so that the cylinder carries the 44 kg budgeted in [1] for valves, gimbal actuators and miscellaneous items.</w:t>
      </w:r>
    </w:p>
    <w:bookmarkEnd w:id="27"/>
    <w:bookmarkStart w:id="28" w:name="tanks-pressurant-and-envelope"/>
    <w:p>
      <w:pPr>
        <w:pStyle w:val="Heading2"/>
      </w:pPr>
      <w:r>
        <w:t xml:space="preserve">Tanks, pressurant and envelope</w:t>
      </w:r>
    </w:p>
    <w:p>
      <w:pPr>
        <w:pStyle w:val="FirstParagraph"/>
      </w:pPr>
      <w:r>
        <w:t xml:space="preserve">The NTO and MMH tanks are Ti-6Al-4V spherical shells. The helium bottles are spherical shells with a 20 mm wall and a</w:t>
      </w:r>
      <w:r>
        <w:t xml:space="preserve"> </w:t>
      </w:r>
      <w:r>
        <w:t xml:space="preserve">density chosen to carry the composite overwrapped pressure vessel (COPV) mass of [1]. The SM envelope (4.98 m diameter,</w:t>
      </w:r>
      <w:r>
        <w:t xml:space="preserve"> </w:t>
      </w:r>
      <w:r>
        <w:t xml:space="preserve">6 m long, 0.5 m aft cone) is a transparent reference body. The capsule and LES outer shape is a 20 mm reference shell with</w:t>
      </w:r>
      <w:r>
        <w:t xml:space="preserve"> </w:t>
      </w:r>
      <w:r>
        <w:t xml:space="preserve">no mass. It was traced from the PDR drawing [3], scaled to the 4.98 m SM diameter and the 11.8 m height from the SM top</w:t>
      </w:r>
      <w:r>
        <w:t xml:space="preserve"> </w:t>
      </w:r>
      <w:r>
        <w:t xml:space="preserve">to the LES tip. The drawing’s 0.41 m dimension lands on the LES nose. The tower, as drawn, is about 0.74 m in diameter,</w:t>
      </w:r>
      <w:r>
        <w:t xml:space="preserve"> </w:t>
      </w:r>
      <w:r>
        <w:t xml:space="preserve">and the model follows the drawing.</w:t>
      </w:r>
    </w:p>
    <w:bookmarkEnd w:id="28"/>
    <w:bookmarkStart w:id="38" w:name="cut-view"/>
    <w:p>
      <w:pPr>
        <w:pStyle w:val="Heading2"/>
      </w:pPr>
      <w:r>
        <w:t xml:space="preserve">Cut view</w:t>
      </w:r>
    </w:p>
    <w:p>
      <w:pPr>
        <w:pStyle w:val="FirstParagraph"/>
      </w:pPr>
      <w:r>
        <w:t xml:space="preserve">The feature has a</w:t>
      </w:r>
      <w:r>
        <w:t xml:space="preserve"> </w:t>
      </w:r>
      <w:r>
        <w:rPr>
          <w:iCs/>
          <w:i/>
        </w:rPr>
        <w:t xml:space="preserve">Cut view</w:t>
      </w:r>
      <w:r>
        <w:t xml:space="preserve"> </w:t>
      </w:r>
      <w:r>
        <w:t xml:space="preserve">checkbox that removes the −Y half of every body. This exposes the engine section, the</w:t>
      </w:r>
      <w:r>
        <w:t xml:space="preserve"> </w:t>
      </w:r>
      <w:r>
        <w:t xml:space="preserve">hollow tanks and bottles, and the feed lines, which lie in the cut plane (Figs. </w:t>
      </w:r>
      <w:hyperlink w:anchor="fig:cutfront">
        <w:r>
          <w:rPr>
            <w:rStyle w:val="Hyperlink"/>
          </w:rPr>
          <w:t xml:space="preserve">3</w:t>
        </w:r>
      </w:hyperlink>
      <w:r>
        <w:t xml:space="preserve">–</w:t>
      </w:r>
      <w:hyperlink w:anchor="fig:cutengine">
        <w:r>
          <w:rPr>
            <w:rStyle w:val="Hyperlink"/>
          </w:rPr>
          <w:t xml:space="preserve">5</w:t>
        </w:r>
      </w:hyperlink>
      <w:r>
        <w:t xml:space="preserve">).</w:t>
      </w:r>
      <w:r>
        <w:t xml:space="preserve"> </w:t>
      </w:r>
      <w:r>
        <w:t xml:space="preserve">Mass properties must be read with the cut view off. Onshape’s own section-view tool gives the same picture without</w:t>
      </w:r>
      <w:r>
        <w:t xml:space="preserve"> </w:t>
      </w:r>
      <w:r>
        <w:t xml:space="preserve">changing the model.</w:t>
      </w:r>
    </w:p>
    <w:p>
      <w:pPr>
        <w:pStyle w:val="CaptionedFigure"/>
      </w:pPr>
      <w:r>
        <w:drawing>
          <wp:inline>
            <wp:extent cx="2400300" cy="32004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ad_cut_fron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Cut view, front.</w:t>
      </w:r>
    </w:p>
    <w:p>
      <w:pPr>
        <w:pStyle w:val="CaptionedFigure"/>
      </w:pPr>
      <w:r>
        <w:drawing>
          <wp:inline>
            <wp:extent cx="2400300" cy="32004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ad_cut_iso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Cut view, isometric.</w:t>
      </w:r>
    </w:p>
    <w:p>
      <w:pPr>
        <w:pStyle w:val="CaptionedFigure"/>
      </w:pPr>
      <w:r>
        <w:drawing>
          <wp:inline>
            <wp:extent cx="32004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ad_cut_engin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Cut view of the engine: head stack, injector, silica-phenolic liner and Ti case, throat, and the start of the</w:t>
      </w:r>
      <w:r>
        <w:t xml:space="preserve"> </w:t>
      </w:r>
      <w:r>
        <w:t xml:space="preserve">C-103 extension, with the NTO (right) and MMH (left) feed lines entering the valve stack.</w:t>
      </w:r>
    </w:p>
    <w:bookmarkEnd w:id="38"/>
    <w:bookmarkEnd w:id="39"/>
    <w:bookmarkStart w:id="40" w:name="sec:changes"/>
    <w:p>
      <w:pPr>
        <w:pStyle w:val="Heading1"/>
      </w:pPr>
      <w:r>
        <w:t xml:space="preserve">Changes from the Analysis Layout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Tank size.</w:t>
      </w:r>
      <w:r>
        <w:t xml:space="preserve"> </w:t>
      </w:r>
      <w:r>
        <w:t xml:space="preserve">The tanks follow the PDR drawing [3]: 2.6 m inner diameter, 9.203 m</w:t>
      </w:r>
      <w:r>
        <w:rPr>
          <w:vertAlign w:val="superscript"/>
        </w:rPr>
        <w:t xml:space="preserve">3</w:t>
      </w:r>
      <w:r>
        <w:t xml:space="preserve"> </w:t>
      </w:r>
      <w:r>
        <w:t xml:space="preserve">each. The wall is</w:t>
      </w:r>
      <w:r>
        <w:t xml:space="preserve"> </w:t>
      </w:r>
      <w:r>
        <w:t xml:space="preserve">scaled from [1] to 2.14 mm, which keeps the same maximum operating pressure and allowable stress. The two tanks are the</w:t>
      </w:r>
      <w:r>
        <w:t xml:space="preserve"> </w:t>
      </w:r>
      <w:r>
        <w:t xml:space="preserve">same size by design. At O/F 1.65, the NTO (1,440 kg/m</w:t>
      </w:r>
      <w:r>
        <w:rPr>
          <w:vertAlign w:val="superscript"/>
        </w:rPr>
        <w:t xml:space="preserve">3</w:t>
      </w:r>
      <w:r>
        <w:t xml:space="preserve">) and MMH (875 kg/m</w:t>
      </w:r>
      <w:r>
        <w:rPr>
          <w:vertAlign w:val="superscript"/>
        </w:rPr>
        <w:t xml:space="preserve">3</w:t>
      </w:r>
      <w:r>
        <w:t xml:space="preserve">) loads occupy 9.08 and 9.06 m</w:t>
      </w:r>
      <w:r>
        <w:rPr>
          <w:vertAlign w:val="superscript"/>
        </w:rPr>
        <w:t xml:space="preserve">3</w:t>
      </w:r>
      <w:r>
        <w:t xml:space="preserve"> </w:t>
      </w:r>
      <w:r>
        <w:t xml:space="preserve">(PDR requirements 1.2.2-01/02 [2]). The analysis in [1] enlarged the tanks to 2.63 m for 5 % ullage. With 2.6 m tanks,</w:t>
      </w:r>
      <w:r>
        <w:t xml:space="preserve"> </w:t>
      </w:r>
      <w:r>
        <w:t xml:space="preserve">the free volume is only 1.3 % (NTO) and 1.6 % (MMH), which is below the usual 3–5 %. This is an open item: either</w:t>
      </w:r>
      <w:r>
        <w:t xml:space="preserve"> </w:t>
      </w:r>
      <w:r>
        <w:t xml:space="preserve">return to 2.63 m or offload about 3 % of the propellant.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Tank stacking.</w:t>
      </w:r>
      <w:r>
        <w:t xml:space="preserve"> </w:t>
      </w:r>
      <w:r>
        <w:t xml:space="preserve">The analysis placed the NTO tank from its inner diameter, so its 2.16 mm wall overlapped</w:t>
      </w:r>
      <w:r>
        <w:t xml:space="preserve"> </w:t>
      </w:r>
      <w:r>
        <w:t xml:space="preserve">the head stack by 19.4 cm</w:t>
      </w:r>
      <w:r>
        <w:rPr>
          <w:vertAlign w:val="superscript"/>
        </w:rPr>
        <w:t xml:space="preserve">3</w:t>
      </w:r>
      <w:r>
        <w:t xml:space="preserve">. Both tanks now sit on their outer surfaces. The NTO centre is at z = 1,928 mm and</w:t>
      </w:r>
      <w:r>
        <w:t xml:space="preserve"> </w:t>
      </w:r>
      <w:r>
        <w:t xml:space="preserve">the MMH centre at z = 4,632 mm, with a 100 mm gap between the tanks and 65 mm clearance to the SM top. The helium</w:t>
      </w:r>
      <w:r>
        <w:t xml:space="preserve"> </w:t>
      </w:r>
      <w:r>
        <w:t xml:space="preserve">bottles keep the same rules as before: 50 mm above the NTO tank and 50 mm from the SM wall.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Lines added.</w:t>
      </w:r>
      <w:r>
        <w:t xml:space="preserve"> </w:t>
      </w:r>
      <w:r>
        <w:t xml:space="preserve">The analysis sized the feed lines but did not lay them out. The routing and the helium line</w:t>
      </w:r>
      <w:r>
        <w:t xml:space="preserve"> </w:t>
      </w:r>
      <w:r>
        <w:t xml:space="preserve">sizes are new (Sec. </w:t>
      </w:r>
      <w:hyperlink w:anchor="sec:lines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pStyle w:val="FirstParagraph"/>
      </w:pPr>
      <w:r>
        <w:t xml:space="preserve">A two-bottle helium layout (2 × 1.206 m COPVs, same total volume) was also checked. It fitted with 376 mm tank</w:t>
      </w:r>
      <w:r>
        <w:t xml:space="preserve"> </w:t>
      </w:r>
      <w:r>
        <w:t xml:space="preserve">clearance, but the four-bottle baseline was retained.</w:t>
      </w:r>
    </w:p>
    <w:bookmarkEnd w:id="40"/>
    <w:bookmarkStart w:id="42" w:name="sec:lines"/>
    <w:p>
      <w:pPr>
        <w:pStyle w:val="Heading1"/>
      </w:pPr>
      <w:r>
        <w:t xml:space="preserve">Feed and Pressurization Lines</w:t>
      </w:r>
    </w:p>
    <w:p>
      <w:pPr>
        <w:pStyle w:val="FirstParagraph"/>
      </w:pPr>
      <w:r>
        <w:t xml:space="preserve">The system is pressure-fed with regulated helium. Four 31 MPa COPVs supply a regulator that holds both tank ullages at</w:t>
      </w:r>
      <w:r>
        <w:t xml:space="preserve"> </w:t>
      </w:r>
      <w:r>
        <w:t xml:space="preserve">1.33 MPa, and the tank pressure drives the propellants to the engine [1]. All lines are 321 stainless steel</w:t>
      </w:r>
      <w:r>
        <w:t xml:space="preserve"> </w:t>
      </w:r>
      <w:r>
        <w:t xml:space="preserve">(Table </w:t>
      </w:r>
      <w:hyperlink w:anchor="tab:lines">
        <w:r>
          <w:rPr>
            <w:rStyle w:val="Hyperlink"/>
          </w:rPr>
          <w:t xml:space="preserve">1</w:t>
        </w:r>
      </w:hyperlink>
      <w:r>
        <w:t xml:space="preserve">). The propellant line size is taken from the feed analysis in [1]. The helium lines were sized</w:t>
      </w:r>
      <w:r>
        <w:t xml:space="preserve"> </w:t>
      </w:r>
      <w:r>
        <w:t xml:space="preserve">for this model: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High-pressure line.</w:t>
      </w:r>
      <w:r>
        <w:t xml:space="preserve"> </w:t>
      </w:r>
      <w:r>
        <w:t xml:space="preserve">The governing load is the 31 MPa bottle pressure. A 3/8 in × 0.065 in tube</w:t>
      </w:r>
      <w:r>
        <w:t xml:space="preserve"> </w:t>
      </w:r>
      <w:r>
        <w:t xml:space="preserve">then sees a 90 MPa hoop stress, a factor of 5.7 on ultimate.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Low-pressure lines.</w:t>
      </w:r>
      <w:r>
        <w:t xml:space="preserve"> </w:t>
      </w:r>
      <w:r>
        <w:t xml:space="preserve">These are sized by the helium flow that replaces the outflowing propellant, 3.4 L/s</w:t>
      </w:r>
      <w:r>
        <w:t xml:space="preserve"> </w:t>
      </w:r>
      <w:r>
        <w:t xml:space="preserve">per tank. A 3/4 in × 0.049 in tube keeps the helium velocity near 16 m/s.</w:t>
      </w:r>
    </w:p>
    <w:p>
      <w:pPr>
        <w:pStyle w:val="FirstParagraph"/>
      </w:pPr>
      <w:r>
        <w:t xml:space="preserve">The regulator and check-valve panel is a lumped 10 kg block. Valves, filters, the flexible sections each feed line needs</w:t>
      </w:r>
      <w:r>
        <w:t xml:space="preserve"> </w:t>
      </w:r>
      <w:r>
        <w:t xml:space="preserve">where it crosses the gimbal, the propellant management devices and the line supports are not modelled.</w:t>
      </w:r>
    </w:p>
    <w:bookmarkStart w:id="41" w:name="tab:lines"/>
    <w:p>
      <w:pPr>
        <w:pStyle w:val="TableCaption"/>
      </w:pPr>
      <w:r>
        <w:t xml:space="preserve">Feed and pressurization lines.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Feed and pressurization lines."/>
        <w:tblW w:w="9360" w:type="dxa"/>
        <w:tblLayout w:type="fixed"/>
      </w:tblPr>
      <w:tblGrid>
        <w:gridCol w:w="1404"/>
        <w:gridCol w:w="1638"/>
        <w:gridCol w:w="2574"/>
        <w:gridCol w:w="3744"/>
      </w:tblGrid>
      <w:tr>
        <w:trPr>
          <w:tblHeader w:val="true"/>
        </w:trP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OD × wall</w:t>
            </w:r>
          </w:p>
        </w:tc>
        <w:tc>
          <w:tcPr>
            <w:tcW w:w="2574" w:type="dxa"/>
          </w:tcPr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>
            <w:tcW w:w="3744" w:type="dxa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</w:tr>
      <w:t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NTO feed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1.5 in × 0.065 in</w:t>
            </w:r>
          </w:p>
        </w:tc>
        <w:tc>
          <w:tcPr>
            <w:tcW w:w="2574" w:type="dxa"/>
          </w:tcPr>
          <w:p>
            <w:pPr>
              <w:pStyle w:val="Compact"/>
              <w:jc w:val="left"/>
            </w:pPr>
            <w:r>
              <w:t xml:space="preserve">4.95 kg/s at 3.6 m/s; 64 kPa line loss [1]</w:t>
            </w:r>
          </w:p>
        </w:tc>
        <w:tc>
          <w:tcPr>
            <w:tcW w:w="3744" w:type="dxa"/>
          </w:tcPr>
          <w:p>
            <w:pPr>
              <w:pStyle w:val="Compact"/>
              <w:jc w:val="left"/>
            </w:pPr>
            <w:r>
              <w:t xml:space="preserve">NTO lower dome (r = 400 mm), down, into the +X side of the valve stack at z = 500 mm</w:t>
            </w:r>
          </w:p>
        </w:tc>
      </w:tr>
      <w:t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MMH feed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1.5 in × 0.065 in</w:t>
            </w:r>
          </w:p>
        </w:tc>
        <w:tc>
          <w:tcPr>
            <w:tcW w:w="2574" w:type="dxa"/>
          </w:tcPr>
          <w:p>
            <w:pPr>
              <w:pStyle w:val="Compact"/>
              <w:jc w:val="left"/>
            </w:pPr>
            <w:r>
              <w:t xml:space="preserve">3.00 kg/s at 3.6 m/s; 50 kPa line loss [1]</w:t>
            </w:r>
          </w:p>
        </w:tc>
        <w:tc>
          <w:tcPr>
            <w:tcW w:w="3744" w:type="dxa"/>
          </w:tcPr>
          <w:p>
            <w:pPr>
              <w:pStyle w:val="Compact"/>
              <w:jc w:val="left"/>
            </w:pPr>
            <w:r>
              <w:t xml:space="preserve">MMH bottom pole, through the tank gap, down at x = −1,450 mm outside the NTO tank, into the −X side of the valve stack</w:t>
            </w:r>
          </w:p>
        </w:tc>
      </w:tr>
      <w:t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He high pressure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0.375 in × 0.065 in</w:t>
            </w:r>
          </w:p>
        </w:tc>
        <w:tc>
          <w:tcPr>
            <w:tcW w:w="2574" w:type="dxa"/>
          </w:tcPr>
          <w:p>
            <w:pPr>
              <w:pStyle w:val="Compact"/>
              <w:jc w:val="left"/>
            </w:pPr>
            <w:r>
              <w:t xml:space="preserve">31 MPa; hoop stress 90 MPa (factor 5.7 on ultimate)</w:t>
            </w:r>
          </w:p>
        </w:tc>
        <w:tc>
          <w:tcPr>
            <w:tcW w:w="3744" w:type="dxa"/>
          </w:tcPr>
          <w:p>
            <w:pPr>
              <w:pStyle w:val="Compact"/>
              <w:jc w:val="left"/>
            </w:pPr>
            <w:r>
              <w:t xml:space="preserve">COPV top outlets to a ring manifold (r = 1,961 mm, z = 3,819 mm), then to the regulator</w:t>
            </w:r>
          </w:p>
        </w:tc>
      </w:tr>
      <w:t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He low pressure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0.75 in × 0.049 in</w:t>
            </w:r>
          </w:p>
        </w:tc>
        <w:tc>
          <w:tcPr>
            <w:tcW w:w="2574" w:type="dxa"/>
          </w:tcPr>
          <w:p>
            <w:pPr>
              <w:pStyle w:val="Compact"/>
              <w:jc w:val="left"/>
            </w:pPr>
            <w:r>
              <w:t xml:space="preserve">1.33 MPa; about 16 m/s at 3.4 L/s per tank</w:t>
            </w:r>
          </w:p>
        </w:tc>
        <w:tc>
          <w:tcPr>
            <w:tcW w:w="3744" w:type="dxa"/>
          </w:tcPr>
          <w:p>
            <w:pPr>
              <w:pStyle w:val="Compact"/>
              <w:jc w:val="left"/>
            </w:pPr>
            <w:r>
              <w:t xml:space="preserve">Regulator (+Y, r = 1,700 mm) to each tank’s upper dome, 60° from the top pole</w:t>
            </w:r>
          </w:p>
        </w:tc>
      </w:tr>
    </w:tbl>
    <w:bookmarkEnd w:id="41"/>
    <w:bookmarkEnd w:id="42"/>
    <w:bookmarkStart w:id="43" w:name="nozzle-extension-wall"/>
    <w:p>
      <w:pPr>
        <w:pStyle w:val="Heading1"/>
      </w:pPr>
      <w:r>
        <w:t xml:space="preserve">Nozzle Extension Wall</w:t>
      </w:r>
    </w:p>
    <w:p>
      <w:pPr>
        <w:pStyle w:val="FirstParagraph"/>
      </w:pPr>
      <w:r>
        <w:t xml:space="preserve">The C-103 extension wall is 0.6 mm thick. Internal pressure does not size it. The gas pressure is 19.9 kPa at the</w:t>
      </w:r>
      <w:r>
        <w:t xml:space="preserve"> </w:t>
      </w:r>
      <w:r>
        <w:t xml:space="preserve">attach station (area ratio 6, Mach 3.0) and 0.44 kPa at the exit. With σ = pr/t, the hoop stress is 5.7 MPa</w:t>
      </w:r>
      <w:r>
        <w:t xml:space="preserve"> </w:t>
      </w:r>
      <w:r>
        <w:t xml:space="preserve">at the attach station and 0.5 MPa at the exit, which is far below the strength of C-103 at its 1,389 K peak temperature</w:t>
      </w:r>
      <w:r>
        <w:t xml:space="preserve"> </w:t>
      </w:r>
      <w:r>
        <w:t xml:space="preserve">(1,600 K limit) [1].</w:t>
      </w:r>
    </w:p>
    <w:p>
      <w:pPr>
        <w:pStyle w:val="BodyText"/>
      </w:pPr>
      <w:r>
        <w:t xml:space="preserve">Thickness also does not affect the wall temperature. A radiation-cooled skirt runs at radiation equilibrium, so a thicker</w:t>
      </w:r>
      <w:r>
        <w:t xml:space="preserve"> </w:t>
      </w:r>
      <w:r>
        <w:t xml:space="preserve">wall only adds mass. The real sizing loads are stiffness against vibration, gimbal and handling loads, and the attach</w:t>
      </w:r>
      <w:r>
        <w:t xml:space="preserve"> </w:t>
      </w:r>
      <w:r>
        <w:t xml:space="preserve">flange. The mass budget covers these with a 25 % allowance for stiffening rings, the flange and the coating (40.7 kg</w:t>
      </w:r>
      <w:r>
        <w:t xml:space="preserve"> </w:t>
      </w:r>
      <w:r>
        <w:t xml:space="preserve">against 32.5 kg for the bare wall) [1]. The CAD shows the bare wall. A taper from about 1.0 mm at the flange to 0.6 mm at</w:t>
      </w:r>
      <w:r>
        <w:t xml:space="preserve"> </w:t>
      </w:r>
      <w:r>
        <w:t xml:space="preserve">the exit, with two or three hat-section stiffening rings, would represent the hardware more fully without changing the</w:t>
      </w:r>
      <w:r>
        <w:t xml:space="preserve"> </w:t>
      </w:r>
      <w:r>
        <w:t xml:space="preserve">thermal design.</w:t>
      </w:r>
    </w:p>
    <w:bookmarkEnd w:id="43"/>
    <w:bookmarkStart w:id="45" w:name="mass-properties"/>
    <w:p>
      <w:pPr>
        <w:pStyle w:val="Heading1"/>
      </w:pPr>
      <w:r>
        <w:t xml:space="preserve">Mass Properties</w:t>
      </w:r>
    </w:p>
    <w:p>
      <w:pPr>
        <w:pStyle w:val="FirstParagraph"/>
      </w:pPr>
      <w:r>
        <w:t xml:space="preserve">Onshape nominal mass properties, with the cut view off, are compared with the analysis mass build-up [1] in</w:t>
      </w:r>
      <w:r>
        <w:t xml:space="preserve"> </w:t>
      </w:r>
      <w:r>
        <w:t xml:space="preserve">Table </w:t>
      </w:r>
      <w:hyperlink w:anchor="tab:cadmass">
        <w:r>
          <w:rPr>
            <w:rStyle w:val="Hyperlink"/>
          </w:rPr>
          <w:t xml:space="preserve">2</w:t>
        </w:r>
      </w:hyperlink>
      <w:r>
        <w:t xml:space="preserve">. The densities used are silica phenolic 1,750, Ti-6Al-4V 4,430, C-103 8,860, 304L 7,900 and</w:t>
      </w:r>
      <w:r>
        <w:t xml:space="preserve"> </w:t>
      </w:r>
      <w:r>
        <w:t xml:space="preserve">321 stainless 8,030 kg/m</w:t>
      </w:r>
      <w:r>
        <w:rPr>
          <w:vertAlign w:val="superscript"/>
        </w:rPr>
        <w:t xml:space="preserve">3</w:t>
      </w:r>
      <w:r>
        <w:t xml:space="preserve">. Items marked</w:t>
      </w:r>
      <w:r>
        <w:t xml:space="preserve"> </w:t>
      </w:r>
      <w:r>
        <w:t xml:space="preserve">“</w:t>
      </w:r>
      <w:r>
        <w:t xml:space="preserve">lumped</w:t>
      </w:r>
      <w:r>
        <w:t xml:space="preserve">”</w:t>
      </w:r>
      <w:r>
        <w:t xml:space="preserve"> </w:t>
      </w:r>
      <w:r>
        <w:t xml:space="preserve">have a density chosen to match the budget. The modelled masses are</w:t>
      </w:r>
      <w:r>
        <w:t xml:space="preserve"> </w:t>
      </w:r>
      <w:r>
        <w:t xml:space="preserve">bare geometry. The analysis values also include flanges, rings, manifolds and tank fittings that are not drawn.</w:t>
      </w:r>
    </w:p>
    <w:bookmarkStart w:id="44" w:name="tab:cadmass"/>
    <w:p>
      <w:pPr>
        <w:pStyle w:val="TableCaption"/>
      </w:pPr>
      <w:r>
        <w:t xml:space="preserve">CAD mass properties against the analysis mass build-up.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CAD mass properties against the analysis mass build-up."/>
        <w:tblW w:w="9360" w:type="dxa"/>
        <w:tblLayout w:type="fixed"/>
      </w:tblPr>
      <w:tblGrid>
        <w:gridCol w:w="2340"/>
        <w:gridCol w:w="1638"/>
        <w:gridCol w:w="1053"/>
        <w:gridCol w:w="1287"/>
        <w:gridCol w:w="3042"/>
      </w:tblGrid>
      <w:tr>
        <w:trPr>
          <w:tblHeader w:val="true"/>
        </w:trPr>
        <w:tc>
          <w:tcPr>
            <w:tcW w:w="2340" w:type="dxa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>
            <w:tcW w:w="1053" w:type="dxa"/>
          </w:tcPr>
          <w:p>
            <w:pPr>
              <w:pStyle w:val="Compact"/>
              <w:jc w:val="right"/>
            </w:pPr>
            <w:r>
              <w:t xml:space="preserve">CAD, kg</w:t>
            </w:r>
          </w:p>
        </w:tc>
        <w:tc>
          <w:tcPr>
            <w:tcW w:w="1287" w:type="dxa"/>
          </w:tcPr>
          <w:p>
            <w:pPr>
              <w:pStyle w:val="Compact"/>
              <w:jc w:val="right"/>
            </w:pPr>
            <w:r>
              <w:t xml:space="preserve">Analysis, kg</w:t>
            </w:r>
          </w:p>
        </w:tc>
        <w:tc>
          <w:tcPr>
            <w:tcW w:w="3042" w:type="dxa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t xml:space="preserve">Ablative liner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silica phenolic</w:t>
            </w:r>
          </w:p>
        </w:tc>
        <w:tc>
          <w:tcPr>
            <w:tcW w:w="1053" w:type="dxa"/>
          </w:tcPr>
          <w:p>
            <w:pPr>
              <w:pStyle w:val="Compact"/>
              <w:jc w:val="right"/>
            </w:pPr>
            <w:r>
              <w:t xml:space="preserve">66.13</w:t>
            </w:r>
          </w:p>
        </w:tc>
        <w:tc>
          <w:tcPr>
            <w:tcW w:w="1287" w:type="dxa"/>
          </w:tcPr>
          <w:p>
            <w:pPr>
              <w:pStyle w:val="Compact"/>
              <w:jc w:val="right"/>
            </w:pPr>
            <w:r>
              <w:t xml:space="preserve">66.38</w:t>
            </w:r>
          </w:p>
        </w:tc>
        <w:tc>
          <w:tcPr>
            <w:tcW w:w="3042" w:type="dxa"/>
          </w:tcPr>
          <w:p>
            <w:pPr>
              <w:pStyle w:val="Compact"/>
            </w:pP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t xml:space="preserve">Chamber case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Ti-6Al-4V</w:t>
            </w:r>
          </w:p>
        </w:tc>
        <w:tc>
          <w:tcPr>
            <w:tcW w:w="1053" w:type="dxa"/>
          </w:tcPr>
          <w:p>
            <w:pPr>
              <w:pStyle w:val="Compact"/>
              <w:jc w:val="right"/>
            </w:pPr>
            <w:r>
              <w:t xml:space="preserve">6.47</w:t>
            </w:r>
          </w:p>
        </w:tc>
        <w:tc>
          <w:tcPr>
            <w:tcW w:w="1287" w:type="dxa"/>
          </w:tcPr>
          <w:p>
            <w:pPr>
              <w:pStyle w:val="Compact"/>
              <w:jc w:val="right"/>
            </w:pPr>
            <w:r>
              <w:t xml:space="preserve">10.03</w:t>
            </w:r>
          </w:p>
        </w:tc>
        <w:tc>
          <w:tcPr>
            <w:tcW w:w="3042" w:type="dxa"/>
          </w:tcPr>
          <w:p>
            <w:pPr>
              <w:pStyle w:val="Compact"/>
              <w:jc w:val="left"/>
            </w:pPr>
            <w:r>
              <w:t xml:space="preserve">analysis adds 3 kg of flanges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t xml:space="preserve">Nozzle extension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C-103</w:t>
            </w:r>
          </w:p>
        </w:tc>
        <w:tc>
          <w:tcPr>
            <w:tcW w:w="1053" w:type="dxa"/>
          </w:tcPr>
          <w:p>
            <w:pPr>
              <w:pStyle w:val="Compact"/>
              <w:jc w:val="right"/>
            </w:pPr>
            <w:r>
              <w:t xml:space="preserve">33.23</w:t>
            </w:r>
          </w:p>
        </w:tc>
        <w:tc>
          <w:tcPr>
            <w:tcW w:w="1287" w:type="dxa"/>
          </w:tcPr>
          <w:p>
            <w:pPr>
              <w:pStyle w:val="Compact"/>
              <w:jc w:val="right"/>
            </w:pPr>
            <w:r>
              <w:t xml:space="preserve">40.65</w:t>
            </w:r>
          </w:p>
        </w:tc>
        <w:tc>
          <w:tcPr>
            <w:tcW w:w="3042" w:type="dxa"/>
          </w:tcPr>
          <w:p>
            <w:pPr>
              <w:pStyle w:val="Compact"/>
              <w:jc w:val="left"/>
            </w:pPr>
            <w:r>
              <w:t xml:space="preserve">analysis: 32.5 kg bare × 1.25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t xml:space="preserve">Injector plate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304L</w:t>
            </w:r>
          </w:p>
        </w:tc>
        <w:tc>
          <w:tcPr>
            <w:tcW w:w="1053" w:type="dxa"/>
          </w:tcPr>
          <w:p>
            <w:pPr>
              <w:pStyle w:val="Compact"/>
              <w:jc w:val="right"/>
            </w:pPr>
            <w:r>
              <w:t xml:space="preserve">6.94</w:t>
            </w:r>
          </w:p>
        </w:tc>
        <w:tc>
          <w:tcPr>
            <w:tcW w:w="1287" w:type="dxa"/>
          </w:tcPr>
          <w:p>
            <w:pPr>
              <w:pStyle w:val="Compact"/>
              <w:jc w:val="right"/>
            </w:pPr>
            <w:r>
              <w:t xml:space="preserve">10.00</w:t>
            </w:r>
          </w:p>
        </w:tc>
        <w:tc>
          <w:tcPr>
            <w:tcW w:w="3042" w:type="dxa"/>
          </w:tcPr>
          <w:p>
            <w:pPr>
              <w:pStyle w:val="Compact"/>
              <w:jc w:val="left"/>
            </w:pPr>
            <w:r>
              <w:t xml:space="preserve">analysis includes a 2.6 kg manifold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t xml:space="preserve">Head, valve and gimbal stack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lumped</w:t>
            </w:r>
          </w:p>
        </w:tc>
        <w:tc>
          <w:tcPr>
            <w:tcW w:w="1053" w:type="dxa"/>
          </w:tcPr>
          <w:p>
            <w:pPr>
              <w:pStyle w:val="Compact"/>
              <w:jc w:val="right"/>
            </w:pPr>
            <w:r>
              <w:t xml:space="preserve">44.00</w:t>
            </w:r>
          </w:p>
        </w:tc>
        <w:tc>
          <w:tcPr>
            <w:tcW w:w="1287" w:type="dxa"/>
          </w:tcPr>
          <w:p>
            <w:pPr>
              <w:pStyle w:val="Compact"/>
              <w:jc w:val="right"/>
            </w:pPr>
            <w:r>
              <w:t xml:space="preserve">44.00</w:t>
            </w:r>
          </w:p>
        </w:tc>
        <w:tc>
          <w:tcPr>
            <w:tcW w:w="3042" w:type="dxa"/>
          </w:tcPr>
          <w:p>
            <w:pPr>
              <w:pStyle w:val="Compact"/>
              <w:jc w:val="left"/>
            </w:pPr>
            <w:r>
              <w:t xml:space="preserve">valves, actuators, miscellaneous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t xml:space="preserve">NTO tank (bare shell)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Ti-6Al-4V</w:t>
            </w:r>
          </w:p>
        </w:tc>
        <w:tc>
          <w:tcPr>
            <w:tcW w:w="1053" w:type="dxa"/>
          </w:tcPr>
          <w:p>
            <w:pPr>
              <w:pStyle w:val="Compact"/>
              <w:jc w:val="right"/>
            </w:pPr>
            <w:r>
              <w:t xml:space="preserve">201.28</w:t>
            </w:r>
          </w:p>
        </w:tc>
        <w:tc>
          <w:tcPr>
            <w:tcW w:w="1287" w:type="dxa"/>
          </w:tcPr>
          <w:p>
            <w:pPr>
              <w:pStyle w:val="Compact"/>
              <w:jc w:val="right"/>
            </w:pPr>
            <w:r>
              <w:t xml:space="preserve">271.92</w:t>
            </w:r>
          </w:p>
        </w:tc>
        <w:tc>
          <w:tcPr>
            <w:tcW w:w="3042" w:type="dxa"/>
          </w:tcPr>
          <w:p>
            <w:pPr>
              <w:pStyle w:val="Compact"/>
              <w:jc w:val="left"/>
            </w:pPr>
            <w:r>
              <w:t xml:space="preserve">2.6 m ID; analysis value includes more than the shell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t xml:space="preserve">MMH tank (bare shell)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Ti-6Al-4V</w:t>
            </w:r>
          </w:p>
        </w:tc>
        <w:tc>
          <w:tcPr>
            <w:tcW w:w="1053" w:type="dxa"/>
          </w:tcPr>
          <w:p>
            <w:pPr>
              <w:pStyle w:val="Compact"/>
              <w:jc w:val="right"/>
            </w:pPr>
            <w:r>
              <w:t xml:space="preserve">201.28</w:t>
            </w:r>
          </w:p>
        </w:tc>
        <w:tc>
          <w:tcPr>
            <w:tcW w:w="1287" w:type="dxa"/>
          </w:tcPr>
          <w:p>
            <w:pPr>
              <w:pStyle w:val="Compact"/>
              <w:jc w:val="right"/>
            </w:pPr>
            <w:r>
              <w:t xml:space="preserve">271.22</w:t>
            </w:r>
          </w:p>
        </w:tc>
        <w:tc>
          <w:tcPr>
            <w:tcW w:w="3042" w:type="dxa"/>
          </w:tcPr>
          <w:p>
            <w:pPr>
              <w:pStyle w:val="Compact"/>
              <w:jc w:val="left"/>
            </w:pPr>
            <w:r>
              <w:t xml:space="preserve">as above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t xml:space="preserve">Helium COPVs (×4)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lumped</w:t>
            </w:r>
          </w:p>
        </w:tc>
        <w:tc>
          <w:tcPr>
            <w:tcW w:w="1053" w:type="dxa"/>
          </w:tcPr>
          <w:p>
            <w:pPr>
              <w:pStyle w:val="Compact"/>
              <w:jc w:val="right"/>
            </w:pPr>
            <w:r>
              <w:t xml:space="preserve">379.94</w:t>
            </w:r>
          </w:p>
        </w:tc>
        <w:tc>
          <w:tcPr>
            <w:tcW w:w="1287" w:type="dxa"/>
          </w:tcPr>
          <w:p>
            <w:pPr>
              <w:pStyle w:val="Compact"/>
              <w:jc w:val="right"/>
            </w:pPr>
            <w:r>
              <w:t xml:space="preserve">379.94</w:t>
            </w:r>
          </w:p>
        </w:tc>
        <w:tc>
          <w:tcPr>
            <w:tcW w:w="3042" w:type="dxa"/>
          </w:tcPr>
          <w:p>
            <w:pPr>
              <w:pStyle w:val="Compact"/>
            </w:pP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t xml:space="preserve">Feed lines (NTO / MMH)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321 SS</w:t>
            </w:r>
          </w:p>
        </w:tc>
        <w:tc>
          <w:tcPr>
            <w:tcW w:w="1053" w:type="dxa"/>
          </w:tcPr>
          <w:p>
            <w:pPr>
              <w:pStyle w:val="Compact"/>
              <w:jc w:val="right"/>
            </w:pPr>
            <w:r>
              <w:t xml:space="preserve">0.70 / 8.50</w:t>
            </w:r>
          </w:p>
        </w:tc>
        <w:tc>
          <w:tcPr>
            <w:tcW w:w="1287" w:type="dxa"/>
          </w:tcPr>
          <w:p>
            <w:pPr>
              <w:pStyle w:val="Compact"/>
            </w:pPr>
          </w:p>
        </w:tc>
        <w:tc>
          <w:tcPr>
            <w:tcW w:w="3042" w:type="dxa"/>
          </w:tcPr>
          <w:p>
            <w:pPr>
              <w:pStyle w:val="Compact"/>
            </w:pP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t xml:space="preserve">He lines (high / low pressure)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321 SS</w:t>
            </w:r>
          </w:p>
        </w:tc>
        <w:tc>
          <w:tcPr>
            <w:tcW w:w="1053" w:type="dxa"/>
          </w:tcPr>
          <w:p>
            <w:pPr>
              <w:pStyle w:val="Compact"/>
              <w:jc w:val="right"/>
            </w:pPr>
            <w:r>
              <w:t xml:space="preserve">4.17 / 2.01</w:t>
            </w:r>
          </w:p>
        </w:tc>
        <w:tc>
          <w:tcPr>
            <w:tcW w:w="1287" w:type="dxa"/>
          </w:tcPr>
          <w:p>
            <w:pPr>
              <w:pStyle w:val="Compact"/>
            </w:pPr>
          </w:p>
        </w:tc>
        <w:tc>
          <w:tcPr>
            <w:tcW w:w="3042" w:type="dxa"/>
          </w:tcPr>
          <w:p>
            <w:pPr>
              <w:pStyle w:val="Compact"/>
            </w:pP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t xml:space="preserve">Lines total</w:t>
            </w:r>
          </w:p>
        </w:tc>
        <w:tc>
          <w:tcPr>
            <w:tcW w:w="1638" w:type="dxa"/>
          </w:tcPr>
          <w:p>
            <w:pPr>
              <w:pStyle w:val="Compact"/>
            </w:pPr>
          </w:p>
        </w:tc>
        <w:tc>
          <w:tcPr>
            <w:tcW w:w="1053" w:type="dxa"/>
          </w:tcPr>
          <w:p>
            <w:pPr>
              <w:pStyle w:val="Compact"/>
              <w:jc w:val="right"/>
            </w:pPr>
            <w:r>
              <w:t xml:space="preserve">15.38</w:t>
            </w:r>
          </w:p>
        </w:tc>
        <w:tc>
          <w:tcPr>
            <w:tcW w:w="1287" w:type="dxa"/>
          </w:tcPr>
          <w:p>
            <w:pPr>
              <w:pStyle w:val="Compact"/>
              <w:jc w:val="right"/>
            </w:pPr>
            <w:r>
              <w:t xml:space="preserve">12.93</w:t>
            </w:r>
          </w:p>
        </w:tc>
        <w:tc>
          <w:tcPr>
            <w:tcW w:w="3042" w:type="dxa"/>
          </w:tcPr>
          <w:p>
            <w:pPr>
              <w:pStyle w:val="Compact"/>
              <w:jc w:val="left"/>
            </w:pPr>
            <w:r>
              <w:t xml:space="preserve">the MMH line is 5.6 m long because it routes around the NTO tank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t xml:space="preserve">Regulator panel</w:t>
            </w:r>
          </w:p>
        </w:tc>
        <w:tc>
          <w:tcPr>
            <w:tcW w:w="1638" w:type="dxa"/>
          </w:tcPr>
          <w:p>
            <w:pPr>
              <w:pStyle w:val="Compact"/>
              <w:jc w:val="left"/>
            </w:pPr>
            <w:r>
              <w:t xml:space="preserve">lumped</w:t>
            </w:r>
          </w:p>
        </w:tc>
        <w:tc>
          <w:tcPr>
            <w:tcW w:w="1053" w:type="dxa"/>
          </w:tcPr>
          <w:p>
            <w:pPr>
              <w:pStyle w:val="Compact"/>
              <w:jc w:val="right"/>
            </w:pPr>
            <w:r>
              <w:t xml:space="preserve">10.00</w:t>
            </w:r>
          </w:p>
        </w:tc>
        <w:tc>
          <w:tcPr>
            <w:tcW w:w="1287" w:type="dxa"/>
          </w:tcPr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>
            <w:tcW w:w="3042" w:type="dxa"/>
          </w:tcPr>
          <w:p>
            <w:pPr>
              <w:pStyle w:val="Compact"/>
              <w:jc w:val="left"/>
            </w:pPr>
            <w:r>
              <w:t xml:space="preserve">part of the 40 kg components budget</w:t>
            </w:r>
          </w:p>
        </w:tc>
      </w:tr>
    </w:tbl>
    <w:bookmarkEnd w:id="44"/>
    <w:bookmarkEnd w:id="45"/>
    <w:bookmarkStart w:id="46" w:name="interference-check"/>
    <w:p>
      <w:pPr>
        <w:pStyle w:val="Heading1"/>
      </w:pPr>
      <w:r>
        <w:t xml:space="preserve">Interference Check</w:t>
      </w:r>
    </w:p>
    <w:p>
      <w:pPr>
        <w:pStyle w:val="FirstParagraph"/>
      </w:pPr>
      <w:r>
        <w:t xml:space="preserve">Every pair of the 17 hardware bodies (136 pairs) was intersected on copies in Onshape. There is no interference. The</w:t>
      </w:r>
      <w:r>
        <w:t xml:space="preserve"> </w:t>
      </w:r>
      <w:r>
        <w:t xml:space="preserve">largest overlap of any pair is 4 × 10</w:t>
      </w:r>
      <w:r>
        <w:rPr>
          <w:vertAlign w:val="superscript"/>
        </w:rPr>
        <w:t xml:space="preserve">−5</w:t>
      </w:r>
      <w:r>
        <w:t xml:space="preserve"> mm</w:t>
      </w:r>
      <w:r>
        <w:rPr>
          <w:vertAlign w:val="superscript"/>
        </w:rPr>
        <w:t xml:space="preserve">3</w:t>
      </w:r>
      <w:r>
        <w:t xml:space="preserve">, which is numerical noise at tangent contacts. Connected parts</w:t>
      </w:r>
      <w:r>
        <w:t xml:space="preserve"> </w:t>
      </w:r>
      <w:r>
        <w:t xml:space="preserve">meet with gaps of 0–0.12 mm. The 0.12 mm gap is at the MMH outlet, where the flat tube end meets the curved dome.</w:t>
      </w:r>
      <w:r>
        <w:t xml:space="preserve"> </w:t>
      </w:r>
      <w:r>
        <w:t xml:space="preserve">Selected clearances:</w:t>
      </w:r>
    </w:p>
    <w:p>
      <w:pPr>
        <w:numPr>
          <w:ilvl w:val="0"/>
          <w:numId w:val="1003"/>
        </w:numPr>
      </w:pPr>
      <w:r>
        <w:t xml:space="preserve">NTO to MMH tank: 95.7 mm.</w:t>
      </w:r>
    </w:p>
    <w:p>
      <w:pPr>
        <w:numPr>
          <w:ilvl w:val="0"/>
          <w:numId w:val="1003"/>
        </w:numPr>
      </w:pPr>
      <w:r>
        <w:t xml:space="preserve">Bottles to the SM wall: 50 mm.</w:t>
      </w:r>
    </w:p>
    <w:p>
      <w:pPr>
        <w:numPr>
          <w:ilvl w:val="0"/>
          <w:numId w:val="1003"/>
        </w:numPr>
      </w:pPr>
      <w:r>
        <w:t xml:space="preserve">Bottles to the propellant tanks: 601 mm.</w:t>
      </w:r>
    </w:p>
    <w:p>
      <w:pPr>
        <w:pStyle w:val="FirstParagraph"/>
      </w:pPr>
      <w:r>
        <w:t xml:space="preserve">Against the SM envelope, only the C-103 extension lies outside (3.27 L). This is expected, because the nozzle exit is</w:t>
      </w:r>
      <w:r>
        <w:t xml:space="preserve"> </w:t>
      </w:r>
      <w:r>
        <w:t xml:space="preserve">2.01 m below the SM base and the aft cone is only 0.5 m deep.</w:t>
      </w:r>
    </w:p>
    <w:bookmarkEnd w:id="46"/>
    <w:bookmarkStart w:id="48" w:name="sec:cea"/>
    <w:p>
      <w:pPr>
        <w:pStyle w:val="Heading1"/>
      </w:pPr>
      <w:r>
        <w:t xml:space="preserve">Performance Verification with RocketCEA</w:t>
      </w:r>
    </w:p>
    <w:p>
      <w:pPr>
        <w:pStyle w:val="FirstParagraph"/>
      </w:pPr>
      <w:r>
        <w:t xml:space="preserve">The ideal design point of [1] was re-run with RocketCEA 1.2.3 [5]: N</w:t>
      </w:r>
      <w:r>
        <w:rPr>
          <w:vertAlign w:val="subscript"/>
        </w:rPr>
        <w:t xml:space="preserve">2</w:t>
      </w:r>
      <w:r>
        <w:t xml:space="preserve">O</w:t>
      </w:r>
      <w:r>
        <w:rPr>
          <w:vertAlign w:val="subscript"/>
        </w:rPr>
        <w:t xml:space="preserve">4</w:t>
      </w:r>
      <w:r>
        <w:t xml:space="preserve">/MMH, P</w:t>
      </w:r>
      <w:r>
        <w:rPr>
          <w:vertAlign w:val="subscript"/>
        </w:rPr>
        <w:t xml:space="preserve">c</w:t>
      </w:r>
      <w:r>
        <w:t xml:space="preserve"> </w:t>
      </w:r>
      <w:r>
        <w:t xml:space="preserve">= 0.862 MPa, O/F 1.65, area</w:t>
      </w:r>
      <w:r>
        <w:t xml:space="preserve"> </w:t>
      </w:r>
      <w:r>
        <w:t xml:space="preserve">ratio 108, infinite-area combustor, with frozen flow frozen at the chamber.</w:t>
      </w:r>
    </w:p>
    <w:p>
      <w:pPr>
        <w:pStyle w:val="BodyText"/>
      </w:pPr>
      <w:r>
        <w:t xml:space="preserve">RocketCEA’s built-in propellant cards use different heats of formation from the NASA database used in [1]. For example,</w:t>
      </w:r>
      <w:r>
        <w:t xml:space="preserve"> </w:t>
      </w:r>
      <w:r>
        <w:t xml:space="preserve">N</w:t>
      </w:r>
      <w:r>
        <w:rPr>
          <w:vertAlign w:val="subscript"/>
        </w:rPr>
        <w:t xml:space="preserve">2</w:t>
      </w:r>
      <w:r>
        <w:t xml:space="preserve">O</w:t>
      </w:r>
      <w:r>
        <w:rPr>
          <w:vertAlign w:val="subscript"/>
        </w:rPr>
        <w:t xml:space="preserve">4</w:t>
      </w:r>
      <w:r>
        <w:t xml:space="preserve">(l) is −19.56 kJ/mol in RocketCEA against −17.55 kJ/mol in the database. The comparison therefore uses</w:t>
      </w:r>
      <w:r>
        <w:t xml:space="preserve"> </w:t>
      </w:r>
      <w:r>
        <w:t xml:space="preserve">custom cards with the database values and the 293.15 K propellant temperature of [1]. The default cards are shown for</w:t>
      </w:r>
      <w:r>
        <w:t xml:space="preserve"> </w:t>
      </w:r>
      <w:r>
        <w:t xml:space="preserve">reference (Table </w:t>
      </w:r>
      <w:hyperlink w:anchor="tab:cea">
        <w:r>
          <w:rPr>
            <w:rStyle w:val="Hyperlink"/>
          </w:rPr>
          <w:t xml:space="preserve">3</w:t>
        </w:r>
      </w:hyperlink>
      <w:r>
        <w:t xml:space="preserve">).</w:t>
      </w:r>
    </w:p>
    <w:bookmarkStart w:id="47" w:name="tab:cea"/>
    <w:p>
      <w:pPr>
        <w:pStyle w:val="TableCaption"/>
      </w:pPr>
      <w:r>
        <w:t xml:space="preserve">Ideal vacuum performance: analysis solver [1] against RocketCEA.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Ideal vacuum performance: analysis solver [1] against RocketCEA."/>
        <w:tblW w:w="9355" w:type="dxa"/>
        <w:tblLayout w:type="fixed"/>
      </w:tblPr>
      <w:tblGrid>
        <w:gridCol w:w="2529"/>
        <w:gridCol w:w="1264"/>
        <w:gridCol w:w="1517"/>
        <w:gridCol w:w="1264"/>
        <w:gridCol w:w="1517"/>
        <w:gridCol w:w="1264"/>
      </w:tblGrid>
      <w:tr>
        <w:trPr>
          <w:tblHeader w:val="true"/>
        </w:trPr>
        <w:tc>
          <w:tcPr>
            <w:tcW w:w="2529" w:type="dxa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Analysis [1]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RocketCEA, same basis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Difference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RocketCEA, default cards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Difference</w:t>
            </w:r>
          </w:p>
        </w:tc>
      </w:tr>
      <w:tr>
        <w:tc>
          <w:tcPr>
            <w:tcW w:w="2529" w:type="dxa"/>
          </w:tcPr>
          <w:p>
            <w:pPr>
              <w:pStyle w:val="Compact"/>
              <w:jc w:val="left"/>
            </w:pPr>
            <w:r>
              <w:t xml:space="preserve">T</w:t>
            </w:r>
            <w:r>
              <w:rPr>
                <w:vertAlign w:val="subscript"/>
              </w:rPr>
              <w:t xml:space="preserve">c</w:t>
            </w:r>
            <w:r>
              <w:t xml:space="preserve">, K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042.3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045.7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+0.11 %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044.6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+0.08 %</w:t>
            </w:r>
          </w:p>
        </w:tc>
      </w:tr>
      <w:tr>
        <w:tc>
          <w:tcPr>
            <w:tcW w:w="2529" w:type="dxa"/>
          </w:tcPr>
          <w:p>
            <w:pPr>
              <w:pStyle w:val="Compact"/>
              <w:jc w:val="left"/>
            </w:pPr>
            <w:r>
              <w:t xml:space="preserve">M</w:t>
            </w:r>
            <w:r>
              <w:rPr>
                <w:vertAlign w:val="subscript"/>
              </w:rPr>
              <w:t xml:space="preserve">c</w:t>
            </w:r>
            <w:r>
              <w:t xml:space="preserve">, g/mol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20.42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20.41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−0.03 %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20.41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−0.02 %</w:t>
            </w:r>
          </w:p>
        </w:tc>
      </w:tr>
      <w:tr>
        <w:tc>
          <w:tcPr>
            <w:tcW w:w="2529" w:type="dxa"/>
          </w:tcPr>
          <w:p>
            <w:pPr>
              <w:pStyle w:val="Compact"/>
              <w:jc w:val="left"/>
            </w:pPr>
            <w:r>
              <w:t xml:space="preserve">c*, shifting, m/s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737.9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739.4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+0.08 %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738.9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+0.06 %</w:t>
            </w:r>
          </w:p>
        </w:tc>
      </w:tr>
      <w:tr>
        <w:tc>
          <w:tcPr>
            <w:tcW w:w="2529" w:type="dxa"/>
          </w:tcPr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F,vac</w:t>
            </w:r>
            <w:r>
              <w:t xml:space="preserve">, shifting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1.9276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1.9281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+0.03 %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1.9280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+0.02 %</w:t>
            </w:r>
          </w:p>
        </w:tc>
      </w:tr>
      <w:tr>
        <w:tc>
          <w:tcPr>
            <w:tcW w:w="2529" w:type="dxa"/>
          </w:tcPr>
          <w:p>
            <w:pPr>
              <w:pStyle w:val="Compact"/>
              <w:jc w:val="left"/>
            </w:pPr>
            <w:r>
              <w:t xml:space="preserve">I</w:t>
            </w:r>
            <w:r>
              <w:rPr>
                <w:vertAlign w:val="subscript"/>
              </w:rPr>
              <w:t xml:space="preserve">sp,vac</w:t>
            </w:r>
            <w:r>
              <w:t xml:space="preserve">, shifting, s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341.50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341.99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+0.14 %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341.87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+0.11 %</w:t>
            </w:r>
          </w:p>
        </w:tc>
      </w:tr>
      <w:tr>
        <w:tc>
          <w:tcPr>
            <w:tcW w:w="2529" w:type="dxa"/>
          </w:tcPr>
          <w:p>
            <w:pPr>
              <w:pStyle w:val="Compact"/>
              <w:jc w:val="left"/>
            </w:pPr>
            <w:r>
              <w:t xml:space="preserve">Exit pressure, shifting, Pa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429.9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430.3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+0.09 %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430.2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+0.06 %</w:t>
            </w:r>
          </w:p>
        </w:tc>
      </w:tr>
      <w:tr>
        <w:tc>
          <w:tcPr>
            <w:tcW w:w="2529" w:type="dxa"/>
          </w:tcPr>
          <w:p>
            <w:pPr>
              <w:pStyle w:val="Compact"/>
              <w:jc w:val="left"/>
            </w:pPr>
            <w:r>
              <w:t xml:space="preserve">c*, frozen, m/s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698.6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699.8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+0.07 %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699.4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+0.05 %</w:t>
            </w:r>
          </w:p>
        </w:tc>
      </w:tr>
      <w:tr>
        <w:tc>
          <w:tcPr>
            <w:tcW w:w="2529" w:type="dxa"/>
          </w:tcPr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F,vac</w:t>
            </w:r>
            <w:r>
              <w:t xml:space="preserve">, frozen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1.8753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1.8753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0.00 %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1.8753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0.00 %</w:t>
            </w:r>
          </w:p>
        </w:tc>
      </w:tr>
      <w:tr>
        <w:tc>
          <w:tcPr>
            <w:tcW w:w="2529" w:type="dxa"/>
          </w:tcPr>
          <w:p>
            <w:pPr>
              <w:pStyle w:val="Compact"/>
              <w:jc w:val="left"/>
            </w:pPr>
            <w:r>
              <w:t xml:space="preserve">I</w:t>
            </w:r>
            <w:r>
              <w:rPr>
                <w:vertAlign w:val="subscript"/>
              </w:rPr>
              <w:t xml:space="preserve">sp,vac</w:t>
            </w:r>
            <w:r>
              <w:t xml:space="preserve">, frozen, s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324.71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325.04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+0.10 %</w:t>
            </w:r>
          </w:p>
        </w:tc>
        <w:tc>
          <w:tcPr>
            <w:tcW w:w="1517" w:type="dxa"/>
          </w:tcPr>
          <w:p>
            <w:pPr>
              <w:pStyle w:val="Compact"/>
              <w:jc w:val="right"/>
            </w:pPr>
            <w:r>
              <w:t xml:space="preserve">324.97</w:t>
            </w:r>
          </w:p>
        </w:tc>
        <w:tc>
          <w:tcPr>
            <w:tcW w:w="1264" w:type="dxa"/>
          </w:tcPr>
          <w:p>
            <w:pPr>
              <w:pStyle w:val="Compact"/>
              <w:jc w:val="right"/>
            </w:pPr>
            <w:r>
              <w:t xml:space="preserve">+0.08 %</w:t>
            </w:r>
          </w:p>
        </w:tc>
      </w:tr>
    </w:tbl>
    <w:bookmarkEnd w:id="47"/>
    <w:p>
      <w:pPr>
        <w:pStyle w:val="BodyText"/>
      </w:pPr>
      <w:r>
        <w:t xml:space="preserve">Every quantity agrees within 0.3 %, exit temperature included. This confirms the ideal performance on which the</w:t>
      </w:r>
      <w:r>
        <w:t xml:space="preserve"> </w:t>
      </w:r>
      <w:r>
        <w:t xml:space="preserve">delivered 320.8 s specific impulse in [1] is built.</w:t>
      </w:r>
    </w:p>
    <w:bookmarkEnd w:id="48"/>
    <w:bookmarkStart w:id="49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The service-module propulsion system is modelled as one parametric Onshape feature built directly from the analysis</w:t>
      </w:r>
      <w:r>
        <w:t xml:space="preserve"> </w:t>
      </w:r>
      <w:r>
        <w:t xml:space="preserve">outputs. It includes the engine, the PDR-size tanks, four helium bottles, sized feed and pressurization lines, and</w:t>
      </w:r>
      <w:r>
        <w:t xml:space="preserve"> </w:t>
      </w:r>
      <w:r>
        <w:t xml:space="preserve">reference shells for the SM, the capsule and the LES. The model has no interferences, and its masses agree with the</w:t>
      </w:r>
      <w:r>
        <w:t xml:space="preserve"> </w:t>
      </w:r>
      <w:r>
        <w:t xml:space="preserve">analysis budget once the undrawn flanges, rings and fittings are accounted for. The 0.6 mm C-103 extension wall is</w:t>
      </w:r>
      <w:r>
        <w:t xml:space="preserve"> </w:t>
      </w:r>
      <w:r>
        <w:t xml:space="preserve">adequate for pressure and temperature; its sizing loads are stiffness and handling, which are covered by the ring</w:t>
      </w:r>
      <w:r>
        <w:t xml:space="preserve"> </w:t>
      </w:r>
      <w:r>
        <w:t xml:space="preserve">allowance. RocketCEA reproduces the analysis performance within 0.3 %. Two items remain open: the 1.3–1.6 % ullage of</w:t>
      </w:r>
      <w:r>
        <w:t xml:space="preserve"> </w:t>
      </w:r>
      <w:r>
        <w:t xml:space="preserve">the 2.6 m PDR tanks, and the flex sections the feed lines need across the gimbal.</w:t>
      </w:r>
    </w:p>
    <w:bookmarkEnd w:id="49"/>
    <w:bookmarkStart w:id="51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[Your Name],</w:t>
      </w:r>
      <w:r>
        <w:t xml:space="preserve"> </w:t>
      </w:r>
      <w:r>
        <w:t xml:space="preserve">“</w:t>
      </w:r>
      <w:r>
        <w:t xml:space="preserve">Project ABEONA Crew Capsule Main Engine: Thrust Chamber, Feed System, and Pressurization Design,</w:t>
      </w:r>
      <w:r>
        <w:t xml:space="preserve">”</w:t>
      </w:r>
      <w:r>
        <w:t xml:space="preserve"> </w:t>
      </w:r>
      <w:r>
        <w:t xml:space="preserve">design report, October 2026.</w:t>
      </w:r>
    </w:p>
    <w:p>
      <w:pPr>
        <w:pStyle w:val="BodyText"/>
      </w:pPr>
      <w:r>
        <w:t xml:space="preserve">[2] Kempf, A., Bratt, E., LeRoy, M., Bernal, R., Wiser, S., and Rouland, S.,</w:t>
      </w:r>
      <w:r>
        <w:t xml:space="preserve"> </w:t>
      </w:r>
      <w:r>
        <w:t xml:space="preserve">“</w:t>
      </w:r>
      <w:r>
        <w:t xml:space="preserve">Project ABEONA Preliminary Design Report,</w:t>
      </w:r>
      <w:r>
        <w:t xml:space="preserve">”</w:t>
      </w:r>
      <w:r>
        <w:t xml:space="preserve"> </w:t>
      </w:r>
      <w:r>
        <w:t xml:space="preserve">unpublished class report, 2026.</w:t>
      </w:r>
    </w:p>
    <w:p>
      <w:pPr>
        <w:pStyle w:val="BodyText"/>
      </w:pPr>
      <w:r>
        <w:t xml:space="preserve">[3] Kempf, A., Bratt, E., LeRoy, M., Bernal, R., Wiser, S., and Rouland, S.,</w:t>
      </w:r>
      <w:r>
        <w:t xml:space="preserve"> </w:t>
      </w:r>
      <w:r>
        <w:t xml:space="preserve">“</w:t>
      </w:r>
      <w:r>
        <w:t xml:space="preserve">Preliminary Design Review, Project ABEONA,</w:t>
      </w:r>
      <w:r>
        <w:t xml:space="preserve">”</w:t>
      </w:r>
      <w:r>
        <w:t xml:space="preserve"> </w:t>
      </w:r>
      <w:r>
        <w:t xml:space="preserve">unpublished class presentation, slide 7 (Crew Capsule), 2026.</w:t>
      </w:r>
    </w:p>
    <w:p>
      <w:pPr>
        <w:pStyle w:val="BodyText"/>
      </w:pPr>
      <w:r>
        <w:t xml:space="preserve">[4] Project ABEONA,</w:t>
      </w:r>
      <w:r>
        <w:t xml:space="preserve"> </w:t>
      </w:r>
      <w:r>
        <w:rPr>
          <w:rStyle w:val="VerbatimChar"/>
        </w:rPr>
        <w:t xml:space="preserve">Mission_Breakdown.xlsx</w:t>
      </w:r>
      <w:r>
        <w:t xml:space="preserve">, Crew Capsule tab, 2026.</w:t>
      </w:r>
    </w:p>
    <w:p>
      <w:pPr>
        <w:pStyle w:val="BodyText"/>
      </w:pPr>
      <w:r>
        <w:t xml:space="preserve">[5] Taylor, C.,</w:t>
      </w:r>
      <w:r>
        <w:t xml:space="preserve"> </w:t>
      </w:r>
      <w:r>
        <w:t xml:space="preserve">“</w:t>
      </w:r>
      <w:r>
        <w:t xml:space="preserve">RocketCEA,</w:t>
      </w:r>
      <w:r>
        <w:t xml:space="preserve">”</w:t>
      </w:r>
      <w:r>
        <w:t xml:space="preserve"> </w:t>
      </w:r>
      <w:r>
        <w:t xml:space="preserve">Python wrapper for NASA CEA, version 1.2.3,</w:t>
      </w:r>
      <w:r>
        <w:t xml:space="preserve"> </w:t>
      </w:r>
      <w:hyperlink r:id="rId50">
        <w:r>
          <w:rPr>
            <w:rStyle w:val="Hyperlink"/>
          </w:rPr>
          <w:t xml:space="preserve">https://rocketcea.readthedocs.io</w:t>
        </w:r>
      </w:hyperlink>
      <w:r>
        <w:t xml:space="preserve">.</w:t>
      </w:r>
    </w:p>
    <w:p>
      <w:pPr>
        <w:pStyle w:val="BodyText"/>
      </w:pPr>
      <w:r>
        <w:t xml:space="preserve">[6] Gordon, S. and McBride, B. J.,</w:t>
      </w:r>
      <w:r>
        <w:t xml:space="preserve"> </w:t>
      </w:r>
      <w:r>
        <w:t xml:space="preserve">“</w:t>
      </w:r>
      <w:r>
        <w:t xml:space="preserve">Computer Program for Calculation of Complex Chemical Equilibrium Compositions and Applications,</w:t>
      </w:r>
      <w:r>
        <w:t xml:space="preserve">”</w:t>
      </w:r>
      <w:r>
        <w:t xml:space="preserve"> </w:t>
      </w:r>
      <w:r>
        <w:t xml:space="preserve">NASA RP-1311, 1994.</w:t>
      </w:r>
    </w:p>
    <w:bookmarkEnd w:id="51"/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5" Type="http://schemas.openxmlformats.org/officeDocument/2006/relationships/image" Target="media/rId35.png"/><Relationship Id="rId29" Type="http://schemas.openxmlformats.org/officeDocument/2006/relationships/image" Target="media/rId29.png"/><Relationship Id="rId32" Type="http://schemas.openxmlformats.org/officeDocument/2006/relationships/image" Target="media/rId32.png"/><Relationship Id="rId24" Type="http://schemas.openxmlformats.org/officeDocument/2006/relationships/image" Target="media/rId24.png"/><Relationship Id="rId21" Type="http://schemas.openxmlformats.org/officeDocument/2006/relationships/image" Target="media/rId21.png"/><Relationship Id="rId50" Type="http://schemas.openxmlformats.org/officeDocument/2006/relationships/hyperlink" Target="https://rocketcea.readthedocs.io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rocketcea.readthedocs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ABEONA Crew Capsule Service Module: Propulsion CAD Model and Performance Verification</dc:title>
  <dc:creator>[Your Name]</dc:creator>
  <cp:keywords/>
  <dcterms:created xsi:type="dcterms:W3CDTF">2026-10-08T00:21:25Z</dcterms:created>
  <dcterms:modified xsi:type="dcterms:W3CDTF">2026-10-08T00:21:25Z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</Properties>
</file>