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92244D" w:rsidRDefault="0092244D" w:rsidP="00003FAC">
            <w:pPr>
              <w:pStyle w:val="ab"/>
            </w:pPr>
            <w:bookmarkStart w:id="0" w:name="_Toc331181476"/>
            <w:bookmarkStart w:id="1" w:name="_Toc345326390"/>
            <w:r w:rsidRPr="00903C5F">
              <w:rPr>
                <w:rFonts w:hint="eastAsia"/>
              </w:rPr>
              <w:t>业务管理</w:t>
            </w:r>
            <w:bookmarkEnd w:id="0"/>
            <w:bookmarkEnd w:id="1"/>
          </w:p>
          <w:sdt>
            <w:sdt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zh-CN"/>
              </w:rPr>
              <w:id w:val="34758029"/>
              <w:docPartObj>
                <w:docPartGallery w:val="Table of Contents"/>
                <w:docPartUnique/>
              </w:docPartObj>
            </w:sdtPr>
            <w:sdtEndPr>
              <w:rPr>
                <w:lang w:val="en-US"/>
              </w:rPr>
            </w:sdtEndPr>
            <w:sdtContent>
              <w:p w:rsidR="0092244D" w:rsidRDefault="0092244D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6F2125" w:rsidRDefault="004B1FC3">
                <w:pPr>
                  <w:pStyle w:val="10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r>
                  <w:fldChar w:fldCharType="begin"/>
                </w:r>
                <w:r w:rsidR="0092244D">
                  <w:instrText xml:space="preserve"> TOC \o "1-3" \h \z \u </w:instrText>
                </w:r>
                <w:r>
                  <w:fldChar w:fldCharType="separate"/>
                </w:r>
                <w:hyperlink w:anchor="_Toc345326390" w:history="1">
                  <w:r w:rsidR="006F2125" w:rsidRPr="00820EC0">
                    <w:rPr>
                      <w:rStyle w:val="aa"/>
                      <w:rFonts w:hint="eastAsia"/>
                      <w:noProof/>
                    </w:rPr>
                    <w:t>业务管理</w:t>
                  </w:r>
                  <w:r w:rsidR="006F2125">
                    <w:rPr>
                      <w:noProof/>
                      <w:webHidden/>
                    </w:rPr>
                    <w:tab/>
                  </w:r>
                  <w:r w:rsidR="006F2125">
                    <w:rPr>
                      <w:noProof/>
                      <w:webHidden/>
                    </w:rPr>
                    <w:fldChar w:fldCharType="begin"/>
                  </w:r>
                  <w:r w:rsidR="006F2125">
                    <w:rPr>
                      <w:noProof/>
                      <w:webHidden/>
                    </w:rPr>
                    <w:instrText xml:space="preserve"> PAGEREF _Toc345326390 \h </w:instrText>
                  </w:r>
                  <w:r w:rsidR="006F2125">
                    <w:rPr>
                      <w:noProof/>
                      <w:webHidden/>
                    </w:rPr>
                  </w:r>
                  <w:r w:rsidR="006F2125">
                    <w:rPr>
                      <w:noProof/>
                      <w:webHidden/>
                    </w:rPr>
                    <w:fldChar w:fldCharType="separate"/>
                  </w:r>
                  <w:r w:rsidR="006F2125">
                    <w:rPr>
                      <w:noProof/>
                      <w:webHidden/>
                    </w:rPr>
                    <w:t>1</w:t>
                  </w:r>
                  <w:r w:rsidR="006F21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F2125" w:rsidRDefault="006F2125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391" w:history="1">
                  <w:r w:rsidRPr="00820EC0">
                    <w:rPr>
                      <w:rStyle w:val="aa"/>
                      <w:noProof/>
                    </w:rPr>
                    <w:t>1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820EC0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_Toc345326391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F2125" w:rsidRDefault="006F2125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392" w:history="1">
                  <w:r w:rsidRPr="00820EC0">
                    <w:rPr>
                      <w:rStyle w:val="aa"/>
                      <w:noProof/>
                    </w:rPr>
                    <w:t>2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820EC0">
                    <w:rPr>
                      <w:rStyle w:val="aa"/>
                      <w:rFonts w:hint="eastAsia"/>
                      <w:noProof/>
                    </w:rPr>
                    <w:t>新增业务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_Toc345326392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F2125" w:rsidRDefault="006F2125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393" w:history="1">
                  <w:r w:rsidRPr="00820EC0">
                    <w:rPr>
                      <w:rStyle w:val="aa"/>
                      <w:noProof/>
                    </w:rPr>
                    <w:t>3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820EC0">
                    <w:rPr>
                      <w:rStyle w:val="aa"/>
                      <w:rFonts w:hint="eastAsia"/>
                      <w:noProof/>
                    </w:rPr>
                    <w:t>修改业务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_Toc345326393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F2125" w:rsidRDefault="006F2125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394" w:history="1">
                  <w:r w:rsidRPr="00820EC0">
                    <w:rPr>
                      <w:rStyle w:val="aa"/>
                      <w:noProof/>
                    </w:rPr>
                    <w:t>4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820EC0">
                    <w:rPr>
                      <w:rStyle w:val="aa"/>
                      <w:rFonts w:hint="eastAsia"/>
                      <w:noProof/>
                    </w:rPr>
                    <w:t>删除业务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_Toc345326394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4B1FC3">
                <w:r>
                  <w:fldChar w:fldCharType="end"/>
                </w:r>
              </w:p>
            </w:sdtContent>
          </w:sdt>
          <w:p w:rsidR="0092244D" w:rsidRPr="00520F9B" w:rsidRDefault="0092244D" w:rsidP="0092244D">
            <w:pPr>
              <w:pStyle w:val="1"/>
            </w:pPr>
            <w:bookmarkStart w:id="2" w:name="_Toc331181477"/>
            <w:bookmarkStart w:id="3" w:name="_Toc345326391"/>
            <w:r w:rsidRPr="00520F9B">
              <w:rPr>
                <w:rFonts w:hint="eastAsia"/>
              </w:rPr>
              <w:t>概述</w:t>
            </w:r>
            <w:bookmarkEnd w:id="2"/>
            <w:bookmarkEnd w:id="3"/>
          </w:p>
          <w:p w:rsidR="0092244D" w:rsidRPr="00982B70" w:rsidRDefault="006E18EC" w:rsidP="0092244D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270500" cy="2320290"/>
                  <wp:effectExtent l="1905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320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Default="0092244D" w:rsidP="0092244D">
            <w:pPr>
              <w:pStyle w:val="a9"/>
              <w:spacing w:before="312"/>
              <w:rPr>
                <w:rFonts w:asciiTheme="minorEastAsia" w:hAnsiTheme="minorEastAsia"/>
              </w:rPr>
            </w:pPr>
            <w:r w:rsidRPr="00903C5F">
              <w:rPr>
                <w:rFonts w:asciiTheme="minorEastAsia" w:hAnsiTheme="minorEastAsia" w:hint="eastAsia"/>
              </w:rPr>
              <w:t>系统管理员可以在业务管理页面对业务进行增删改查，并可以跳转至任务组管理页面对属于某业务的任务组进行增删改查。</w:t>
            </w:r>
          </w:p>
          <w:p w:rsidR="0092244D" w:rsidRPr="00903C5F" w:rsidRDefault="0092244D" w:rsidP="0092244D">
            <w:pPr>
              <w:pStyle w:val="1"/>
            </w:pPr>
            <w:bookmarkStart w:id="4" w:name="_Toc331181478"/>
            <w:bookmarkStart w:id="5" w:name="_Toc345326392"/>
            <w:r w:rsidRPr="00903C5F">
              <w:rPr>
                <w:rFonts w:hint="eastAsia"/>
              </w:rPr>
              <w:t>新增业务</w:t>
            </w:r>
            <w:bookmarkEnd w:id="4"/>
            <w:bookmarkEnd w:id="5"/>
          </w:p>
          <w:p w:rsidR="0092244D" w:rsidRPr="00D26CA1" w:rsidRDefault="00730A5D" w:rsidP="0092244D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  <w:snapToGrid/>
              </w:rPr>
              <w:lastRenderedPageBreak/>
              <w:drawing>
                <wp:inline distT="0" distB="0" distL="0" distR="0">
                  <wp:extent cx="4977130" cy="304482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7130" cy="304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65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，打开新增业务页面。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业务ID</w:t>
            </w:r>
            <w:r w:rsidRPr="00D26CA1">
              <w:rPr>
                <w:rFonts w:asciiTheme="minorEastAsia" w:hAnsiTheme="minorEastAsia" w:hint="eastAsia"/>
              </w:rPr>
              <w:t>：业务的唯一标识；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业务类型</w:t>
            </w:r>
            <w:r w:rsidRPr="00D26CA1">
              <w:rPr>
                <w:rFonts w:asciiTheme="minorEastAsia" w:hAnsiTheme="minorEastAsia" w:hint="eastAsia"/>
              </w:rPr>
              <w:t>：业务的名称；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业务描述</w:t>
            </w:r>
            <w:r w:rsidRPr="00D26CA1">
              <w:rPr>
                <w:rFonts w:asciiTheme="minorEastAsia" w:hAnsiTheme="minorEastAsia" w:hint="eastAsia"/>
              </w:rPr>
              <w:t>：业务的详细描述；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业务联系人</w:t>
            </w:r>
            <w:r w:rsidRPr="00D26CA1">
              <w:rPr>
                <w:rFonts w:asciiTheme="minorEastAsia" w:hAnsiTheme="minorEastAsia" w:hint="eastAsia"/>
              </w:rPr>
              <w:t>：业务的联系人；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告警邮箱列表</w:t>
            </w:r>
            <w:r w:rsidRPr="00D26CA1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属于该业务的任务产生告警时将告警邮件发送到的华为邮箱地址，多个用“;”分隔；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告警手机号码列表</w:t>
            </w:r>
            <w:r>
              <w:rPr>
                <w:rFonts w:asciiTheme="minorEastAsia" w:hAnsiTheme="minorEastAsia" w:hint="eastAsia"/>
              </w:rPr>
              <w:t>：属于该业务的任务产生告警时将告警短信发送到的手机号码，多个用“;”分隔（暂不支持）。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新增业务时系统会自动创建一个属于该业务的名为“默认”的任务组。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92244D" w:rsidRDefault="0092244D" w:rsidP="0092244D">
            <w:pPr>
              <w:rPr>
                <w:rFonts w:asciiTheme="minorEastAsia" w:hAnsiTheme="minorEastAsia"/>
              </w:rPr>
            </w:pPr>
          </w:p>
          <w:p w:rsidR="0092244D" w:rsidRPr="00C45A0F" w:rsidRDefault="0092244D" w:rsidP="0092244D">
            <w:pPr>
              <w:pStyle w:val="1"/>
            </w:pPr>
            <w:bookmarkStart w:id="6" w:name="_Toc331181479"/>
            <w:bookmarkStart w:id="7" w:name="_Toc345326393"/>
            <w:r w:rsidRPr="00C45A0F">
              <w:rPr>
                <w:rFonts w:hint="eastAsia"/>
              </w:rPr>
              <w:t>修改业务</w:t>
            </w:r>
            <w:bookmarkEnd w:id="6"/>
            <w:bookmarkEnd w:id="7"/>
          </w:p>
          <w:p w:rsidR="0092244D" w:rsidRPr="00F86229" w:rsidRDefault="00745D6A" w:rsidP="0092244D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  <w:snapToGrid/>
              </w:rPr>
              <w:lastRenderedPageBreak/>
              <w:drawing>
                <wp:inline distT="0" distB="0" distL="0" distR="0">
                  <wp:extent cx="4942840" cy="305371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2840" cy="3053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双击某业务或点击某业务的编辑业务按钮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067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，打开修改业务页面。</w:t>
            </w:r>
          </w:p>
          <w:p w:rsidR="0092244D" w:rsidRPr="00564BF4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业务ID置灰，不能修改。其余同新增业务。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C45A0F"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92244D" w:rsidRPr="00E36DAB" w:rsidRDefault="0092244D" w:rsidP="0092244D">
            <w:pPr>
              <w:pStyle w:val="1"/>
            </w:pPr>
            <w:bookmarkStart w:id="8" w:name="_Toc331181481"/>
            <w:bookmarkStart w:id="9" w:name="_Toc345326394"/>
            <w:r w:rsidRPr="00E36DAB">
              <w:rPr>
                <w:rFonts w:hint="eastAsia"/>
              </w:rPr>
              <w:t>删除业务</w:t>
            </w:r>
            <w:bookmarkEnd w:id="8"/>
            <w:bookmarkEnd w:id="9"/>
          </w:p>
          <w:p w:rsidR="0092244D" w:rsidRPr="00832541" w:rsidRDefault="0092244D" w:rsidP="006F2125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选择要删除的业务（可多选），点击删除按钮</w:t>
            </w:r>
            <w:r w:rsidRPr="0083254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070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。</w:t>
            </w:r>
          </w:p>
          <w:p w:rsidR="0092244D" w:rsidRPr="00832541" w:rsidRDefault="00B705E7" w:rsidP="006F2125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  <w:snapToGrid/>
              </w:rPr>
              <w:drawing>
                <wp:inline distT="0" distB="0" distL="0" distR="0">
                  <wp:extent cx="2286000" cy="88011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DBF" w:rsidRPr="0092244D" w:rsidRDefault="0092244D" w:rsidP="006F2125">
            <w:pPr>
              <w:pStyle w:val="a9"/>
              <w:spacing w:beforeLines="50" w:line="240" w:lineRule="auto"/>
            </w:pPr>
            <w:r w:rsidRPr="00832541">
              <w:rPr>
                <w:rFonts w:asciiTheme="minorEastAsia" w:hAnsiTheme="minorEastAsia" w:hint="eastAsia"/>
              </w:rPr>
              <w:t>如果要删除的业务有绑定的</w:t>
            </w:r>
            <w:r w:rsidR="00C66968">
              <w:rPr>
                <w:rFonts w:asciiTheme="minorEastAsia" w:hAnsiTheme="minorEastAsia" w:hint="eastAsia"/>
              </w:rPr>
              <w:t>OS用户组</w:t>
            </w:r>
            <w:r w:rsidRPr="00832541">
              <w:rPr>
                <w:rFonts w:asciiTheme="minorEastAsia" w:hAnsiTheme="minorEastAsia" w:hint="eastAsia"/>
              </w:rPr>
              <w:t>，则会弹出如上图的提示框，提示需要先删除所有绑定此业务的</w:t>
            </w:r>
            <w:r w:rsidR="0065797A">
              <w:rPr>
                <w:rFonts w:asciiTheme="minorEastAsia" w:hAnsiTheme="minorEastAsia" w:hint="eastAsia"/>
              </w:rPr>
              <w:t>OS用户组</w:t>
            </w:r>
            <w:r w:rsidRPr="00832541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266ED2" w:rsidRPr="00545DBF" w:rsidRDefault="00266ED2" w:rsidP="004908F3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87B" w:rsidRDefault="00ED787B" w:rsidP="00545DBF">
      <w:pPr>
        <w:spacing w:line="240" w:lineRule="auto"/>
      </w:pPr>
      <w:r>
        <w:separator/>
      </w:r>
    </w:p>
  </w:endnote>
  <w:endnote w:type="continuationSeparator" w:id="0">
    <w:p w:rsidR="00ED787B" w:rsidRDefault="00ED787B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87B" w:rsidRDefault="00ED787B" w:rsidP="00545DBF">
      <w:pPr>
        <w:spacing w:line="240" w:lineRule="auto"/>
      </w:pPr>
      <w:r>
        <w:separator/>
      </w:r>
    </w:p>
  </w:footnote>
  <w:footnote w:type="continuationSeparator" w:id="0">
    <w:p w:rsidR="00ED787B" w:rsidRDefault="00ED787B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3FAC"/>
    <w:rsid w:val="00005FA7"/>
    <w:rsid w:val="00007462"/>
    <w:rsid w:val="00014154"/>
    <w:rsid w:val="00017209"/>
    <w:rsid w:val="000232C2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0BD8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5AF"/>
    <w:rsid w:val="00404ED0"/>
    <w:rsid w:val="00405EA6"/>
    <w:rsid w:val="004137EA"/>
    <w:rsid w:val="00416F4C"/>
    <w:rsid w:val="00425ECC"/>
    <w:rsid w:val="00426986"/>
    <w:rsid w:val="004412C7"/>
    <w:rsid w:val="004908F3"/>
    <w:rsid w:val="00490F1D"/>
    <w:rsid w:val="004A40BC"/>
    <w:rsid w:val="004A5DBA"/>
    <w:rsid w:val="004B1FC3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5F4512"/>
    <w:rsid w:val="00612EC9"/>
    <w:rsid w:val="00614D1E"/>
    <w:rsid w:val="0062088E"/>
    <w:rsid w:val="00637707"/>
    <w:rsid w:val="006415EF"/>
    <w:rsid w:val="0065016A"/>
    <w:rsid w:val="0065797A"/>
    <w:rsid w:val="0066371E"/>
    <w:rsid w:val="00664FDB"/>
    <w:rsid w:val="00670FD0"/>
    <w:rsid w:val="006C30DB"/>
    <w:rsid w:val="006C4682"/>
    <w:rsid w:val="006E18EC"/>
    <w:rsid w:val="006F2125"/>
    <w:rsid w:val="00703D25"/>
    <w:rsid w:val="00704321"/>
    <w:rsid w:val="0070799F"/>
    <w:rsid w:val="00730A5D"/>
    <w:rsid w:val="00731DB5"/>
    <w:rsid w:val="00745D6A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05FCC"/>
    <w:rsid w:val="0092244D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E7EB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705E7"/>
    <w:rsid w:val="00B91F5A"/>
    <w:rsid w:val="00B9200C"/>
    <w:rsid w:val="00BC5776"/>
    <w:rsid w:val="00BE4DBF"/>
    <w:rsid w:val="00BE7016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66968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2F7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D787B"/>
    <w:rsid w:val="00EE14D7"/>
    <w:rsid w:val="00F00D02"/>
    <w:rsid w:val="00F03FF7"/>
    <w:rsid w:val="00F04CAD"/>
    <w:rsid w:val="00F135DB"/>
    <w:rsid w:val="00F35114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92244D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92244D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92244D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92244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92244D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92244D"/>
  </w:style>
  <w:style w:type="character" w:styleId="aa">
    <w:name w:val="Hyperlink"/>
    <w:basedOn w:val="a2"/>
    <w:uiPriority w:val="99"/>
    <w:unhideWhenUsed/>
    <w:rsid w:val="0092244D"/>
    <w:rPr>
      <w:color w:val="0000FF" w:themeColor="hyperlink"/>
      <w:u w:val="single"/>
    </w:rPr>
  </w:style>
  <w:style w:type="paragraph" w:styleId="ab">
    <w:name w:val="Title"/>
    <w:basedOn w:val="a1"/>
    <w:next w:val="a1"/>
    <w:link w:val="Char2"/>
    <w:uiPriority w:val="10"/>
    <w:qFormat/>
    <w:rsid w:val="00003F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003FAC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C8503-2F08-4933-A8A4-AC625866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713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24</cp:revision>
  <dcterms:created xsi:type="dcterms:W3CDTF">2012-07-28T10:07:00Z</dcterms:created>
  <dcterms:modified xsi:type="dcterms:W3CDTF">2013-01-07T04:51:00Z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1357534243</vt:lpwstr>
  </property>
</Properties>
</file>