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3A7D81" w:rsidRDefault="003A7D81" w:rsidP="003A7D81">
            <w:pPr>
              <w:pStyle w:val="2"/>
              <w:numPr>
                <w:ilvl w:val="0"/>
                <w:numId w:val="0"/>
              </w:numPr>
              <w:ind w:left="576" w:hanging="576"/>
              <w:textAlignment w:val="center"/>
              <w:rPr>
                <w:rFonts w:hint="eastAsia"/>
              </w:rPr>
            </w:pPr>
            <w:bookmarkStart w:id="0" w:name="_Toc331181511"/>
            <w:bookmarkStart w:id="1" w:name="_Toc331262649"/>
            <w:r>
              <w:rPr>
                <w:rFonts w:hint="eastAsia"/>
              </w:rPr>
              <w:t>TCC</w:t>
            </w:r>
            <w:r>
              <w:rPr>
                <w:rFonts w:hint="eastAsia"/>
              </w:rPr>
              <w:t>配置</w:t>
            </w:r>
            <w:bookmarkEnd w:id="0"/>
            <w:bookmarkEnd w:id="1"/>
          </w:p>
          <w:sdt>
            <w:sdtPr>
              <w:rPr>
                <w:lang w:val="zh-CN"/>
              </w:rPr>
              <w:id w:val="34758036"/>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3A7D81" w:rsidRDefault="003A7D81">
                <w:pPr>
                  <w:pStyle w:val="TOC"/>
                </w:pPr>
                <w:r>
                  <w:rPr>
                    <w:lang w:val="zh-CN"/>
                  </w:rPr>
                  <w:t>目录</w:t>
                </w:r>
              </w:p>
              <w:p w:rsidR="003A7D81" w:rsidRDefault="003A7D81">
                <w:pPr>
                  <w:pStyle w:val="20"/>
                  <w:tabs>
                    <w:tab w:val="right" w:leader="dot" w:pos="8296"/>
                  </w:tabs>
                  <w:rPr>
                    <w:noProof/>
                  </w:rPr>
                </w:pPr>
                <w:r>
                  <w:fldChar w:fldCharType="begin"/>
                </w:r>
                <w:r>
                  <w:instrText xml:space="preserve"> TOC \o "1-3" \h \z \u </w:instrText>
                </w:r>
                <w:r>
                  <w:fldChar w:fldCharType="separate"/>
                </w:r>
                <w:hyperlink w:anchor="_Toc331262649" w:history="1">
                  <w:r w:rsidRPr="00BF54C1">
                    <w:rPr>
                      <w:rStyle w:val="a9"/>
                      <w:noProof/>
                    </w:rPr>
                    <w:t>TCC</w:t>
                  </w:r>
                  <w:r w:rsidRPr="00BF54C1">
                    <w:rPr>
                      <w:rStyle w:val="a9"/>
                      <w:rFonts w:hint="eastAsia"/>
                      <w:noProof/>
                    </w:rPr>
                    <w:t>配置</w:t>
                  </w:r>
                  <w:r>
                    <w:rPr>
                      <w:noProof/>
                      <w:webHidden/>
                    </w:rPr>
                    <w:tab/>
                  </w:r>
                  <w:r>
                    <w:rPr>
                      <w:noProof/>
                      <w:webHidden/>
                    </w:rPr>
                    <w:fldChar w:fldCharType="begin"/>
                  </w:r>
                  <w:r>
                    <w:rPr>
                      <w:noProof/>
                      <w:webHidden/>
                    </w:rPr>
                    <w:instrText xml:space="preserve"> PAGEREF _Toc331262649 \h </w:instrText>
                  </w:r>
                  <w:r>
                    <w:rPr>
                      <w:noProof/>
                      <w:webHidden/>
                    </w:rPr>
                  </w:r>
                  <w:r>
                    <w:rPr>
                      <w:noProof/>
                      <w:webHidden/>
                    </w:rPr>
                    <w:fldChar w:fldCharType="separate"/>
                  </w:r>
                  <w:r>
                    <w:rPr>
                      <w:noProof/>
                      <w:webHidden/>
                    </w:rPr>
                    <w:t>1</w:t>
                  </w:r>
                  <w:r>
                    <w:rPr>
                      <w:noProof/>
                      <w:webHidden/>
                    </w:rPr>
                    <w:fldChar w:fldCharType="end"/>
                  </w:r>
                </w:hyperlink>
              </w:p>
              <w:p w:rsidR="003A7D81" w:rsidRDefault="003A7D81">
                <w:pPr>
                  <w:pStyle w:val="10"/>
                  <w:tabs>
                    <w:tab w:val="left" w:pos="420"/>
                    <w:tab w:val="right" w:leader="dot" w:pos="8296"/>
                  </w:tabs>
                  <w:rPr>
                    <w:noProof/>
                  </w:rPr>
                </w:pPr>
                <w:hyperlink w:anchor="_Toc331262650" w:history="1">
                  <w:r w:rsidRPr="00BF54C1">
                    <w:rPr>
                      <w:rStyle w:val="a9"/>
                      <w:noProof/>
                    </w:rPr>
                    <w:t>1</w:t>
                  </w:r>
                  <w:r>
                    <w:rPr>
                      <w:noProof/>
                    </w:rPr>
                    <w:tab/>
                  </w:r>
                  <w:r w:rsidRPr="00BF54C1">
                    <w:rPr>
                      <w:rStyle w:val="a9"/>
                      <w:noProof/>
                    </w:rPr>
                    <w:t>TCC</w:t>
                  </w:r>
                  <w:r w:rsidRPr="00BF54C1">
                    <w:rPr>
                      <w:rStyle w:val="a9"/>
                      <w:rFonts w:hint="eastAsia"/>
                      <w:noProof/>
                    </w:rPr>
                    <w:t>主要配置项说明</w:t>
                  </w:r>
                  <w:r>
                    <w:rPr>
                      <w:noProof/>
                      <w:webHidden/>
                    </w:rPr>
                    <w:tab/>
                  </w:r>
                  <w:r>
                    <w:rPr>
                      <w:noProof/>
                      <w:webHidden/>
                    </w:rPr>
                    <w:fldChar w:fldCharType="begin"/>
                  </w:r>
                  <w:r>
                    <w:rPr>
                      <w:noProof/>
                      <w:webHidden/>
                    </w:rPr>
                    <w:instrText xml:space="preserve"> PAGEREF _Toc331262650 \h </w:instrText>
                  </w:r>
                  <w:r>
                    <w:rPr>
                      <w:noProof/>
                      <w:webHidden/>
                    </w:rPr>
                  </w:r>
                  <w:r>
                    <w:rPr>
                      <w:noProof/>
                      <w:webHidden/>
                    </w:rPr>
                    <w:fldChar w:fldCharType="separate"/>
                  </w:r>
                  <w:r>
                    <w:rPr>
                      <w:noProof/>
                      <w:webHidden/>
                    </w:rPr>
                    <w:t>1</w:t>
                  </w:r>
                  <w:r>
                    <w:rPr>
                      <w:noProof/>
                      <w:webHidden/>
                    </w:rPr>
                    <w:fldChar w:fldCharType="end"/>
                  </w:r>
                </w:hyperlink>
              </w:p>
              <w:p w:rsidR="003A7D81" w:rsidRDefault="003A7D81">
                <w:r>
                  <w:fldChar w:fldCharType="end"/>
                </w:r>
              </w:p>
            </w:sdtContent>
          </w:sdt>
          <w:p w:rsidR="003A7D81" w:rsidRPr="003A7D81" w:rsidRDefault="003A7D81" w:rsidP="003A7D81"/>
          <w:p w:rsidR="003A7D81" w:rsidRDefault="003A7D81" w:rsidP="003A7D81">
            <w:pPr>
              <w:textAlignment w:val="center"/>
            </w:pPr>
            <w:r>
              <w:rPr>
                <w:rFonts w:hint="eastAsia"/>
              </w:rPr>
              <w:t>点击左侧树形菜单：系统管理</w:t>
            </w:r>
            <w:r>
              <w:rPr>
                <w:rFonts w:hint="eastAsia"/>
              </w:rPr>
              <w:t>--&gt;TCC</w:t>
            </w:r>
            <w:r>
              <w:rPr>
                <w:rFonts w:hint="eastAsia"/>
              </w:rPr>
              <w:t>配置，打开的</w:t>
            </w:r>
            <w:r>
              <w:rPr>
                <w:rFonts w:hint="eastAsia"/>
              </w:rPr>
              <w:t>TCC</w:t>
            </w:r>
            <w:r>
              <w:rPr>
                <w:rFonts w:hint="eastAsia"/>
              </w:rPr>
              <w:t>配置页面如下</w:t>
            </w:r>
          </w:p>
          <w:p w:rsidR="003A7D81" w:rsidRPr="005E5FC9" w:rsidRDefault="003A7D81" w:rsidP="003A7D81">
            <w:pPr>
              <w:widowControl/>
              <w:autoSpaceDE/>
              <w:autoSpaceDN/>
              <w:adjustRightInd/>
              <w:spacing w:line="240" w:lineRule="auto"/>
              <w:rPr>
                <w:rFonts w:ascii="宋体" w:hAnsi="宋体" w:cs="宋体"/>
                <w:snapToGrid/>
                <w:sz w:val="24"/>
                <w:szCs w:val="24"/>
              </w:rPr>
            </w:pPr>
            <w:r>
              <w:rPr>
                <w:rFonts w:ascii="宋体" w:hAnsi="宋体" w:cs="宋体"/>
                <w:noProof/>
                <w:snapToGrid/>
                <w:sz w:val="24"/>
                <w:szCs w:val="24"/>
              </w:rPr>
              <w:drawing>
                <wp:inline distT="0" distB="0" distL="0" distR="0">
                  <wp:extent cx="5142651" cy="3122763"/>
                  <wp:effectExtent l="19050" t="0" r="849" b="0"/>
                  <wp:docPr id="2" name="图片 1" descr="C:\Users\l00194471\AppData\Roaming\Tencent\Users\240862515\QQ\WinTemp\RichOle\_J02OABQ_H5KNA`CJVRT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_J02OABQ_H5KNA`CJVRTU[W.jpg"/>
                          <pic:cNvPicPr>
                            <a:picLocks noChangeAspect="1" noChangeArrowheads="1"/>
                          </pic:cNvPicPr>
                        </pic:nvPicPr>
                        <pic:blipFill>
                          <a:blip r:embed="rId8" cstate="print"/>
                          <a:srcRect/>
                          <a:stretch>
                            <a:fillRect/>
                          </a:stretch>
                        </pic:blipFill>
                        <pic:spPr bwMode="auto">
                          <a:xfrm>
                            <a:off x="0" y="0"/>
                            <a:ext cx="5150707" cy="3127655"/>
                          </a:xfrm>
                          <a:prstGeom prst="rect">
                            <a:avLst/>
                          </a:prstGeom>
                          <a:noFill/>
                          <a:ln w="9525">
                            <a:noFill/>
                            <a:miter lim="800000"/>
                            <a:headEnd/>
                            <a:tailEnd/>
                          </a:ln>
                        </pic:spPr>
                      </pic:pic>
                    </a:graphicData>
                  </a:graphic>
                </wp:inline>
              </w:drawing>
            </w:r>
          </w:p>
          <w:p w:rsidR="003A7D81" w:rsidRDefault="003A7D81" w:rsidP="003A7D81">
            <w:pPr>
              <w:textAlignment w:val="center"/>
            </w:pPr>
            <w:r>
              <w:rPr>
                <w:rFonts w:hint="eastAsia"/>
              </w:rPr>
              <w:t>修改</w:t>
            </w:r>
            <w:proofErr w:type="gramStart"/>
            <w:r>
              <w:rPr>
                <w:rFonts w:hint="eastAsia"/>
              </w:rPr>
              <w:t>完相应</w:t>
            </w:r>
            <w:proofErr w:type="gramEnd"/>
            <w:r>
              <w:rPr>
                <w:rFonts w:hint="eastAsia"/>
              </w:rPr>
              <w:t>配置项后，点击</w:t>
            </w:r>
            <w:r>
              <w:rPr>
                <w:rFonts w:hint="eastAsia"/>
                <w:noProof/>
                <w:snapToGrid/>
              </w:rPr>
              <w:drawing>
                <wp:inline distT="0" distB="0" distL="0" distR="0">
                  <wp:extent cx="2312035" cy="241300"/>
                  <wp:effectExtent l="19050" t="0" r="0" b="0"/>
                  <wp:docPr id="112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2312035" cy="241300"/>
                          </a:xfrm>
                          <a:prstGeom prst="rect">
                            <a:avLst/>
                          </a:prstGeom>
                          <a:noFill/>
                          <a:ln w="9525">
                            <a:noFill/>
                            <a:miter lim="800000"/>
                            <a:headEnd/>
                            <a:tailEnd/>
                          </a:ln>
                        </pic:spPr>
                      </pic:pic>
                    </a:graphicData>
                  </a:graphic>
                </wp:inline>
              </w:drawing>
            </w:r>
            <w:r>
              <w:rPr>
                <w:rFonts w:hint="eastAsia"/>
              </w:rPr>
              <w:t>按钮即可，如果修改的配置项有“重做后生效”标记，如果需要配置生效，需要点击</w:t>
            </w:r>
            <w:r>
              <w:rPr>
                <w:rFonts w:hint="eastAsia"/>
                <w:noProof/>
                <w:snapToGrid/>
              </w:rPr>
              <w:drawing>
                <wp:inline distT="0" distB="0" distL="0" distR="0">
                  <wp:extent cx="897255" cy="233045"/>
                  <wp:effectExtent l="19050" t="0" r="0" b="0"/>
                  <wp:docPr id="112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895350" cy="232913"/>
                          </a:xfrm>
                          <a:prstGeom prst="rect">
                            <a:avLst/>
                          </a:prstGeom>
                          <a:noFill/>
                          <a:ln w="9525">
                            <a:noFill/>
                            <a:miter lim="800000"/>
                            <a:headEnd/>
                            <a:tailEnd/>
                          </a:ln>
                        </pic:spPr>
                      </pic:pic>
                    </a:graphicData>
                  </a:graphic>
                </wp:inline>
              </w:drawing>
            </w:r>
            <w:r>
              <w:rPr>
                <w:rFonts w:hint="eastAsia"/>
              </w:rPr>
              <w:t>按钮。</w:t>
            </w:r>
          </w:p>
          <w:p w:rsidR="003A7D81" w:rsidRDefault="003A7D81" w:rsidP="003A7D81">
            <w:pPr>
              <w:pStyle w:val="1"/>
            </w:pPr>
            <w:bookmarkStart w:id="2" w:name="_Toc331181512"/>
            <w:bookmarkStart w:id="3" w:name="_Toc331262650"/>
            <w:r>
              <w:rPr>
                <w:rFonts w:hint="eastAsia"/>
              </w:rPr>
              <w:t>TCC</w:t>
            </w:r>
            <w:r>
              <w:rPr>
                <w:rFonts w:hint="eastAsia"/>
              </w:rPr>
              <w:t>主要配置项说明</w:t>
            </w:r>
            <w:bookmarkEnd w:id="2"/>
            <w:bookmarkEnd w:id="3"/>
          </w:p>
          <w:p w:rsidR="003A7D81" w:rsidRPr="009B62F6" w:rsidRDefault="003A7D81" w:rsidP="003A7D81">
            <w:pPr>
              <w:ind w:firstLine="420"/>
              <w:textAlignment w:val="center"/>
            </w:pPr>
            <w:hyperlink r:id="rId11" w:anchor="benchDate" w:tgtFrame="_blank" w:history="1">
              <w:r w:rsidRPr="003D710D">
                <w:rPr>
                  <w:i/>
                </w:rPr>
                <w:t>基准时间</w:t>
              </w:r>
              <w:r w:rsidRPr="003D710D">
                <w:rPr>
                  <w:i/>
                </w:rPr>
                <w:t>(</w:t>
              </w:r>
              <w:r w:rsidRPr="003D710D">
                <w:rPr>
                  <w:i/>
                </w:rPr>
                <w:t>重启后生效</w:t>
              </w:r>
              <w:r w:rsidRPr="003D710D">
                <w:rPr>
                  <w:i/>
                </w:rPr>
                <w:t>)</w:t>
              </w:r>
              <w:r w:rsidRPr="003D710D">
                <w:t>:</w:t>
              </w:r>
            </w:hyperlink>
            <w:r w:rsidRPr="009B62F6">
              <w:t xml:space="preserve"> </w:t>
            </w:r>
            <w:r w:rsidRPr="009B62F6">
              <w:t>基准时间</w:t>
            </w:r>
            <w:r w:rsidRPr="009B62F6">
              <w:rPr>
                <w:rFonts w:hint="eastAsia"/>
              </w:rPr>
              <w:t>是一个非常重要的参数</w:t>
            </w:r>
            <w:r>
              <w:rPr>
                <w:rFonts w:hint="eastAsia"/>
              </w:rPr>
              <w:t>，对应后台配置项的</w:t>
            </w:r>
            <w:proofErr w:type="spellStart"/>
            <w:r w:rsidRPr="009B62F6">
              <w:t>tcc.benchDate</w:t>
            </w:r>
            <w:proofErr w:type="spellEnd"/>
            <w:r w:rsidRPr="009B62F6">
              <w:rPr>
                <w:rFonts w:hint="eastAsia"/>
              </w:rPr>
              <w:t>，设定的</w:t>
            </w:r>
            <w:proofErr w:type="gramStart"/>
            <w:r w:rsidRPr="009B62F6">
              <w:rPr>
                <w:rFonts w:hint="eastAsia"/>
              </w:rPr>
              <w:t>天范围</w:t>
            </w:r>
            <w:proofErr w:type="gramEnd"/>
            <w:r w:rsidRPr="009B62F6">
              <w:rPr>
                <w:rFonts w:hint="eastAsia"/>
              </w:rPr>
              <w:t>最好是</w:t>
            </w:r>
            <w:r w:rsidRPr="009B62F6">
              <w:rPr>
                <w:rFonts w:hint="eastAsia"/>
              </w:rPr>
              <w:t>1-27</w:t>
            </w:r>
            <w:r w:rsidRPr="009B62F6">
              <w:rPr>
                <w:rFonts w:hint="eastAsia"/>
              </w:rPr>
              <w:t>（因为每个月都能保证至少有</w:t>
            </w:r>
            <w:r w:rsidRPr="009B62F6">
              <w:rPr>
                <w:rFonts w:hint="eastAsia"/>
              </w:rPr>
              <w:t>27</w:t>
            </w:r>
            <w:r w:rsidRPr="009B62F6">
              <w:rPr>
                <w:rFonts w:hint="eastAsia"/>
              </w:rPr>
              <w:t>天，如果修改成</w:t>
            </w:r>
            <w:r w:rsidRPr="009B62F6">
              <w:t>2012-01-2</w:t>
            </w:r>
            <w:r w:rsidRPr="009B62F6">
              <w:rPr>
                <w:rFonts w:hint="eastAsia"/>
              </w:rPr>
              <w:t>9</w:t>
            </w:r>
            <w:r w:rsidRPr="009B62F6">
              <w:rPr>
                <w:rFonts w:hint="eastAsia"/>
              </w:rPr>
              <w:t>号的话，</w:t>
            </w:r>
            <w:proofErr w:type="gramStart"/>
            <w:r w:rsidRPr="009B62F6">
              <w:rPr>
                <w:rFonts w:hint="eastAsia"/>
              </w:rPr>
              <w:t>月类型</w:t>
            </w:r>
            <w:proofErr w:type="gramEnd"/>
            <w:r w:rsidRPr="009B62F6">
              <w:rPr>
                <w:rFonts w:hint="eastAsia"/>
              </w:rPr>
              <w:t>的任务周期可能就不具备每月</w:t>
            </w:r>
            <w:r w:rsidRPr="009B62F6">
              <w:rPr>
                <w:rFonts w:hint="eastAsia"/>
              </w:rPr>
              <w:t>29</w:t>
            </w:r>
            <w:r>
              <w:rPr>
                <w:rFonts w:hint="eastAsia"/>
              </w:rPr>
              <w:t>号的意义了</w:t>
            </w:r>
            <w:r w:rsidRPr="009B62F6">
              <w:rPr>
                <w:rFonts w:hint="eastAsia"/>
              </w:rPr>
              <w:t>），</w:t>
            </w:r>
            <w:proofErr w:type="spellStart"/>
            <w:r w:rsidRPr="009B62F6">
              <w:rPr>
                <w:rFonts w:hint="eastAsia"/>
              </w:rPr>
              <w:t>tcc</w:t>
            </w:r>
            <w:proofErr w:type="spellEnd"/>
            <w:r w:rsidRPr="009B62F6">
              <w:rPr>
                <w:rFonts w:hint="eastAsia"/>
              </w:rPr>
              <w:t>后台将这个日期作为时间的起始标准，请勿随便调整基准时间，否则依赖关系可能不起作用；</w:t>
            </w:r>
          </w:p>
          <w:p w:rsidR="003A7D81" w:rsidRPr="009B62F6" w:rsidRDefault="003A7D81" w:rsidP="003A7D81">
            <w:pPr>
              <w:ind w:leftChars="200" w:left="420"/>
              <w:textAlignment w:val="center"/>
            </w:pPr>
            <w:r w:rsidRPr="009B62F6">
              <w:rPr>
                <w:rFonts w:hint="eastAsia"/>
              </w:rPr>
              <w:t>两种情况可以调整</w:t>
            </w:r>
            <w:r>
              <w:rPr>
                <w:rFonts w:hint="eastAsia"/>
              </w:rPr>
              <w:t>基准时间</w:t>
            </w:r>
            <w:r w:rsidRPr="009B62F6">
              <w:rPr>
                <w:rFonts w:hint="eastAsia"/>
              </w:rPr>
              <w:t>：</w:t>
            </w:r>
          </w:p>
          <w:p w:rsidR="003A7D81" w:rsidRPr="009B62F6" w:rsidRDefault="003A7D81" w:rsidP="003A7D81">
            <w:pPr>
              <w:ind w:firstLineChars="200" w:firstLine="420"/>
              <w:textAlignment w:val="center"/>
            </w:pPr>
            <w:r>
              <w:rPr>
                <w:rFonts w:hint="eastAsia"/>
              </w:rPr>
              <w:t>1</w:t>
            </w:r>
            <w:r>
              <w:rPr>
                <w:rFonts w:hint="eastAsia"/>
              </w:rPr>
              <w:t>、</w:t>
            </w:r>
            <w:r w:rsidRPr="009B62F6">
              <w:rPr>
                <w:rFonts w:hint="eastAsia"/>
              </w:rPr>
              <w:t>任务运行状态表不存在任何记录时，可以随意调整；</w:t>
            </w:r>
          </w:p>
          <w:p w:rsidR="003A7D81" w:rsidRDefault="003A7D81" w:rsidP="003A7D81">
            <w:pPr>
              <w:ind w:firstLineChars="200" w:firstLine="420"/>
              <w:textAlignment w:val="center"/>
            </w:pPr>
            <w:r>
              <w:rPr>
                <w:rFonts w:hint="eastAsia"/>
              </w:rPr>
              <w:t>2</w:t>
            </w:r>
            <w:r>
              <w:rPr>
                <w:rFonts w:hint="eastAsia"/>
              </w:rPr>
              <w:t>、</w:t>
            </w:r>
            <w:r w:rsidRPr="009B62F6">
              <w:rPr>
                <w:rFonts w:hint="eastAsia"/>
              </w:rPr>
              <w:t>任务运行状态表存在记录时，仅可以调整到表中的最大周期之后</w:t>
            </w:r>
            <w:r>
              <w:rPr>
                <w:rFonts w:hint="eastAsia"/>
              </w:rPr>
              <w:t>。</w:t>
            </w:r>
          </w:p>
          <w:p w:rsidR="003A7D81" w:rsidRDefault="003A7D81" w:rsidP="003A7D81">
            <w:pPr>
              <w:ind w:firstLineChars="202" w:firstLine="424"/>
              <w:textAlignment w:val="center"/>
            </w:pPr>
            <w:r w:rsidRPr="0090422C">
              <w:rPr>
                <w:i/>
              </w:rPr>
              <w:t>最大并发数</w:t>
            </w:r>
            <w:r>
              <w:rPr>
                <w:rFonts w:hint="eastAsia"/>
                <w:i/>
              </w:rPr>
              <w:t>：</w:t>
            </w:r>
            <w:r>
              <w:rPr>
                <w:rFonts w:hint="eastAsia"/>
              </w:rPr>
              <w:t>对应后台配置项的</w:t>
            </w:r>
            <w:proofErr w:type="spellStart"/>
            <w:r w:rsidRPr="009B62F6">
              <w:t>tcc.maxRunngingNum</w:t>
            </w:r>
            <w:proofErr w:type="spellEnd"/>
            <w:r>
              <w:rPr>
                <w:rFonts w:hint="eastAsia"/>
              </w:rPr>
              <w:t>，同一个时间内</w:t>
            </w:r>
            <w:r w:rsidRPr="009B62F6">
              <w:t>并发运行的最大任务周期数</w:t>
            </w:r>
            <w:r>
              <w:rPr>
                <w:rFonts w:hint="eastAsia"/>
              </w:rPr>
              <w:t>，这个配置项也作为任务表的权重的最大值使用。该参数通常不应该超过（</w:t>
            </w:r>
            <w:r w:rsidRPr="00E05827">
              <w:rPr>
                <w:i/>
              </w:rPr>
              <w:t>长执行时间命令</w:t>
            </w:r>
            <w:r w:rsidRPr="00E05827">
              <w:rPr>
                <w:i/>
              </w:rPr>
              <w:t>(</w:t>
            </w:r>
            <w:proofErr w:type="spellStart"/>
            <w:r w:rsidRPr="00E05827">
              <w:rPr>
                <w:i/>
              </w:rPr>
              <w:t>sh</w:t>
            </w:r>
            <w:proofErr w:type="spellEnd"/>
            <w:r w:rsidRPr="00E05827">
              <w:rPr>
                <w:i/>
              </w:rPr>
              <w:t>类型</w:t>
            </w:r>
            <w:r w:rsidRPr="00E05827">
              <w:rPr>
                <w:i/>
              </w:rPr>
              <w:t>)</w:t>
            </w:r>
            <w:r w:rsidRPr="00E05827">
              <w:rPr>
                <w:i/>
              </w:rPr>
              <w:t>的最大并发调用数</w:t>
            </w:r>
            <w:r>
              <w:rPr>
                <w:rFonts w:hint="eastAsia"/>
              </w:rPr>
              <w:t>），否则可能会导致任务周期执行时，调用</w:t>
            </w:r>
            <w:proofErr w:type="gramStart"/>
            <w:r>
              <w:rPr>
                <w:rFonts w:hint="eastAsia"/>
              </w:rPr>
              <w:t>壳程序</w:t>
            </w:r>
            <w:proofErr w:type="gramEnd"/>
            <w:r>
              <w:rPr>
                <w:rFonts w:hint="eastAsia"/>
              </w:rPr>
              <w:t>被阻塞，反而影响实际执行时间；</w:t>
            </w:r>
          </w:p>
          <w:p w:rsidR="003A7D81" w:rsidRPr="00833C45" w:rsidRDefault="003A7D81" w:rsidP="003A7D81">
            <w:pPr>
              <w:ind w:firstLineChars="200" w:firstLine="420"/>
              <w:textAlignment w:val="center"/>
            </w:pPr>
            <w:r w:rsidRPr="00615F41">
              <w:rPr>
                <w:i/>
              </w:rPr>
              <w:t>短执行时间命令</w:t>
            </w:r>
            <w:r w:rsidRPr="00615F41">
              <w:rPr>
                <w:i/>
              </w:rPr>
              <w:t>(</w:t>
            </w:r>
            <w:proofErr w:type="spellStart"/>
            <w:r w:rsidRPr="00615F41">
              <w:rPr>
                <w:i/>
              </w:rPr>
              <w:t>ls</w:t>
            </w:r>
            <w:proofErr w:type="spellEnd"/>
            <w:r w:rsidRPr="00615F41">
              <w:rPr>
                <w:i/>
              </w:rPr>
              <w:t>、</w:t>
            </w:r>
            <w:r w:rsidRPr="00615F41">
              <w:rPr>
                <w:i/>
              </w:rPr>
              <w:t>job</w:t>
            </w:r>
            <w:r w:rsidRPr="00615F41">
              <w:rPr>
                <w:i/>
              </w:rPr>
              <w:t>的</w:t>
            </w:r>
            <w:r w:rsidRPr="00615F41">
              <w:rPr>
                <w:i/>
              </w:rPr>
              <w:t>kill</w:t>
            </w:r>
            <w:r w:rsidRPr="00615F41">
              <w:rPr>
                <w:i/>
              </w:rPr>
              <w:t>命令</w:t>
            </w:r>
            <w:r w:rsidRPr="00615F41">
              <w:rPr>
                <w:i/>
              </w:rPr>
              <w:t>)</w:t>
            </w:r>
            <w:r w:rsidRPr="00615F41">
              <w:rPr>
                <w:i/>
              </w:rPr>
              <w:t>的最大并发调用数</w:t>
            </w:r>
            <w:r w:rsidRPr="00615F41">
              <w:rPr>
                <w:i/>
              </w:rPr>
              <w:t>:</w:t>
            </w:r>
            <w:r>
              <w:rPr>
                <w:rFonts w:hint="eastAsia"/>
                <w:i/>
              </w:rPr>
              <w:t>：</w:t>
            </w:r>
            <w:r>
              <w:rPr>
                <w:rFonts w:hint="eastAsia"/>
              </w:rPr>
              <w:t>对应后台配置项的</w:t>
            </w:r>
            <w:proofErr w:type="spellStart"/>
            <w:r>
              <w:t>cc.shortTimeCallNum</w:t>
            </w:r>
            <w:proofErr w:type="spellEnd"/>
            <w:r>
              <w:rPr>
                <w:rFonts w:hint="eastAsia"/>
              </w:rPr>
              <w:t>，</w:t>
            </w:r>
            <w:r w:rsidRPr="00833C45">
              <w:t>短执行时间命令</w:t>
            </w:r>
            <w:r w:rsidRPr="00833C45">
              <w:t>(</w:t>
            </w:r>
            <w:proofErr w:type="spellStart"/>
            <w:r w:rsidRPr="00833C45">
              <w:rPr>
                <w:u w:val="single"/>
              </w:rPr>
              <w:t>ls</w:t>
            </w:r>
            <w:proofErr w:type="spellEnd"/>
            <w:r w:rsidRPr="00833C45">
              <w:t>命令、</w:t>
            </w:r>
            <w:proofErr w:type="spellStart"/>
            <w:r w:rsidRPr="00833C45">
              <w:rPr>
                <w:u w:val="single"/>
              </w:rPr>
              <w:t>hadoop</w:t>
            </w:r>
            <w:proofErr w:type="spellEnd"/>
            <w:r w:rsidRPr="00833C45">
              <w:t xml:space="preserve"> job -kill</w:t>
            </w:r>
            <w:r w:rsidRPr="00833C45">
              <w:t>命令</w:t>
            </w:r>
            <w:r w:rsidRPr="00833C45">
              <w:t>)</w:t>
            </w:r>
            <w:r w:rsidRPr="00833C45">
              <w:t>最大的并发调用数</w:t>
            </w:r>
            <w:r>
              <w:rPr>
                <w:rFonts w:hint="eastAsia"/>
              </w:rPr>
              <w:t>，受限于</w:t>
            </w:r>
            <w:proofErr w:type="gramStart"/>
            <w:r>
              <w:rPr>
                <w:rFonts w:hint="eastAsia"/>
              </w:rPr>
              <w:t>壳程序</w:t>
            </w:r>
            <w:proofErr w:type="gramEnd"/>
            <w:r>
              <w:rPr>
                <w:rFonts w:hint="eastAsia"/>
              </w:rPr>
              <w:t>远程登录并执行命令的主机所允许的最大登录用户数（</w:t>
            </w:r>
            <w:proofErr w:type="spellStart"/>
            <w:r w:rsidRPr="00833C45">
              <w:t>tcc.shortTimeCallNum</w:t>
            </w:r>
            <w:proofErr w:type="spellEnd"/>
            <w:r>
              <w:rPr>
                <w:rFonts w:hint="eastAsia"/>
              </w:rPr>
              <w:t>+</w:t>
            </w:r>
            <w:r w:rsidRPr="008163B8">
              <w:t xml:space="preserve"> </w:t>
            </w:r>
            <w:proofErr w:type="spellStart"/>
            <w:r w:rsidRPr="00833C45">
              <w:t>tcc.longTimeCallNum</w:t>
            </w:r>
            <w:proofErr w:type="spellEnd"/>
            <w:r>
              <w:rPr>
                <w:rFonts w:hint="eastAsia"/>
              </w:rPr>
              <w:t>必需不超过</w:t>
            </w:r>
            <w:r w:rsidRPr="002857CE">
              <w:rPr>
                <w:rFonts w:hint="eastAsia"/>
                <w:b/>
                <w:i/>
              </w:rPr>
              <w:t>允许同时远程登陆的最大用户数</w:t>
            </w:r>
            <w:r>
              <w:rPr>
                <w:rFonts w:hint="eastAsia"/>
              </w:rPr>
              <w:t>，修改参见</w:t>
            </w:r>
            <w:r>
              <w:rPr>
                <w:rFonts w:hint="eastAsia"/>
              </w:rPr>
              <w:t>2.5 SUSE</w:t>
            </w:r>
            <w:r>
              <w:rPr>
                <w:rFonts w:hint="eastAsia"/>
              </w:rPr>
              <w:t>远程登陆配置）；</w:t>
            </w:r>
          </w:p>
          <w:p w:rsidR="003A7D81" w:rsidRDefault="003A7D81" w:rsidP="003A7D81">
            <w:pPr>
              <w:ind w:firstLineChars="200" w:firstLine="420"/>
              <w:textAlignment w:val="center"/>
            </w:pPr>
            <w:r w:rsidRPr="007128DE">
              <w:rPr>
                <w:i/>
              </w:rPr>
              <w:t>长执行时间命令</w:t>
            </w:r>
            <w:r w:rsidRPr="007128DE">
              <w:rPr>
                <w:i/>
              </w:rPr>
              <w:t>(</w:t>
            </w:r>
            <w:proofErr w:type="spellStart"/>
            <w:r w:rsidRPr="007128DE">
              <w:rPr>
                <w:i/>
              </w:rPr>
              <w:t>sh</w:t>
            </w:r>
            <w:proofErr w:type="spellEnd"/>
            <w:r w:rsidRPr="007128DE">
              <w:rPr>
                <w:i/>
              </w:rPr>
              <w:t>类型</w:t>
            </w:r>
            <w:r w:rsidRPr="007128DE">
              <w:rPr>
                <w:i/>
              </w:rPr>
              <w:t>)</w:t>
            </w:r>
            <w:r w:rsidRPr="007128DE">
              <w:rPr>
                <w:i/>
              </w:rPr>
              <w:t>的最大并发调用数</w:t>
            </w:r>
            <w:r w:rsidRPr="007128DE">
              <w:t>:</w:t>
            </w:r>
            <w:r>
              <w:rPr>
                <w:rFonts w:hint="eastAsia"/>
              </w:rPr>
              <w:t xml:space="preserve"> </w:t>
            </w:r>
            <w:r>
              <w:rPr>
                <w:rFonts w:hint="eastAsia"/>
              </w:rPr>
              <w:t>对应后台配置项的</w:t>
            </w:r>
            <w:proofErr w:type="spellStart"/>
            <w:r>
              <w:t>tcc.longTimeCallNum</w:t>
            </w:r>
            <w:proofErr w:type="spellEnd"/>
            <w:r>
              <w:rPr>
                <w:rFonts w:hint="eastAsia"/>
              </w:rPr>
              <w:t>，</w:t>
            </w:r>
            <w:r w:rsidRPr="00833C45">
              <w:t>长执行时间命令</w:t>
            </w:r>
            <w:r w:rsidRPr="00833C45">
              <w:t>(</w:t>
            </w:r>
            <w:proofErr w:type="spellStart"/>
            <w:r w:rsidRPr="00833C45">
              <w:rPr>
                <w:u w:val="single"/>
              </w:rPr>
              <w:t>sh</w:t>
            </w:r>
            <w:proofErr w:type="spellEnd"/>
            <w:r w:rsidRPr="00833C45">
              <w:t>类型</w:t>
            </w:r>
            <w:r w:rsidRPr="00833C45">
              <w:t>)</w:t>
            </w:r>
            <w:r w:rsidRPr="00833C45">
              <w:t>最大的并发调用数</w:t>
            </w:r>
            <w:r>
              <w:rPr>
                <w:rFonts w:hint="eastAsia"/>
              </w:rPr>
              <w:t>，受限于</w:t>
            </w:r>
            <w:proofErr w:type="gramStart"/>
            <w:r>
              <w:rPr>
                <w:rFonts w:hint="eastAsia"/>
              </w:rPr>
              <w:t>壳程序</w:t>
            </w:r>
            <w:proofErr w:type="gramEnd"/>
            <w:r>
              <w:rPr>
                <w:rFonts w:hint="eastAsia"/>
              </w:rPr>
              <w:t>远程登录并执行命令的主机所允许的最大登录用户数（</w:t>
            </w:r>
            <w:proofErr w:type="spellStart"/>
            <w:r w:rsidRPr="00833C45">
              <w:t>tcc.shortTimeCallNum</w:t>
            </w:r>
            <w:proofErr w:type="spellEnd"/>
            <w:r>
              <w:rPr>
                <w:rFonts w:hint="eastAsia"/>
              </w:rPr>
              <w:t>+</w:t>
            </w:r>
            <w:r w:rsidRPr="008163B8">
              <w:t xml:space="preserve"> </w:t>
            </w:r>
            <w:proofErr w:type="spellStart"/>
            <w:r w:rsidRPr="00833C45">
              <w:t>tcc.longTimeCallNum</w:t>
            </w:r>
            <w:proofErr w:type="spellEnd"/>
            <w:r>
              <w:rPr>
                <w:rFonts w:hint="eastAsia"/>
              </w:rPr>
              <w:t>必需不超过</w:t>
            </w:r>
            <w:r w:rsidRPr="002857CE">
              <w:rPr>
                <w:rFonts w:hint="eastAsia"/>
                <w:b/>
                <w:i/>
              </w:rPr>
              <w:t>允许同时远程登陆的最大用户数</w:t>
            </w:r>
            <w:r>
              <w:rPr>
                <w:rFonts w:hint="eastAsia"/>
              </w:rPr>
              <w:t>，修改参见</w:t>
            </w:r>
            <w:r>
              <w:rPr>
                <w:rFonts w:hint="eastAsia"/>
              </w:rPr>
              <w:t>2.5 SUSE</w:t>
            </w:r>
            <w:r>
              <w:rPr>
                <w:rFonts w:hint="eastAsia"/>
              </w:rPr>
              <w:t>远程登陆配置）；</w:t>
            </w:r>
          </w:p>
          <w:p w:rsidR="003A7D81" w:rsidRDefault="003A7D81" w:rsidP="003A7D81">
            <w:pPr>
              <w:ind w:firstLineChars="200" w:firstLine="420"/>
              <w:textAlignment w:val="center"/>
            </w:pPr>
            <w:r w:rsidRPr="00B415CE">
              <w:rPr>
                <w:i/>
              </w:rPr>
              <w:t>Shell</w:t>
            </w:r>
            <w:r w:rsidRPr="00B415CE">
              <w:rPr>
                <w:i/>
              </w:rPr>
              <w:t>命令模板</w:t>
            </w:r>
            <w:r>
              <w:rPr>
                <w:rFonts w:hint="eastAsia"/>
              </w:rPr>
              <w:t>：用于拼接任务步骤的执行命令的</w:t>
            </w:r>
            <w:r>
              <w:rPr>
                <w:rFonts w:hint="eastAsia"/>
              </w:rPr>
              <w:t>shell</w:t>
            </w:r>
            <w:r>
              <w:rPr>
                <w:rFonts w:hint="eastAsia"/>
              </w:rPr>
              <w:t>命名模板。第</w:t>
            </w:r>
            <w:r>
              <w:rPr>
                <w:rFonts w:hint="eastAsia"/>
              </w:rPr>
              <w:t>1</w:t>
            </w:r>
            <w:r>
              <w:rPr>
                <w:rFonts w:hint="eastAsia"/>
              </w:rPr>
              <w:t>个</w:t>
            </w:r>
            <w:r>
              <w:rPr>
                <w:rFonts w:hint="eastAsia"/>
              </w:rPr>
              <w:t>%s</w:t>
            </w:r>
            <w:r>
              <w:rPr>
                <w:rFonts w:hint="eastAsia"/>
              </w:rPr>
              <w:t>用于替换步骤执行命令，第</w:t>
            </w:r>
            <w:r>
              <w:rPr>
                <w:rFonts w:hint="eastAsia"/>
              </w:rPr>
              <w:t>2</w:t>
            </w:r>
            <w:r>
              <w:rPr>
                <w:rFonts w:hint="eastAsia"/>
              </w:rPr>
              <w:t>个</w:t>
            </w:r>
            <w:r>
              <w:rPr>
                <w:rFonts w:hint="eastAsia"/>
              </w:rPr>
              <w:t>%s</w:t>
            </w:r>
            <w:r>
              <w:rPr>
                <w:rFonts w:hint="eastAsia"/>
              </w:rPr>
              <w:t>用于替换批次文件名，第</w:t>
            </w:r>
            <w:r>
              <w:rPr>
                <w:rFonts w:hint="eastAsia"/>
              </w:rPr>
              <w:t>3</w:t>
            </w:r>
            <w:r>
              <w:rPr>
                <w:rFonts w:hint="eastAsia"/>
              </w:rPr>
              <w:t>个</w:t>
            </w:r>
            <w:r>
              <w:rPr>
                <w:rFonts w:hint="eastAsia"/>
              </w:rPr>
              <w:t>%s</w:t>
            </w:r>
            <w:r>
              <w:rPr>
                <w:rFonts w:hint="eastAsia"/>
              </w:rPr>
              <w:t>用于替换起始周期</w:t>
            </w:r>
            <w:r>
              <w:rPr>
                <w:rFonts w:hint="eastAsia"/>
              </w:rPr>
              <w:t>Id</w:t>
            </w:r>
            <w:r>
              <w:rPr>
                <w:rFonts w:hint="eastAsia"/>
              </w:rPr>
              <w:t>，第</w:t>
            </w:r>
            <w:r>
              <w:rPr>
                <w:rFonts w:hint="eastAsia"/>
              </w:rPr>
              <w:t>4</w:t>
            </w:r>
            <w:r>
              <w:rPr>
                <w:rFonts w:hint="eastAsia"/>
              </w:rPr>
              <w:t>个</w:t>
            </w:r>
            <w:r>
              <w:rPr>
                <w:rFonts w:hint="eastAsia"/>
              </w:rPr>
              <w:t>%s</w:t>
            </w:r>
            <w:r>
              <w:rPr>
                <w:rFonts w:hint="eastAsia"/>
              </w:rPr>
              <w:t>用于替换结束周期</w:t>
            </w:r>
            <w:r>
              <w:rPr>
                <w:rFonts w:hint="eastAsia"/>
              </w:rPr>
              <w:t>Id</w:t>
            </w:r>
            <w:r>
              <w:rPr>
                <w:rFonts w:hint="eastAsia"/>
              </w:rPr>
              <w:t>；</w:t>
            </w:r>
          </w:p>
          <w:p w:rsidR="003A7D81" w:rsidRDefault="003A7D81" w:rsidP="003A7D81">
            <w:pPr>
              <w:ind w:firstLineChars="200" w:firstLine="420"/>
              <w:textAlignment w:val="center"/>
            </w:pPr>
            <w:r w:rsidRPr="00B415CE">
              <w:rPr>
                <w:i/>
              </w:rPr>
              <w:t>文件查询命令模板</w:t>
            </w:r>
            <w:r w:rsidRPr="00B415CE">
              <w:rPr>
                <w:rFonts w:hint="eastAsia"/>
              </w:rPr>
              <w:t>：</w:t>
            </w:r>
            <w:r w:rsidRPr="00B415CE">
              <w:rPr>
                <w:rFonts w:hint="eastAsia"/>
              </w:rPr>
              <w:t xml:space="preserve"> </w:t>
            </w:r>
            <w:r w:rsidRPr="00B415CE">
              <w:rPr>
                <w:rFonts w:hint="eastAsia"/>
              </w:rPr>
              <w:t>对于多批次任务，</w:t>
            </w:r>
            <w:r w:rsidRPr="00B415CE">
              <w:rPr>
                <w:rFonts w:hint="eastAsia"/>
              </w:rPr>
              <w:t>TCC</w:t>
            </w:r>
            <w:r w:rsidRPr="00B415CE">
              <w:rPr>
                <w:rFonts w:hint="eastAsia"/>
              </w:rPr>
              <w:t>用该模板构造查询文件的命令。</w:t>
            </w:r>
            <w:r w:rsidRPr="00B415CE">
              <w:rPr>
                <w:rFonts w:hint="eastAsia"/>
              </w:rPr>
              <w:t>%s</w:t>
            </w:r>
            <w:r w:rsidRPr="00B415CE">
              <w:rPr>
                <w:rFonts w:hint="eastAsia"/>
              </w:rPr>
              <w:t>用于替换文件列表</w:t>
            </w:r>
            <w:r>
              <w:rPr>
                <w:rFonts w:hint="eastAsia"/>
              </w:rPr>
              <w:t>；</w:t>
            </w:r>
          </w:p>
          <w:p w:rsidR="003A7D81" w:rsidRPr="008E437D" w:rsidRDefault="003A7D81" w:rsidP="003A7D81">
            <w:pPr>
              <w:ind w:firstLineChars="200" w:firstLine="420"/>
              <w:textAlignment w:val="center"/>
            </w:pPr>
            <w:r w:rsidRPr="00A50354">
              <w:rPr>
                <w:i/>
              </w:rPr>
              <w:t>文件列表是否全路径</w:t>
            </w:r>
            <w:r w:rsidRPr="008E437D">
              <w:rPr>
                <w:rFonts w:hint="eastAsia"/>
              </w:rPr>
              <w:t>：对于多批次任务，</w:t>
            </w:r>
            <w:r w:rsidRPr="008E437D">
              <w:rPr>
                <w:rFonts w:hint="eastAsia"/>
              </w:rPr>
              <w:t>TCC</w:t>
            </w:r>
            <w:r w:rsidRPr="008E437D">
              <w:rPr>
                <w:rFonts w:hint="eastAsia"/>
              </w:rPr>
              <w:t>创建批次时，对应的文件名是否仅记录文件名还是包含全路径的文件名；</w:t>
            </w:r>
          </w:p>
          <w:p w:rsidR="003A7D81" w:rsidRDefault="003A7D81" w:rsidP="003A7D81">
            <w:pPr>
              <w:ind w:firstLineChars="200" w:firstLine="420"/>
              <w:textAlignment w:val="center"/>
            </w:pPr>
            <w:r w:rsidRPr="00EA44F6">
              <w:rPr>
                <w:i/>
              </w:rPr>
              <w:t>job</w:t>
            </w:r>
            <w:r w:rsidRPr="00EA44F6">
              <w:rPr>
                <w:i/>
              </w:rPr>
              <w:t>的</w:t>
            </w:r>
            <w:r w:rsidRPr="00EA44F6">
              <w:rPr>
                <w:i/>
              </w:rPr>
              <w:t>kill</w:t>
            </w:r>
            <w:r w:rsidRPr="00EA44F6">
              <w:rPr>
                <w:i/>
              </w:rPr>
              <w:t>命令模板</w:t>
            </w:r>
            <w:r w:rsidRPr="008E437D">
              <w:rPr>
                <w:rFonts w:hint="eastAsia"/>
              </w:rPr>
              <w:t>：</w:t>
            </w:r>
            <w:r w:rsidRPr="008E437D">
              <w:rPr>
                <w:rFonts w:hint="eastAsia"/>
              </w:rPr>
              <w:t>TCC</w:t>
            </w:r>
            <w:r w:rsidRPr="008E437D">
              <w:rPr>
                <w:rFonts w:hint="eastAsia"/>
              </w:rPr>
              <w:t>执行步骤的执行命令时，可能通过</w:t>
            </w:r>
            <w:r w:rsidRPr="008E437D">
              <w:rPr>
                <w:rFonts w:hint="eastAsia"/>
              </w:rPr>
              <w:t>hive</w:t>
            </w:r>
            <w:r w:rsidRPr="008E437D">
              <w:rPr>
                <w:rFonts w:hint="eastAsia"/>
              </w:rPr>
              <w:t>使用</w:t>
            </w:r>
            <w:proofErr w:type="spellStart"/>
            <w:r w:rsidRPr="008E437D">
              <w:rPr>
                <w:rFonts w:hint="eastAsia"/>
              </w:rPr>
              <w:t>hadoop</w:t>
            </w:r>
            <w:proofErr w:type="spellEnd"/>
            <w:r w:rsidRPr="008E437D">
              <w:rPr>
                <w:rFonts w:hint="eastAsia"/>
              </w:rPr>
              <w:t>，从而产生</w:t>
            </w:r>
            <w:proofErr w:type="spellStart"/>
            <w:r w:rsidRPr="008E437D">
              <w:rPr>
                <w:rFonts w:hint="eastAsia"/>
              </w:rPr>
              <w:t>jodid</w:t>
            </w:r>
            <w:proofErr w:type="spellEnd"/>
            <w:r w:rsidRPr="008E437D">
              <w:rPr>
                <w:rFonts w:hint="eastAsia"/>
              </w:rPr>
              <w:t>，</w:t>
            </w:r>
            <w:r w:rsidRPr="00972E47">
              <w:t>结束</w:t>
            </w:r>
            <w:r w:rsidRPr="00972E47">
              <w:t>job</w:t>
            </w:r>
            <w:r w:rsidRPr="00972E47">
              <w:t>任务的命令模板，</w:t>
            </w:r>
            <w:r w:rsidRPr="00972E47">
              <w:t>%s</w:t>
            </w:r>
            <w:r w:rsidRPr="00972E47">
              <w:t>替换</w:t>
            </w:r>
            <w:proofErr w:type="spellStart"/>
            <w:r w:rsidRPr="002445E2">
              <w:t>jobid</w:t>
            </w:r>
            <w:proofErr w:type="spellEnd"/>
            <w:r>
              <w:rPr>
                <w:rFonts w:hint="eastAsia"/>
              </w:rPr>
              <w:t>。根据</w:t>
            </w:r>
            <w:proofErr w:type="spellStart"/>
            <w:r>
              <w:rPr>
                <w:rFonts w:hint="eastAsia"/>
              </w:rPr>
              <w:t>hadoop</w:t>
            </w:r>
            <w:proofErr w:type="spellEnd"/>
            <w:r>
              <w:rPr>
                <w:rFonts w:hint="eastAsia"/>
              </w:rPr>
              <w:t>安装的路径以及</w:t>
            </w:r>
            <w:r>
              <w:rPr>
                <w:rFonts w:hint="eastAsia"/>
              </w:rPr>
              <w:t>tracker</w:t>
            </w:r>
            <w:r>
              <w:rPr>
                <w:rFonts w:hint="eastAsia"/>
              </w:rPr>
              <w:t>节点的不同进行修改；</w:t>
            </w:r>
          </w:p>
          <w:p w:rsidR="003A7D81" w:rsidRPr="008E437D" w:rsidRDefault="003A7D81" w:rsidP="003A7D81">
            <w:pPr>
              <w:ind w:firstLineChars="200" w:firstLine="420"/>
              <w:textAlignment w:val="center"/>
            </w:pPr>
            <w:r w:rsidRPr="00EA44F6">
              <w:rPr>
                <w:i/>
              </w:rPr>
              <w:t>job</w:t>
            </w:r>
            <w:r w:rsidRPr="00EA44F6">
              <w:rPr>
                <w:i/>
              </w:rPr>
              <w:t>的详细信息展示页面地址</w:t>
            </w:r>
            <w:r w:rsidRPr="008E437D">
              <w:rPr>
                <w:rFonts w:hint="eastAsia"/>
              </w:rPr>
              <w:t>：</w:t>
            </w:r>
            <w:proofErr w:type="spellStart"/>
            <w:r w:rsidRPr="008E437D">
              <w:rPr>
                <w:rFonts w:hint="eastAsia"/>
              </w:rPr>
              <w:t>hadoop</w:t>
            </w:r>
            <w:proofErr w:type="spellEnd"/>
            <w:r w:rsidRPr="008E437D">
              <w:rPr>
                <w:rFonts w:hint="eastAsia"/>
              </w:rPr>
              <w:t>的</w:t>
            </w:r>
            <w:r w:rsidRPr="008E437D">
              <w:rPr>
                <w:rFonts w:hint="eastAsia"/>
              </w:rPr>
              <w:t>job</w:t>
            </w:r>
            <w:r w:rsidRPr="008E437D">
              <w:rPr>
                <w:rFonts w:hint="eastAsia"/>
              </w:rPr>
              <w:t>运行情况展示页面地址，</w:t>
            </w:r>
            <w:r w:rsidRPr="008E437D">
              <w:rPr>
                <w:rFonts w:hint="eastAsia"/>
              </w:rPr>
              <w:t>%s</w:t>
            </w:r>
            <w:r w:rsidRPr="008E437D">
              <w:rPr>
                <w:rFonts w:hint="eastAsia"/>
              </w:rPr>
              <w:t>会被替换成</w:t>
            </w:r>
            <w:proofErr w:type="spellStart"/>
            <w:r w:rsidRPr="008E437D">
              <w:rPr>
                <w:rFonts w:hint="eastAsia"/>
              </w:rPr>
              <w:t>jobid</w:t>
            </w:r>
            <w:proofErr w:type="spellEnd"/>
            <w:r w:rsidRPr="008E437D">
              <w:rPr>
                <w:rFonts w:hint="eastAsia"/>
              </w:rPr>
              <w:t>；在任务周期详情的</w:t>
            </w:r>
            <w:proofErr w:type="gramStart"/>
            <w:r w:rsidRPr="008E437D">
              <w:rPr>
                <w:rFonts w:hint="eastAsia"/>
              </w:rPr>
              <w:t>远程壳</w:t>
            </w:r>
            <w:proofErr w:type="gramEnd"/>
            <w:r w:rsidRPr="008E437D">
              <w:rPr>
                <w:rFonts w:hint="eastAsia"/>
              </w:rPr>
              <w:t>输出日志中会使用到；</w:t>
            </w:r>
          </w:p>
          <w:p w:rsidR="003A7D81" w:rsidRPr="008E437D" w:rsidRDefault="003A7D81" w:rsidP="003A7D81">
            <w:pPr>
              <w:ind w:firstLineChars="200" w:firstLine="420"/>
              <w:textAlignment w:val="center"/>
            </w:pPr>
            <w:r w:rsidRPr="00EA44F6">
              <w:rPr>
                <w:i/>
              </w:rPr>
              <w:t>保留最近</w:t>
            </w:r>
            <w:r w:rsidRPr="00EA44F6">
              <w:rPr>
                <w:i/>
              </w:rPr>
              <w:t>N</w:t>
            </w:r>
            <w:proofErr w:type="gramStart"/>
            <w:r w:rsidRPr="00EA44F6">
              <w:rPr>
                <w:i/>
              </w:rPr>
              <w:t>个</w:t>
            </w:r>
            <w:proofErr w:type="gramEnd"/>
            <w:r w:rsidRPr="00EA44F6">
              <w:rPr>
                <w:i/>
              </w:rPr>
              <w:t>成功运行的任务周期所产生的日志（</w:t>
            </w:r>
            <w:proofErr w:type="gramStart"/>
            <w:r w:rsidRPr="00EA44F6">
              <w:rPr>
                <w:i/>
              </w:rPr>
              <w:t>远程壳</w:t>
            </w:r>
            <w:proofErr w:type="gramEnd"/>
            <w:r w:rsidRPr="00EA44F6">
              <w:rPr>
                <w:i/>
              </w:rPr>
              <w:t>输出日志）</w:t>
            </w:r>
            <w:r w:rsidRPr="008E437D">
              <w:rPr>
                <w:rFonts w:hint="eastAsia"/>
              </w:rPr>
              <w:t>：每个任务周期的</w:t>
            </w:r>
            <w:proofErr w:type="gramStart"/>
            <w:r w:rsidRPr="008E437D">
              <w:rPr>
                <w:rFonts w:hint="eastAsia"/>
              </w:rPr>
              <w:t>远程壳</w:t>
            </w:r>
            <w:proofErr w:type="gramEnd"/>
            <w:r w:rsidRPr="008E437D">
              <w:rPr>
                <w:rFonts w:hint="eastAsia"/>
              </w:rPr>
              <w:t>的输出日志会被选择性的保留，执行异常的任务周期的输出日志始终保留，执行成功的任务周期的只保留最近</w:t>
            </w:r>
            <w:r w:rsidRPr="008E437D">
              <w:rPr>
                <w:rFonts w:hint="eastAsia"/>
              </w:rPr>
              <w:t>N</w:t>
            </w:r>
            <w:proofErr w:type="gramStart"/>
            <w:r w:rsidRPr="008E437D">
              <w:rPr>
                <w:rFonts w:hint="eastAsia"/>
              </w:rPr>
              <w:t>个</w:t>
            </w:r>
            <w:proofErr w:type="gramEnd"/>
            <w:r w:rsidRPr="008E437D">
              <w:rPr>
                <w:rFonts w:hint="eastAsia"/>
              </w:rPr>
              <w:t>的输出日志；</w:t>
            </w:r>
          </w:p>
          <w:p w:rsidR="003A7D81" w:rsidRPr="008E437D" w:rsidRDefault="003A7D81" w:rsidP="003A7D81">
            <w:pPr>
              <w:ind w:firstLineChars="200" w:firstLine="420"/>
              <w:textAlignment w:val="center"/>
            </w:pPr>
            <w:r w:rsidRPr="00EA44F6">
              <w:rPr>
                <w:i/>
              </w:rPr>
              <w:t>是否发送提示邮件</w:t>
            </w:r>
            <w:r w:rsidRPr="008E437D">
              <w:rPr>
                <w:rFonts w:hint="eastAsia"/>
              </w:rPr>
              <w:t>：对告警模块有效，任务启用告警后再特定的条件下会向配置的邮箱发送相应等级的告警邮件；</w:t>
            </w:r>
          </w:p>
          <w:p w:rsidR="003A7D81" w:rsidRPr="008E437D" w:rsidRDefault="003A7D81" w:rsidP="003A7D81">
            <w:pPr>
              <w:ind w:firstLineChars="200" w:firstLine="420"/>
              <w:textAlignment w:val="center"/>
            </w:pPr>
            <w:r w:rsidRPr="00EA44F6">
              <w:rPr>
                <w:i/>
              </w:rPr>
              <w:t>TCC</w:t>
            </w:r>
            <w:r w:rsidRPr="00EA44F6">
              <w:rPr>
                <w:i/>
              </w:rPr>
              <w:t>管理平台地址</w:t>
            </w:r>
            <w:r w:rsidRPr="008E437D">
              <w:rPr>
                <w:rFonts w:hint="eastAsia"/>
              </w:rPr>
              <w:t>：发送告警邮件时，邮件内容中需要记录</w:t>
            </w:r>
            <w:r w:rsidRPr="008E437D">
              <w:rPr>
                <w:rFonts w:hint="eastAsia"/>
              </w:rPr>
              <w:t>TCC</w:t>
            </w:r>
            <w:r w:rsidRPr="008E437D">
              <w:rPr>
                <w:rFonts w:hint="eastAsia"/>
              </w:rPr>
              <w:t>管理平台的访问地址，以方便告警接收人能快速找到告警对象；</w:t>
            </w:r>
          </w:p>
          <w:p w:rsidR="003A7D81" w:rsidRDefault="003A7D81" w:rsidP="003A7D81">
            <w:pPr>
              <w:ind w:firstLineChars="200" w:firstLine="420"/>
              <w:textAlignment w:val="center"/>
            </w:pPr>
            <w:r w:rsidRPr="00EA44F6">
              <w:rPr>
                <w:i/>
              </w:rPr>
              <w:t>发送人显示名称</w:t>
            </w:r>
            <w:r w:rsidRPr="008E437D">
              <w:rPr>
                <w:rFonts w:hint="eastAsia"/>
              </w:rPr>
              <w:t>：告警邮件中的发送人名称；</w:t>
            </w:r>
          </w:p>
          <w:p w:rsidR="003A7D81" w:rsidRPr="008E437D" w:rsidRDefault="003A7D81" w:rsidP="003A7D81">
            <w:pPr>
              <w:ind w:firstLineChars="200" w:firstLine="420"/>
              <w:textAlignment w:val="center"/>
            </w:pPr>
            <w:r>
              <w:rPr>
                <w:rFonts w:hint="eastAsia"/>
              </w:rPr>
              <w:t>是否记录调度时长：开启后将</w:t>
            </w:r>
            <w:proofErr w:type="spellStart"/>
            <w:r>
              <w:rPr>
                <w:rFonts w:hint="eastAsia"/>
              </w:rPr>
              <w:t>tcc</w:t>
            </w:r>
            <w:proofErr w:type="spellEnd"/>
            <w:r>
              <w:rPr>
                <w:rFonts w:hint="eastAsia"/>
              </w:rPr>
              <w:t>调度任务的时长写入日志中；</w:t>
            </w:r>
          </w:p>
          <w:p w:rsidR="003A7D81" w:rsidRPr="008E437D" w:rsidRDefault="003A7D81" w:rsidP="003A7D81">
            <w:pPr>
              <w:ind w:firstLineChars="200" w:firstLine="420"/>
              <w:textAlignment w:val="center"/>
            </w:pPr>
            <w:hyperlink r:id="rId12" w:anchor="url" w:tgtFrame="_blank" w:history="1">
              <w:r w:rsidRPr="00EA44F6">
                <w:rPr>
                  <w:i/>
                </w:rPr>
                <w:t>数据库连接地址</w:t>
              </w:r>
              <w:r w:rsidRPr="00EA44F6">
                <w:rPr>
                  <w:i/>
                </w:rPr>
                <w:t>(</w:t>
              </w:r>
              <w:r w:rsidRPr="00EA44F6">
                <w:rPr>
                  <w:i/>
                </w:rPr>
                <w:t>重启后生效</w:t>
              </w:r>
              <w:r w:rsidRPr="00EA44F6">
                <w:rPr>
                  <w:i/>
                </w:rPr>
                <w:t>)</w:t>
              </w:r>
            </w:hyperlink>
            <w:r w:rsidRPr="008E437D">
              <w:rPr>
                <w:rFonts w:hint="eastAsia"/>
              </w:rPr>
              <w:t>：</w:t>
            </w:r>
            <w:r w:rsidRPr="008E437D">
              <w:rPr>
                <w:rFonts w:hint="eastAsia"/>
              </w:rPr>
              <w:t>TCC</w:t>
            </w:r>
            <w:r w:rsidRPr="008E437D">
              <w:rPr>
                <w:rFonts w:hint="eastAsia"/>
              </w:rPr>
              <w:t>使用的数据库地址；</w:t>
            </w:r>
          </w:p>
          <w:p w:rsidR="003A7D81" w:rsidRPr="008E437D" w:rsidRDefault="003A7D81" w:rsidP="003A7D81">
            <w:pPr>
              <w:ind w:firstLineChars="200" w:firstLine="420"/>
              <w:textAlignment w:val="center"/>
            </w:pPr>
            <w:r w:rsidRPr="00EA44F6">
              <w:rPr>
                <w:i/>
              </w:rPr>
              <w:t>用户名</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使用的数据库的用户名；</w:t>
            </w:r>
          </w:p>
          <w:p w:rsidR="003A7D81" w:rsidRDefault="003A7D81" w:rsidP="003A7D81">
            <w:pPr>
              <w:ind w:firstLineChars="200" w:firstLine="420"/>
              <w:textAlignment w:val="center"/>
            </w:pPr>
            <w:r w:rsidRPr="00EA44F6">
              <w:rPr>
                <w:i/>
              </w:rPr>
              <w:t>密码</w:t>
            </w:r>
            <w:r w:rsidRPr="00EA44F6">
              <w:rPr>
                <w:i/>
              </w:rPr>
              <w:t>(</w:t>
            </w:r>
            <w:r w:rsidRPr="00EA44F6">
              <w:rPr>
                <w:i/>
              </w:rPr>
              <w:t>需要加密</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使用的数据库的</w:t>
            </w:r>
            <w:r w:rsidRPr="002445E2">
              <w:rPr>
                <w:rFonts w:hint="eastAsia"/>
              </w:rPr>
              <w:t>密码，需经过</w:t>
            </w:r>
            <w:r w:rsidRPr="002445E2">
              <w:t>AES128</w:t>
            </w:r>
            <w:r w:rsidRPr="002445E2">
              <w:rPr>
                <w:rFonts w:hint="eastAsia"/>
              </w:rPr>
              <w:t>加密处理</w:t>
            </w:r>
            <w:r>
              <w:rPr>
                <w:rFonts w:hint="eastAsia"/>
              </w:rPr>
              <w:t>；</w:t>
            </w:r>
          </w:p>
          <w:p w:rsidR="003A7D81" w:rsidRPr="008E437D" w:rsidRDefault="003A7D81" w:rsidP="003A7D81">
            <w:pPr>
              <w:ind w:firstLineChars="200" w:firstLine="420"/>
              <w:textAlignment w:val="center"/>
            </w:pPr>
            <w:hyperlink r:id="rId13" w:anchor="logLevel" w:tgtFrame="_blank" w:history="1">
              <w:r w:rsidRPr="00EA44F6">
                <w:rPr>
                  <w:rFonts w:hint="eastAsia"/>
                  <w:i/>
                </w:rPr>
                <w:t>TCC</w:t>
              </w:r>
              <w:r w:rsidRPr="00EA44F6">
                <w:rPr>
                  <w:i/>
                </w:rPr>
                <w:t>日志级别</w:t>
              </w:r>
              <w:r w:rsidRPr="00EA44F6">
                <w:rPr>
                  <w:i/>
                </w:rPr>
                <w:t>(</w:t>
              </w:r>
              <w:r w:rsidRPr="00EA44F6">
                <w:rPr>
                  <w:i/>
                </w:rPr>
                <w:t>重启后生效</w:t>
              </w:r>
              <w:r w:rsidRPr="00EA44F6">
                <w:rPr>
                  <w:i/>
                </w:rPr>
                <w:t>)</w:t>
              </w:r>
            </w:hyperlink>
            <w:r w:rsidRPr="008E437D">
              <w:rPr>
                <w:rFonts w:hint="eastAsia"/>
              </w:rPr>
              <w:t>：</w:t>
            </w:r>
            <w:r w:rsidRPr="008E437D">
              <w:rPr>
                <w:rFonts w:hint="eastAsia"/>
              </w:rPr>
              <w:t>TCC</w:t>
            </w:r>
            <w:r w:rsidRPr="008E437D">
              <w:rPr>
                <w:rFonts w:hint="eastAsia"/>
              </w:rPr>
              <w:t>自身记录的日志中仅仅属于该级别以上（包含自身）的日志会被记录到日志文件中；</w:t>
            </w:r>
          </w:p>
          <w:p w:rsidR="003A7D81" w:rsidRPr="008E437D" w:rsidRDefault="003A7D81" w:rsidP="003A7D81">
            <w:pPr>
              <w:ind w:firstLineChars="200" w:firstLine="420"/>
              <w:textAlignment w:val="center"/>
            </w:pPr>
            <w:r w:rsidRPr="00EA44F6">
              <w:rPr>
                <w:i/>
              </w:rPr>
              <w:t>记录到</w:t>
            </w:r>
            <w:r w:rsidRPr="00EA44F6">
              <w:rPr>
                <w:i/>
              </w:rPr>
              <w:t>db</w:t>
            </w:r>
            <w:r w:rsidRPr="00EA44F6">
              <w:rPr>
                <w:i/>
              </w:rPr>
              <w:t>的</w:t>
            </w:r>
            <w:proofErr w:type="spellStart"/>
            <w:r w:rsidRPr="00EA44F6">
              <w:rPr>
                <w:i/>
              </w:rPr>
              <w:t>tcc</w:t>
            </w:r>
            <w:proofErr w:type="spellEnd"/>
            <w:r w:rsidRPr="00EA44F6">
              <w:rPr>
                <w:i/>
              </w:rPr>
              <w:t>日志级别</w:t>
            </w:r>
            <w:r w:rsidRPr="00EA44F6">
              <w:rPr>
                <w:i/>
              </w:rPr>
              <w:t>(</w:t>
            </w:r>
            <w:r w:rsidRPr="00EA44F6">
              <w:rPr>
                <w:i/>
              </w:rPr>
              <w:t>重启后生效</w:t>
            </w:r>
            <w:r w:rsidRPr="00EA44F6">
              <w:rPr>
                <w:i/>
              </w:rPr>
              <w:t>)</w:t>
            </w:r>
            <w:r w:rsidRPr="008E437D">
              <w:rPr>
                <w:rFonts w:hint="eastAsia"/>
              </w:rPr>
              <w:t>：</w:t>
            </w:r>
            <w:r w:rsidRPr="008E437D">
              <w:rPr>
                <w:rFonts w:hint="eastAsia"/>
              </w:rPr>
              <w:t>TCC</w:t>
            </w:r>
            <w:r w:rsidRPr="008E437D">
              <w:rPr>
                <w:rFonts w:hint="eastAsia"/>
              </w:rPr>
              <w:t>自身记录的日志中仅仅属于该级别以上（包含自身）的日志会被记录到数据库中；</w:t>
            </w:r>
          </w:p>
          <w:p w:rsidR="003A7D81" w:rsidRPr="008E437D" w:rsidRDefault="003A7D81" w:rsidP="003A7D81">
            <w:pPr>
              <w:ind w:firstLineChars="200" w:firstLine="420"/>
              <w:textAlignment w:val="center"/>
            </w:pPr>
            <w:proofErr w:type="spellStart"/>
            <w:r w:rsidRPr="00EA44F6">
              <w:rPr>
                <w:i/>
              </w:rPr>
              <w:t>remoteshell</w:t>
            </w:r>
            <w:proofErr w:type="spellEnd"/>
            <w:r w:rsidRPr="00EA44F6">
              <w:rPr>
                <w:i/>
              </w:rPr>
              <w:t>日志级别</w:t>
            </w:r>
            <w:r w:rsidRPr="00EA44F6">
              <w:rPr>
                <w:i/>
              </w:rPr>
              <w:t>(</w:t>
            </w:r>
            <w:r w:rsidRPr="00EA44F6">
              <w:rPr>
                <w:i/>
              </w:rPr>
              <w:t>重启后生效</w:t>
            </w:r>
            <w:r w:rsidRPr="00EA44F6">
              <w:rPr>
                <w:i/>
              </w:rPr>
              <w:t>)</w:t>
            </w:r>
            <w:r w:rsidRPr="008E437D">
              <w:rPr>
                <w:rFonts w:hint="eastAsia"/>
              </w:rPr>
              <w:t>：</w:t>
            </w:r>
            <w:proofErr w:type="gramStart"/>
            <w:r w:rsidRPr="008E437D">
              <w:rPr>
                <w:rFonts w:hint="eastAsia"/>
              </w:rPr>
              <w:t>远程壳记录</w:t>
            </w:r>
            <w:proofErr w:type="gramEnd"/>
            <w:r w:rsidRPr="008E437D">
              <w:rPr>
                <w:rFonts w:hint="eastAsia"/>
              </w:rPr>
              <w:t>的日志中仅仅属于该级别以上（包含自身）的日志会被记录到日志文件中；</w:t>
            </w:r>
          </w:p>
          <w:p w:rsidR="003A7D81" w:rsidRPr="008E437D" w:rsidRDefault="003A7D81" w:rsidP="003A7D81">
            <w:pPr>
              <w:ind w:firstLineChars="200" w:firstLine="420"/>
              <w:textAlignment w:val="center"/>
            </w:pPr>
            <w:r w:rsidRPr="00EA44F6">
              <w:rPr>
                <w:i/>
              </w:rPr>
              <w:t>记录到</w:t>
            </w:r>
            <w:r w:rsidRPr="00EA44F6">
              <w:rPr>
                <w:i/>
              </w:rPr>
              <w:t>db</w:t>
            </w:r>
            <w:r w:rsidRPr="00EA44F6">
              <w:rPr>
                <w:i/>
              </w:rPr>
              <w:t>的</w:t>
            </w:r>
            <w:proofErr w:type="spellStart"/>
            <w:r w:rsidRPr="00EA44F6">
              <w:rPr>
                <w:i/>
              </w:rPr>
              <w:t>remoteshell</w:t>
            </w:r>
            <w:proofErr w:type="spellEnd"/>
            <w:r w:rsidRPr="00EA44F6">
              <w:rPr>
                <w:i/>
              </w:rPr>
              <w:t>日志级别</w:t>
            </w:r>
            <w:r w:rsidRPr="00EA44F6">
              <w:rPr>
                <w:i/>
              </w:rPr>
              <w:t>(</w:t>
            </w:r>
            <w:r w:rsidRPr="00EA44F6">
              <w:rPr>
                <w:i/>
              </w:rPr>
              <w:t>重启后生效</w:t>
            </w:r>
            <w:r w:rsidRPr="00EA44F6">
              <w:rPr>
                <w:i/>
              </w:rPr>
              <w:t>)</w:t>
            </w:r>
            <w:r w:rsidRPr="008E437D">
              <w:rPr>
                <w:rFonts w:hint="eastAsia"/>
              </w:rPr>
              <w:t>：</w:t>
            </w:r>
            <w:proofErr w:type="gramStart"/>
            <w:r w:rsidRPr="008E437D">
              <w:rPr>
                <w:rFonts w:hint="eastAsia"/>
              </w:rPr>
              <w:t>远程壳记录</w:t>
            </w:r>
            <w:proofErr w:type="gramEnd"/>
            <w:r w:rsidRPr="008E437D">
              <w:rPr>
                <w:rFonts w:hint="eastAsia"/>
              </w:rPr>
              <w:t>的日志中仅仅属于该级别以上（包含自身）的日志会被记录到数据库中；</w:t>
            </w:r>
          </w:p>
          <w:p w:rsidR="003A7D81" w:rsidRDefault="003A7D81" w:rsidP="003A7D81">
            <w:pPr>
              <w:ind w:firstLineChars="200" w:firstLine="420"/>
              <w:textAlignment w:val="center"/>
            </w:pPr>
            <w:r w:rsidRPr="00C97C8F">
              <w:rPr>
                <w:i/>
              </w:rPr>
              <w:t>控制台输出级别</w:t>
            </w:r>
            <w:r w:rsidRPr="00C97C8F">
              <w:rPr>
                <w:i/>
              </w:rPr>
              <w:t>(</w:t>
            </w:r>
            <w:r w:rsidRPr="00C97C8F">
              <w:rPr>
                <w:i/>
              </w:rPr>
              <w:t>重启后生效</w:t>
            </w:r>
            <w:r w:rsidRPr="00C97C8F">
              <w:rPr>
                <w:i/>
              </w:rPr>
              <w:t>)</w:t>
            </w:r>
            <w:r w:rsidRPr="008E437D">
              <w:rPr>
                <w:rFonts w:hint="eastAsia"/>
              </w:rPr>
              <w:t>：记</w:t>
            </w:r>
            <w:r>
              <w:rPr>
                <w:rFonts w:hint="eastAsia"/>
              </w:rPr>
              <w:t>录的日志中仅仅属于该级别以上（包含自身）的日志会被输出到控制台。</w:t>
            </w:r>
          </w:p>
          <w:p w:rsidR="00545DBF" w:rsidRPr="003A7D81"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A7D81"/>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B35FB"/>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3A7D81"/>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3A7D81"/>
    <w:pPr>
      <w:numPr>
        <w:ilvl w:val="7"/>
        <w:numId w:val="2"/>
      </w:numPr>
      <w:spacing w:afterLines="100"/>
      <w:ind w:left="1089" w:hanging="369"/>
      <w:jc w:val="center"/>
    </w:pPr>
    <w:rPr>
      <w:rFonts w:ascii="Arial" w:eastAsia="宋体" w:hAnsi="Arial" w:cs="Times New Roman"/>
      <w:kern w:val="0"/>
      <w:sz w:val="18"/>
      <w:szCs w:val="18"/>
    </w:rPr>
  </w:style>
  <w:style w:type="paragraph" w:styleId="TOC">
    <w:name w:val="TOC Heading"/>
    <w:basedOn w:val="1"/>
    <w:next w:val="a1"/>
    <w:uiPriority w:val="39"/>
    <w:semiHidden/>
    <w:unhideWhenUsed/>
    <w:qFormat/>
    <w:rsid w:val="003A7D81"/>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3A7D81"/>
    <w:pPr>
      <w:ind w:leftChars="200" w:left="420"/>
    </w:pPr>
  </w:style>
  <w:style w:type="paragraph" w:styleId="10">
    <w:name w:val="toc 1"/>
    <w:basedOn w:val="a1"/>
    <w:next w:val="a1"/>
    <w:autoRedefine/>
    <w:uiPriority w:val="39"/>
    <w:unhideWhenUsed/>
    <w:rsid w:val="003A7D81"/>
  </w:style>
  <w:style w:type="character" w:styleId="a9">
    <w:name w:val="Hyperlink"/>
    <w:basedOn w:val="a2"/>
    <w:uiPriority w:val="99"/>
    <w:unhideWhenUsed/>
    <w:rsid w:val="003A7D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TaskControlCenter/Help.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TaskControlCenter/Help.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TaskControlCenter/Help.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B7548-3412-45BB-AE4C-66125883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2019</Characters>
  <Application>Microsoft Office Word</Application>
  <DocSecurity>0</DocSecurity>
  <Lines>16</Lines>
  <Paragraphs>4</Paragraphs>
  <ScaleCrop>false</ScaleCrop>
  <Company>Huawei Technologies Co.,Ltd.</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2012-07-28T10:15:00Z</dcterms:created>
  <dcterms:modified xsi:type="dcterms:W3CDTF">2012-07-28T10:15:00Z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