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30093F" w:rsidP="00857209">
      <w:pPr>
        <w:pStyle w:val="af6"/>
        <w:tabs>
          <w:tab w:val="center" w:pos="4153"/>
          <w:tab w:val="left" w:pos="6735"/>
        </w:tabs>
        <w:jc w:val="left"/>
      </w:pPr>
      <w:r>
        <w:tab/>
        <w:t>2017-</w:t>
      </w:r>
      <w:r w:rsidR="00692F90">
        <w:t>7</w:t>
      </w:r>
      <w:r>
        <w:t>-</w:t>
      </w:r>
      <w:r w:rsidR="00692F90">
        <w:t>3</w:t>
      </w:r>
      <w:r w:rsidR="00415E3D">
        <w:t xml:space="preserve">   </w:t>
      </w:r>
      <w:proofErr w:type="spellStart"/>
      <w:r w:rsidR="00415E3D">
        <w:rPr>
          <w:rFonts w:hint="eastAsia"/>
        </w:rPr>
        <w:t>eDataBI</w:t>
      </w:r>
      <w:proofErr w:type="spellEnd"/>
      <w:r w:rsidR="00415E3D">
        <w:rPr>
          <w:rFonts w:hint="eastAsia"/>
        </w:rPr>
        <w:t>项目组例会</w:t>
      </w:r>
      <w:r w:rsidR="00415E3D">
        <w:rPr>
          <w:rFonts w:hint="eastAsia"/>
        </w:rPr>
        <w:t xml:space="preserve"> </w:t>
      </w:r>
      <w:r w:rsidR="00415E3D">
        <w:rPr>
          <w:rFonts w:hint="eastAsia"/>
        </w:rPr>
        <w:t>会议</w:t>
      </w:r>
      <w:r w:rsidR="00415E3D">
        <w:t>纪要</w:t>
      </w:r>
    </w:p>
    <w:p w:rsidR="00415E3D" w:rsidRDefault="00415E3D" w:rsidP="00857209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415E3D" w:rsidTr="00DA6902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692F90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3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周一)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9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:30-12:00</w:t>
            </w:r>
          </w:p>
        </w:tc>
      </w:tr>
      <w:tr w:rsidR="00415E3D" w:rsidTr="00DA6902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692F90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</w:tc>
      </w:tr>
      <w:tr w:rsidR="00415E3D" w:rsidTr="00DA6902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C45DD5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30093F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</w:t>
            </w:r>
          </w:p>
        </w:tc>
      </w:tr>
    </w:tbl>
    <w:p w:rsidR="00415E3D" w:rsidRPr="0030093F" w:rsidRDefault="00415E3D" w:rsidP="00857209"/>
    <w:p w:rsidR="0030093F" w:rsidRDefault="007A66F6" w:rsidP="0030093F">
      <w:pPr>
        <w:pStyle w:val="1"/>
        <w:spacing w:line="360" w:lineRule="auto"/>
      </w:pPr>
      <w:r>
        <w:rPr>
          <w:rFonts w:hint="eastAsia"/>
        </w:rPr>
        <w:t>上周</w:t>
      </w:r>
      <w:r>
        <w:t>工作</w:t>
      </w:r>
      <w:r>
        <w:rPr>
          <w:rFonts w:hint="eastAsia"/>
        </w:rPr>
        <w:t>回顾</w:t>
      </w:r>
      <w:r w:rsidR="00D03528">
        <w:rPr>
          <w:rFonts w:hint="eastAsia"/>
        </w:rPr>
        <w:t>及本周</w:t>
      </w:r>
      <w:r w:rsidR="00D03528">
        <w:t>计划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6"/>
        <w:gridCol w:w="3505"/>
        <w:gridCol w:w="1982"/>
        <w:gridCol w:w="1983"/>
      </w:tblGrid>
      <w:tr w:rsidR="005F4C1F" w:rsidRPr="00E264F5" w:rsidTr="005F4C1F">
        <w:trPr>
          <w:trHeight w:val="390"/>
        </w:trPr>
        <w:tc>
          <w:tcPr>
            <w:tcW w:w="47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责任人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上周回顾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本周计划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会议结论和建议</w:t>
            </w:r>
          </w:p>
        </w:tc>
      </w:tr>
      <w:tr w:rsidR="005F4C1F" w:rsidRPr="00E264F5" w:rsidTr="005F4C1F">
        <w:trPr>
          <w:trHeight w:val="1455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瞿成兵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1.</w:t>
            </w: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现网维护，版本问题已收敛</w:t>
            </w: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2.易数版本进展：当前正在做的2个需求（中东</w:t>
            </w:r>
            <w:proofErr w:type="spellStart"/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mobilink</w:t>
            </w:r>
            <w:proofErr w:type="spellEnd"/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提出）已经优化方案</w:t>
            </w: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3.熟悉视频融合版本（多渠道）整体需求与方案、完成融合报表对大数据报表的需求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跟一线沟通CBG对 CDN替换方案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,典型的问题(例如Hive和</w:t>
            </w:r>
            <w:proofErr w:type="spellStart"/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HBase</w:t>
            </w:r>
            <w:proofErr w:type="spellEnd"/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的性能问题)需要整理成文档,在项目组中组织培训,要求开发人员了解和掌握,在开发阶段规避问题</w:t>
            </w:r>
          </w:p>
        </w:tc>
      </w:tr>
      <w:tr w:rsidR="005F4C1F" w:rsidRPr="00E264F5" w:rsidTr="005F4C1F">
        <w:trPr>
          <w:trHeight w:val="480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韩正晶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处理</w:t>
            </w:r>
            <w:proofErr w:type="spellStart"/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tensorflow</w:t>
            </w:r>
            <w:proofErr w:type="spellEnd"/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安装和整理</w:t>
            </w:r>
            <w:proofErr w:type="spellStart"/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dbi</w:t>
            </w:r>
            <w:proofErr w:type="spellEnd"/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流程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1.网速加速问题</w:t>
            </w: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2.第三方安装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韩正晶在平台的工作计划是:首先对口支撑易数的工作;然后考虑其他可以承接的工作;这一点如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果有疑问,苏强和政勇沟通.</w:t>
            </w:r>
          </w:p>
        </w:tc>
      </w:tr>
      <w:tr w:rsidR="005F4C1F" w:rsidRPr="00E264F5" w:rsidTr="005F4C1F">
        <w:trPr>
          <w:trHeight w:val="1440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邱涛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1.本周系统运行很不平衡，主要是性能影响较大。用于数据日结算，会员推广任务的流程经常性的结算不出来。</w:t>
            </w: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2.针对自主品牌经营分析，主要是增加支付渠道维度的统计，修改现有结算文件接口，新增加及修改各一张报表。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1. 验收6月底版本</w:t>
            </w: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2. 工作量评估标准评审</w:t>
            </w: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3. 进行7月份下半月需求分析</w:t>
            </w: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4. 跟踪梳理性能优化策略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sz w:val="20"/>
                <w:szCs w:val="20"/>
              </w:rPr>
            </w:pPr>
          </w:p>
        </w:tc>
      </w:tr>
      <w:tr w:rsidR="005F4C1F" w:rsidRPr="00E264F5" w:rsidTr="005F4C1F">
        <w:trPr>
          <w:trHeight w:val="960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曹洁生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201706H2版本由于团队内技能不足，需求评估不充分，开发前未能识别出场景复杂度和性能风险，导致截止7月2日仍未能转验收，周六加班闭环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启动201707H1版本开发，但上个版本时间紧张，仍未充分分析，可能实现、测试过程中暴露出的问题。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例行组织AAR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识别和解决问题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</w:p>
          <w:p w:rsidR="005F4C1F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经验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运作规则要固化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形成文档要求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结合AAR持续提升团队能力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</w:p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3</w:t>
            </w:r>
            <w:proofErr w:type="gramStart"/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对于开发的技能短板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首先要求中软内部求助解决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不能总是让华为团队托底</w:t>
            </w:r>
            <w:proofErr w:type="gramEnd"/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.</w:t>
            </w:r>
          </w:p>
        </w:tc>
      </w:tr>
    </w:tbl>
    <w:p w:rsidR="00692F90" w:rsidRPr="00E264F5" w:rsidRDefault="00692F90" w:rsidP="00877A14"/>
    <w:p w:rsidR="0030093F" w:rsidRDefault="0030093F" w:rsidP="00857209">
      <w:pPr>
        <w:rPr>
          <w:rFonts w:ascii="微软雅黑" w:eastAsia="微软雅黑" w:hAnsi="微软雅黑"/>
        </w:rPr>
      </w:pPr>
    </w:p>
    <w:p w:rsidR="001C094D" w:rsidRDefault="001C094D" w:rsidP="001C094D">
      <w:pPr>
        <w:pStyle w:val="1"/>
      </w:pPr>
      <w:r>
        <w:rPr>
          <w:rFonts w:hint="eastAsia"/>
        </w:rPr>
        <w:t>RAT</w:t>
      </w:r>
      <w:r>
        <w:t>结论</w:t>
      </w:r>
    </w:p>
    <w:p w:rsidR="00D63A87" w:rsidRPr="00D63A87" w:rsidRDefault="00D63A87" w:rsidP="00857209">
      <w:pPr>
        <w:rPr>
          <w:rFonts w:ascii="微软雅黑" w:eastAsia="微软雅黑" w:hAnsi="微软雅黑"/>
          <w:sz w:val="24"/>
          <w:szCs w:val="24"/>
        </w:rPr>
      </w:pPr>
      <w:r w:rsidRPr="00D63A87">
        <w:rPr>
          <w:rFonts w:ascii="微软雅黑" w:eastAsia="微软雅黑" w:hAnsi="微软雅黑" w:hint="eastAsia"/>
          <w:sz w:val="24"/>
          <w:szCs w:val="24"/>
        </w:rPr>
        <w:t>本次次RAT接纳</w:t>
      </w:r>
      <w:r w:rsidRPr="00D63A87">
        <w:rPr>
          <w:rFonts w:ascii="微软雅黑" w:eastAsia="微软雅黑" w:hAnsi="微软雅黑"/>
          <w:sz w:val="24"/>
          <w:szCs w:val="24"/>
        </w:rPr>
        <w:t>8</w:t>
      </w:r>
      <w:r w:rsidRPr="00D63A87">
        <w:rPr>
          <w:rFonts w:ascii="微软雅黑" w:eastAsia="微软雅黑" w:hAnsi="微软雅黑" w:hint="eastAsia"/>
          <w:sz w:val="24"/>
          <w:szCs w:val="24"/>
        </w:rPr>
        <w:t>条；，</w:t>
      </w:r>
      <w:r w:rsidRPr="00D63A87">
        <w:rPr>
          <w:rFonts w:ascii="微软雅黑" w:eastAsia="微软雅黑" w:hAnsi="微软雅黑"/>
          <w:sz w:val="24"/>
          <w:szCs w:val="24"/>
        </w:rPr>
        <w:t>103</w:t>
      </w:r>
      <w:r w:rsidRPr="00D63A87">
        <w:rPr>
          <w:rFonts w:ascii="微软雅黑" w:eastAsia="微软雅黑" w:hAnsi="微软雅黑" w:hint="eastAsia"/>
          <w:sz w:val="24"/>
          <w:szCs w:val="24"/>
        </w:rPr>
        <w:t>人天的工作量，均为游戏，其中35人天</w:t>
      </w:r>
      <w:r w:rsidRPr="00D63A87">
        <w:rPr>
          <w:rFonts w:ascii="微软雅黑" w:eastAsia="微软雅黑" w:hAnsi="微软雅黑"/>
          <w:sz w:val="24"/>
          <w:szCs w:val="24"/>
        </w:rPr>
        <w:t>为内部优化；</w:t>
      </w:r>
      <w:r w:rsidRPr="00D63A87">
        <w:rPr>
          <w:rFonts w:ascii="微软雅黑" w:eastAsia="微软雅黑" w:hAnsi="微软雅黑" w:hint="eastAsia"/>
          <w:sz w:val="24"/>
          <w:szCs w:val="24"/>
        </w:rPr>
        <w:t>68人天</w:t>
      </w:r>
      <w:r w:rsidRPr="00D63A87">
        <w:rPr>
          <w:rFonts w:ascii="微软雅黑" w:eastAsia="微软雅黑" w:hAnsi="微软雅黑"/>
          <w:sz w:val="24"/>
          <w:szCs w:val="24"/>
        </w:rPr>
        <w:t>为业务需求；</w:t>
      </w:r>
    </w:p>
    <w:p w:rsidR="00D63A87" w:rsidRDefault="00D63A87" w:rsidP="008572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如下：</w:t>
      </w:r>
    </w:p>
    <w:tbl>
      <w:tblPr>
        <w:tblW w:w="8770" w:type="dxa"/>
        <w:tblInd w:w="-5" w:type="dxa"/>
        <w:tblLook w:val="04A0" w:firstRow="1" w:lastRow="0" w:firstColumn="1" w:lastColumn="0" w:noHBand="0" w:noVBand="1"/>
      </w:tblPr>
      <w:tblGrid>
        <w:gridCol w:w="1273"/>
        <w:gridCol w:w="2646"/>
        <w:gridCol w:w="1206"/>
        <w:gridCol w:w="728"/>
        <w:gridCol w:w="728"/>
        <w:gridCol w:w="1106"/>
        <w:gridCol w:w="984"/>
        <w:gridCol w:w="631"/>
        <w:gridCol w:w="726"/>
      </w:tblGrid>
      <w:tr w:rsidR="00D63A87" w:rsidRPr="00D63A87" w:rsidTr="00D63A87">
        <w:trPr>
          <w:trHeight w:val="218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需求标题</w:t>
            </w:r>
            <w:r w:rsidRPr="00D63A87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需求描述</w:t>
            </w:r>
            <w:r w:rsidRPr="00D63A87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需求提交人</w:t>
            </w:r>
            <w:r w:rsidRPr="00D63A87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需求提交时间</w:t>
            </w:r>
            <w:r w:rsidRPr="00D63A87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希望</w:t>
            </w:r>
            <w:proofErr w:type="gramStart"/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该需求</w:t>
            </w:r>
            <w:proofErr w:type="gramEnd"/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交付日期</w:t>
            </w:r>
            <w:r w:rsidRPr="00D63A87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需求处理人</w:t>
            </w: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按模板格式填写</w:t>
            </w: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</w:t>
            </w:r>
            <w:r w:rsidRPr="00D63A87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需求类型</w:t>
            </w:r>
            <w:r w:rsidRPr="00D63A87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D63A87">
              <w:rPr>
                <w:rFonts w:ascii="Arial" w:hAnsi="Arial" w:cs="Arial"/>
                <w:b/>
                <w:bCs/>
                <w:noProof/>
                <w:snapToGrid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104775</wp:posOffset>
                  </wp:positionV>
                  <wp:extent cx="0" cy="190500"/>
                  <wp:effectExtent l="0" t="0" r="0" b="0"/>
                  <wp:wrapNone/>
                  <wp:docPr id="2" name="图片 2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4337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tton 1">
                            <a:extLst>
                              <a:ext uri="{63B3BB69-23CF-44E3-9099-C40C66FF867C}">
                                <a14:compatExt xmlns:a14="http://schemas.microsoft.com/office/drawing/2010/main" spid="_x0000_s14337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3A87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工作量</w:t>
            </w: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D63A87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人天</w:t>
            </w: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</w:t>
            </w:r>
            <w:r w:rsidRPr="00D63A87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D63A87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RAT</w:t>
            </w:r>
            <w:r w:rsidRPr="00D63A87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结论</w:t>
            </w:r>
          </w:p>
        </w:tc>
      </w:tr>
      <w:tr w:rsidR="00D63A87" w:rsidRPr="00D63A87" w:rsidTr="00D63A87">
        <w:trPr>
          <w:trHeight w:val="76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lastRenderedPageBreak/>
              <w:t>游戏报表改版页面的国际化特性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proofErr w:type="spell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edc</w:t>
            </w:r>
            <w:proofErr w:type="spell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改版需求中，高保真不支持国际化，需在框架上补齐国际化能力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曹洁生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00265108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2017-06-29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2017-07-30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曹洁生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00265108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内部优化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D63A87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D63A87" w:rsidRPr="00D63A87" w:rsidTr="00D63A87">
        <w:trPr>
          <w:trHeight w:val="76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报表自动化测试预研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自动化测试环境搭建，包含话单生成，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BDI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流程，一个自动化测试用例验证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曹洁生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00265108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2017-06-29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2017-07-30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曹洁生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00265108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内部优化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15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D63A87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D63A87" w:rsidRPr="00D63A87" w:rsidTr="00D63A87">
        <w:trPr>
          <w:trHeight w:val="76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proofErr w:type="spell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构建</w:t>
            </w:r>
            <w:proofErr w:type="spell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DevOps</w:t>
            </w:r>
            <w:proofErr w:type="spell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环境及工程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曹洁生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00265108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2017-06-29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2017-07-30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曹洁生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00265108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内部优化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D63A87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D63A87" w:rsidRPr="00D63A87" w:rsidTr="00D63A87">
        <w:trPr>
          <w:trHeight w:val="477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结算文件接口中填充支付渠道信息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随着区域项目的上线，分成数据要求依据计费渠道进行拆分，原结算数据中虽然填写了计费渠道信息，但是此信息填写为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All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，不具备分成能力，要求填充实际值。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br/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同时，对于会员有效</w:t>
            </w:r>
            <w:proofErr w:type="gram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下载数</w:t>
            </w:r>
            <w:proofErr w:type="gram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的统计，要求使用订购时的计费渠道，而不是当时计费渠道。因此在下载，鉴权，支付话单中增加</w:t>
            </w:r>
            <w:proofErr w:type="spell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vipchargechannelID</w:t>
            </w:r>
            <w:proofErr w:type="spell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字段，有效下载数分计费渠道的统计规则发生变化。金额还是依据原</w:t>
            </w:r>
            <w:proofErr w:type="spell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chargeChannelID</w:t>
            </w:r>
            <w:proofErr w:type="spell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进行分组。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proofErr w:type="gram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程卫民</w:t>
            </w:r>
            <w:proofErr w:type="gram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00160921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2017-06-27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2017-07-30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邱涛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00255622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功能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D63A87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D63A87" w:rsidRPr="00D63A87" w:rsidTr="00D63A87">
        <w:trPr>
          <w:trHeight w:val="377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proofErr w:type="spell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lastRenderedPageBreak/>
              <w:t>Edata_new</w:t>
            </w:r>
            <w:proofErr w:type="spell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/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易数日表统计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V2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处理优化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由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6.23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日起，易数日表统计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V2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变得异常缓慢，多个指标无法正常输出。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br/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分析原因，因为开启了外表关联加载到内存，而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HBASE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表较大，加载内存速度非常慢。三个最大数据量不超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1000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条的关联，在系统中结算完成需要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30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多分钟。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br/>
              <w:t>FI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建议修改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HADOOP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参数</w:t>
            </w:r>
            <w:proofErr w:type="spell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hive.auto.convert.join</w:t>
            </w:r>
            <w:proofErr w:type="spell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=false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禁止在关联时加载外部表。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邱涛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00255622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2017-06-27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2017-07-30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邱涛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00255622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内部优化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D63A87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D63A87" w:rsidRPr="00D63A87" w:rsidTr="00D63A87">
        <w:trPr>
          <w:trHeight w:val="277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自有品牌运营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-EDP-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新增区域运营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收入流水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因为新增品牌运营涉及一个项目对应多个国家或地区，收入流水要求分计费渠道呈现，同时在收入合计方面也会有所不同（多个国家的货币单位可能不同），新增加区域运营目录，在此目录下增加区域运营报表，此需求在区域运营的目录下增加收入流水的统计页面。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proofErr w:type="gram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马开峰</w:t>
            </w:r>
            <w:proofErr w:type="gram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00341915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2017-06-27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2017-07-30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邱涛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00255622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功能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D63A87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D63A87" w:rsidRPr="00D63A87" w:rsidTr="00D63A87">
        <w:trPr>
          <w:trHeight w:val="3021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EDC 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运营趋势界面优化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主要说明：详情中新增可选的按支付渠道分组选择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br/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详情指标：当选择按支付渠道分组时，只能呈现以下指标：货币类型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会员有效下载量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总流水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合作渠道流水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订阅流水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IAP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流水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PPD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流水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付费次数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IAP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付费次数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PPD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付费次数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付费用户数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IAP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付费用户数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PPD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付费用户数。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proofErr w:type="gram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马开峰</w:t>
            </w:r>
            <w:proofErr w:type="gram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00341915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2017-06-27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2017-07-30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邱涛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00255622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功能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D63A87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  <w:tr w:rsidR="00D63A87" w:rsidRPr="00D63A87" w:rsidTr="00D63A87">
        <w:trPr>
          <w:trHeight w:val="477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lastRenderedPageBreak/>
              <w:t>易数平台数据传输任务切换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关于数据</w:t>
            </w:r>
            <w:proofErr w:type="gram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支撑组</w:t>
            </w:r>
            <w:proofErr w:type="gram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在</w:t>
            </w:r>
            <w:proofErr w:type="spell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Intouch</w:t>
            </w:r>
            <w:proofErr w:type="spell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上使用数据传输服务的用途：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br/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借助数据传输服务功能将一线反馈的批量号码导入到中间表中，用户匹配投诉用户的各项活跃、订购、退订记录，</w:t>
            </w:r>
            <w:proofErr w:type="gram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以及扣费记录</w:t>
            </w:r>
            <w:proofErr w:type="gram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，提供一线进行投诉处理。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br/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br/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目前数据传输服务即将下线，</w:t>
            </w:r>
            <w:proofErr w:type="gram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请开发</w:t>
            </w:r>
            <w:proofErr w:type="gram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给予相应的支撑，在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BDI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上做个自动执行任务，该任务支持我们</w:t>
            </w:r>
            <w:proofErr w:type="gram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随时上</w:t>
            </w:r>
            <w:proofErr w:type="gram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传批量号码，随时入库的要求（因为一线提供号码的</w:t>
            </w:r>
            <w:proofErr w:type="gramStart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时间很随性</w:t>
            </w:r>
            <w:proofErr w:type="gramEnd"/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田俊杰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WX345064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2017-06-27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2017-07-30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邱涛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 00255622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功能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63A87" w:rsidRPr="00D63A87" w:rsidRDefault="00D63A87" w:rsidP="00D63A8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接纳</w:t>
            </w:r>
            <w:r w:rsidRPr="00D63A87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D63A87">
              <w:rPr>
                <w:rFonts w:ascii="微软雅黑" w:eastAsia="微软雅黑" w:hAnsi="微软雅黑" w:cs="Arial" w:hint="eastAsia"/>
                <w:snapToGrid/>
                <w:color w:val="000000"/>
                <w:sz w:val="20"/>
                <w:szCs w:val="20"/>
              </w:rPr>
              <w:t>组织方案设</w:t>
            </w:r>
            <w:r w:rsidRPr="00D63A87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计</w:t>
            </w:r>
          </w:p>
        </w:tc>
      </w:tr>
    </w:tbl>
    <w:p w:rsidR="00D63A87" w:rsidRPr="00D63A87" w:rsidRDefault="00D63A87" w:rsidP="00857209">
      <w:pPr>
        <w:rPr>
          <w:rFonts w:ascii="微软雅黑" w:eastAsia="微软雅黑" w:hAnsi="微软雅黑"/>
        </w:rPr>
      </w:pPr>
    </w:p>
    <w:p w:rsidR="007D28F0" w:rsidRDefault="007D28F0" w:rsidP="00E264F5">
      <w:pPr>
        <w:pStyle w:val="1"/>
      </w:pPr>
      <w:r>
        <w:rPr>
          <w:rFonts w:hint="eastAsia"/>
        </w:rPr>
        <w:t>遗留</w:t>
      </w:r>
      <w:r>
        <w:t>问题</w:t>
      </w:r>
    </w:p>
    <w:tbl>
      <w:tblPr>
        <w:tblW w:w="8140" w:type="dxa"/>
        <w:tblInd w:w="-10" w:type="dxa"/>
        <w:tblLook w:val="04A0" w:firstRow="1" w:lastRow="0" w:firstColumn="1" w:lastColumn="0" w:noHBand="0" w:noVBand="1"/>
      </w:tblPr>
      <w:tblGrid>
        <w:gridCol w:w="1080"/>
        <w:gridCol w:w="1624"/>
        <w:gridCol w:w="1080"/>
        <w:gridCol w:w="1080"/>
        <w:gridCol w:w="1080"/>
        <w:gridCol w:w="1116"/>
        <w:gridCol w:w="1080"/>
      </w:tblGrid>
      <w:tr w:rsidR="00E264F5" w:rsidRPr="00E264F5" w:rsidTr="00E264F5">
        <w:trPr>
          <w:trHeight w:val="55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E264F5" w:rsidRPr="00E264F5" w:rsidTr="00E264F5">
        <w:trPr>
          <w:trHeight w:val="97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4F5" w:rsidRPr="00E264F5" w:rsidRDefault="00E264F5" w:rsidP="005F4C1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周报模板调整（既要有</w:t>
            </w:r>
            <w:r w:rsidR="005F4C1F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问题和进展,也要有</w:t>
            </w: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任务</w:t>
            </w:r>
            <w:r w:rsidR="005F4C1F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和</w:t>
            </w: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版本</w:t>
            </w:r>
            <w:r w:rsidR="005F4C1F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规划</w:t>
            </w: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  <w:r w:rsidR="005F4C1F"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</w:t>
            </w:r>
            <w:r w:rsidR="005F4C1F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邱涛</w:t>
            </w:r>
          </w:p>
        </w:tc>
      </w:tr>
      <w:tr w:rsidR="00E264F5" w:rsidRPr="00E264F5" w:rsidTr="00E264F5">
        <w:trPr>
          <w:trHeight w:val="9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周四上午会议（1.迭代回顾，2. 自动化测试方案和兼容规则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  <w:r w:rsidR="005F4C1F"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</w:t>
            </w:r>
            <w:r w:rsidR="005F4C1F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</w:t>
            </w:r>
            <w:r w:rsidR="005F4C1F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  <w:r w:rsidR="00E264F5"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bookmarkStart w:id="0" w:name="_GoBack"/>
        <w:bookmarkEnd w:id="0"/>
      </w:tr>
      <w:tr w:rsidR="00E264F5" w:rsidRPr="00E264F5" w:rsidTr="00E264F5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4F5" w:rsidRPr="005F4C1F" w:rsidRDefault="005F4C1F" w:rsidP="005F4C1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上RAT之前,</w:t>
            </w:r>
            <w:r w:rsidR="00E264F5"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工作量</w:t>
            </w: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需要得到华为和中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软双方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的</w:t>
            </w:r>
            <w:r w:rsidR="00E264F5"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确认</w:t>
            </w: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,否则不具备上回条件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E264F5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</w:t>
            </w: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15</w:t>
            </w:r>
            <w:r w:rsidR="00E264F5"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64F5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邱涛/</w:t>
            </w:r>
            <w:r w:rsidR="00E264F5"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万明亮</w:t>
            </w:r>
          </w:p>
        </w:tc>
      </w:tr>
      <w:tr w:rsidR="005F4C1F" w:rsidRPr="00E264F5" w:rsidTr="00E264F5">
        <w:trPr>
          <w:trHeight w:val="4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维护</w:t>
            </w:r>
            <w:proofErr w:type="gramStart"/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现网问题</w:t>
            </w:r>
            <w:proofErr w:type="gramEnd"/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的解决办法组织培训</w:t>
            </w: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,需要相关人都了解,避免重复犯相同的错误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</w:t>
            </w: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</w:tbl>
    <w:p w:rsidR="00E264F5" w:rsidRPr="00E264F5" w:rsidRDefault="00E264F5" w:rsidP="00E264F5"/>
    <w:sectPr w:rsidR="00E264F5" w:rsidRPr="00E264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782" w:rsidRDefault="002E1782">
      <w:r>
        <w:separator/>
      </w:r>
    </w:p>
  </w:endnote>
  <w:endnote w:type="continuationSeparator" w:id="0">
    <w:p w:rsidR="002E1782" w:rsidRDefault="002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F4C1F">
            <w:rPr>
              <w:noProof/>
            </w:rPr>
            <w:t>2017-7-4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F4C1F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2E1782">
            <w:fldChar w:fldCharType="begin"/>
          </w:r>
          <w:r w:rsidR="002E1782">
            <w:instrText xml:space="preserve"> NUMPAGES  \* Arabic  \* MERGEFORMAT </w:instrText>
          </w:r>
          <w:r w:rsidR="002E1782">
            <w:fldChar w:fldCharType="separate"/>
          </w:r>
          <w:r w:rsidR="005F4C1F">
            <w:rPr>
              <w:noProof/>
            </w:rPr>
            <w:t>6</w:t>
          </w:r>
          <w:r w:rsidR="002E178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782" w:rsidRDefault="002E1782">
      <w:r>
        <w:separator/>
      </w:r>
    </w:p>
  </w:footnote>
  <w:footnote w:type="continuationSeparator" w:id="0">
    <w:p w:rsidR="002E1782" w:rsidRDefault="002E1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612D06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05F5"/>
    <w:multiLevelType w:val="hybridMultilevel"/>
    <w:tmpl w:val="A09C3342"/>
    <w:lvl w:ilvl="0" w:tplc="2CD442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4964C43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7491C21"/>
    <w:multiLevelType w:val="hybridMultilevel"/>
    <w:tmpl w:val="FD4CCFD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411B6768"/>
    <w:multiLevelType w:val="hybridMultilevel"/>
    <w:tmpl w:val="E194854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DD77E87"/>
    <w:multiLevelType w:val="hybridMultilevel"/>
    <w:tmpl w:val="CE4E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FE36236"/>
    <w:multiLevelType w:val="hybridMultilevel"/>
    <w:tmpl w:val="EE92F04E"/>
    <w:lvl w:ilvl="0" w:tplc="EF540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9E446C"/>
    <w:multiLevelType w:val="hybridMultilevel"/>
    <w:tmpl w:val="D35E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46429"/>
    <w:multiLevelType w:val="multilevel"/>
    <w:tmpl w:val="F5BA7E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BDD10F7"/>
    <w:multiLevelType w:val="hybridMultilevel"/>
    <w:tmpl w:val="53D487A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9"/>
  </w:num>
  <w:num w:numId="15">
    <w:abstractNumId w:val="0"/>
  </w:num>
  <w:num w:numId="16">
    <w:abstractNumId w:val="6"/>
  </w:num>
  <w:num w:numId="17">
    <w:abstractNumId w:val="13"/>
  </w:num>
  <w:num w:numId="18">
    <w:abstractNumId w:val="13"/>
  </w:num>
  <w:num w:numId="19">
    <w:abstractNumId w:val="13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3"/>
  </w:num>
  <w:num w:numId="25">
    <w:abstractNumId w:val="13"/>
  </w:num>
  <w:num w:numId="26">
    <w:abstractNumId w:val="19"/>
  </w:num>
  <w:num w:numId="27">
    <w:abstractNumId w:val="19"/>
  </w:num>
  <w:num w:numId="28">
    <w:abstractNumId w:val="19"/>
  </w:num>
  <w:num w:numId="29">
    <w:abstractNumId w:val="1"/>
  </w:num>
  <w:num w:numId="30">
    <w:abstractNumId w:val="13"/>
  </w:num>
  <w:num w:numId="31">
    <w:abstractNumId w:val="13"/>
  </w:num>
  <w:num w:numId="32">
    <w:abstractNumId w:val="19"/>
  </w:num>
  <w:num w:numId="33">
    <w:abstractNumId w:val="16"/>
  </w:num>
  <w:num w:numId="34">
    <w:abstractNumId w:val="16"/>
  </w:num>
  <w:num w:numId="35">
    <w:abstractNumId w:val="16"/>
  </w:num>
  <w:num w:numId="36">
    <w:abstractNumId w:val="3"/>
  </w:num>
  <w:num w:numId="37">
    <w:abstractNumId w:val="5"/>
  </w:num>
  <w:num w:numId="38">
    <w:abstractNumId w:val="2"/>
  </w:num>
  <w:num w:numId="39">
    <w:abstractNumId w:val="8"/>
  </w:num>
  <w:num w:numId="40">
    <w:abstractNumId w:val="18"/>
  </w:num>
  <w:num w:numId="41">
    <w:abstractNumId w:val="10"/>
  </w:num>
  <w:num w:numId="42">
    <w:abstractNumId w:val="12"/>
  </w:num>
  <w:num w:numId="43">
    <w:abstractNumId w:val="14"/>
  </w:num>
  <w:num w:numId="44">
    <w:abstractNumId w:val="16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3281B"/>
    <w:rsid w:val="00091384"/>
    <w:rsid w:val="000A3696"/>
    <w:rsid w:val="00114E01"/>
    <w:rsid w:val="00133310"/>
    <w:rsid w:val="001728FE"/>
    <w:rsid w:val="00174A97"/>
    <w:rsid w:val="001C094D"/>
    <w:rsid w:val="0023705A"/>
    <w:rsid w:val="0027215D"/>
    <w:rsid w:val="002C1BE5"/>
    <w:rsid w:val="002E1782"/>
    <w:rsid w:val="002F1DEC"/>
    <w:rsid w:val="0030093F"/>
    <w:rsid w:val="00312EC1"/>
    <w:rsid w:val="003362C2"/>
    <w:rsid w:val="00336AEA"/>
    <w:rsid w:val="003446AD"/>
    <w:rsid w:val="003735BA"/>
    <w:rsid w:val="00376F60"/>
    <w:rsid w:val="003A3E11"/>
    <w:rsid w:val="003E32CB"/>
    <w:rsid w:val="003F5FD7"/>
    <w:rsid w:val="00415E3D"/>
    <w:rsid w:val="00456C13"/>
    <w:rsid w:val="004A65D0"/>
    <w:rsid w:val="00507347"/>
    <w:rsid w:val="00562E01"/>
    <w:rsid w:val="005971CA"/>
    <w:rsid w:val="00597FC0"/>
    <w:rsid w:val="005B4943"/>
    <w:rsid w:val="005D2D89"/>
    <w:rsid w:val="005F4C1F"/>
    <w:rsid w:val="00680C99"/>
    <w:rsid w:val="00686D0F"/>
    <w:rsid w:val="00692F90"/>
    <w:rsid w:val="007456DA"/>
    <w:rsid w:val="007607BC"/>
    <w:rsid w:val="0076287A"/>
    <w:rsid w:val="00792E2C"/>
    <w:rsid w:val="0079555A"/>
    <w:rsid w:val="007A4F05"/>
    <w:rsid w:val="007A66F6"/>
    <w:rsid w:val="007D28F0"/>
    <w:rsid w:val="00825E95"/>
    <w:rsid w:val="00844821"/>
    <w:rsid w:val="00857209"/>
    <w:rsid w:val="00877A14"/>
    <w:rsid w:val="008A49B3"/>
    <w:rsid w:val="008B2030"/>
    <w:rsid w:val="008C48AB"/>
    <w:rsid w:val="008E76B7"/>
    <w:rsid w:val="009D3359"/>
    <w:rsid w:val="00A211E7"/>
    <w:rsid w:val="00C27214"/>
    <w:rsid w:val="00C41D33"/>
    <w:rsid w:val="00C91DFB"/>
    <w:rsid w:val="00CC2494"/>
    <w:rsid w:val="00D03528"/>
    <w:rsid w:val="00D25F65"/>
    <w:rsid w:val="00D63A87"/>
    <w:rsid w:val="00DA1186"/>
    <w:rsid w:val="00DB4E97"/>
    <w:rsid w:val="00E03BD4"/>
    <w:rsid w:val="00E264F5"/>
    <w:rsid w:val="00E55C7B"/>
    <w:rsid w:val="00E6046B"/>
    <w:rsid w:val="00ED3E44"/>
    <w:rsid w:val="00F80975"/>
    <w:rsid w:val="00F919DB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9A323-0362-4B52-9C03-961A8ED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A0B52-6EC2-4CC7-92FC-C8A51565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442</Words>
  <Characters>2524</Characters>
  <Application>Microsoft Office Word</Application>
  <DocSecurity>0</DocSecurity>
  <Lines>21</Lines>
  <Paragraphs>5</Paragraphs>
  <ScaleCrop>false</ScaleCrop>
  <Company>Huawei Technologies Co.,Ltd.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Suqiang (A&amp;O)</cp:lastModifiedBy>
  <cp:revision>4</cp:revision>
  <dcterms:created xsi:type="dcterms:W3CDTF">2017-07-04T02:36:00Z</dcterms:created>
  <dcterms:modified xsi:type="dcterms:W3CDTF">2017-07-04T02:45:00Z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(2)OEAVvz+TRjDkNaZL5g/E9gr7Wx/5Fpam/l6RPJNRCEiTmpKTS73sSY5PxQmoqFID58hlUK0O
X4M45pPC3Gk/OA8Nb2731M3NELMyRC4ha/tQaELXjEI9XP6af7/fI4xBHREVv7Gw4nGk0HhR
q/yV62wvWhEyM2hELKNaD+S/3ssd4S75XY8GMSWhuZdaemfm/2jpLwlQFXsfOX61+18EZVvk
8F+KB9ecA6n+3Zh8w/</vt:lpwstr>
  </property>
  <property fmtid="{D5CDD505-2E9C-101B-9397-08002B2CF9AE}" pid="3" name="_2015_ms_pID_7253431">
    <vt:lpwstr>/rX0qzMoZW53E9pSE3xU61hKuUASpMoNM0pEv4Bav8D88Gn3pDSiR/
bqiRnQhyly23AQHsvLvswgeoKgfzRb57mdYk2mFAQNg8E0VloDkl2qEvxJ3u0//CRLgt07b2
DDP/nfSrRv855MwqF1RaPWSTtRf2ghJIPGC0CMRkNPzlV1LkkFdJ5iaRnghu8P9DBBUFi7Dm
9h4KXjiVYDjMKSfH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1499135802</vt:lpwstr>
  </property>
</Properties>
</file>