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MULTIPLE NATURES PRACTITIONER ORGANIZATION AGREEMENT</w:t>
      </w:r>
    </w:p>
    <w:p/>
    <w:p>
      <w:r>
        <w:t>Date: ________________________, 2025</w:t>
      </w:r>
    </w:p>
    <w:p/>
    <w:p>
      <w:r>
        <w:rPr>
          <w:b/>
          <w:sz w:val="24"/>
        </w:rPr>
        <w:t>PARTIES</w:t>
      </w:r>
    </w:p>
    <w:p>
      <w:r>
        <w:t>Multiple Natures International, LLC ("MNI")</w:t>
      </w:r>
    </w:p>
    <w:p>
      <w:r>
        <w:t>85 Newark-Pompton Turnpike, P.O. Box 75</w:t>
      </w:r>
    </w:p>
    <w:p>
      <w:r>
        <w:t>Riverdale, NJ 07457-0075</w:t>
      </w:r>
    </w:p>
    <w:p/>
    <w:p>
      <w:r>
        <w:t>and</w:t>
      </w:r>
    </w:p>
    <w:p/>
    <w:p>
      <w:r>
        <w:t>The Rytis Jurkenas Companies (collectively, "Practitioner Organization"), consisting of:</w:t>
      </w:r>
    </w:p>
    <w:p/>
    <w:p>
      <w:r>
        <w:t>UAB Kalba.lt</w:t>
      </w:r>
    </w:p>
    <w:p>
      <w:r>
        <w:t>Vytautas Avenue 32</w:t>
      </w:r>
    </w:p>
    <w:p>
      <w:r>
        <w:t>Kaunas, LT-44328, Lithuania</w:t>
      </w:r>
    </w:p>
    <w:p/>
    <w:p>
      <w:r>
        <w:t>SIA Kalba</w:t>
      </w:r>
    </w:p>
    <w:p>
      <w:r>
        <w:t>Valnu Iela 5</w:t>
      </w:r>
    </w:p>
    <w:p>
      <w:r>
        <w:t>1050, Riga, Latvia</w:t>
      </w:r>
    </w:p>
    <w:p/>
    <w:p>
      <w:r>
        <w:t>UAB Edu Perfectus</w:t>
      </w:r>
    </w:p>
    <w:p>
      <w:r>
        <w:t>Vytauto Street 14</w:t>
      </w:r>
    </w:p>
    <w:p>
      <w:r>
        <w:t>Vilnius, Lithuania</w:t>
      </w:r>
    </w:p>
    <w:p/>
    <w:p>
      <w:r>
        <w:t>SIA eduPERFECTUS</w:t>
      </w:r>
    </w:p>
    <w:p>
      <w:r>
        <w:t>Vanu Iela 5</w:t>
      </w:r>
    </w:p>
    <w:p>
      <w:r>
        <w:t>Riga, LV-1050, Latvia</w:t>
      </w:r>
    </w:p>
    <w:p/>
    <w:p>
      <w:r>
        <w:t>UAB Ego Perfectus</w:t>
      </w:r>
    </w:p>
    <w:p>
      <w:r>
        <w:t>Vytauto St. 14</w:t>
      </w:r>
    </w:p>
    <w:p>
      <w:r>
        <w:t>Vilnius, Lithuania</w:t>
      </w:r>
    </w:p>
    <w:p/>
    <w:p>
      <w:r>
        <w:rPr>
          <w:b/>
          <w:sz w:val="24"/>
        </w:rPr>
        <w:t>RECITALS</w:t>
      </w:r>
    </w:p>
    <w:p>
      <w:r>
        <w:rPr>
          <w:b/>
        </w:rPr>
        <w:t xml:space="preserve">MNI's Business. </w:t>
      </w:r>
      <w:r>
        <w:t>MNI is engaged in the business of developing, providing, and selling personality testing, career guidance, educational services, and training programs based on the Multiple Natures framework ("MN Framework"), including the MN Test™ and related workshops, courses, and self-assessment tools (collectively, "MN Products and Services").</w:t>
      </w:r>
    </w:p>
    <w:p>
      <w:r>
        <w:rPr>
          <w:b/>
        </w:rPr>
        <w:t xml:space="preserve">Practitioner Organization. </w:t>
      </w:r>
      <w:r>
        <w:t>Practitioner Organization consists of the entities listed above (collectively, "The Rytis Jurkenas Companies"), which are under the common ownership and control of Rytis Jurkėnas (personal identification no. 36810050056). Practitioner Organization seeks to purchase MN Products and Services from MNI and deliver them to end-user customers within the Territory.</w:t>
      </w:r>
    </w:p>
    <w:p>
      <w:r>
        <w:rPr>
          <w:b/>
        </w:rPr>
        <w:t xml:space="preserve">Territory. </w:t>
      </w:r>
      <w:r>
        <w:t>The "Territory" shall mean the countries of Lithuania, Latvia, and Belarus.</w:t>
      </w:r>
    </w:p>
    <w:p>
      <w:r>
        <w:rPr>
          <w:b/>
        </w:rPr>
        <w:t xml:space="preserve">Prior Relationship. </w:t>
      </w:r>
      <w:r>
        <w:t>The parties previously entered into an Exclusive License &amp; Distribution Agreement dated July 25, 2017, which was terminated as part of a Settlement Agreement dated February 2025 between the parties.</w:t>
      </w:r>
    </w:p>
    <w:p>
      <w:r>
        <w:rPr>
          <w:b/>
        </w:rPr>
        <w:t xml:space="preserve">Purpose. </w:t>
      </w:r>
      <w:r>
        <w:t>The parties desire to establish a new relationship whereby Practitioner Organization may purchase MN Products and Services from MNI at the pricing terms set forth herein and deliver such Products and Services to end-user customers within the Territory, subject to adherence to The MN Practitioner Code of Ethics and other terms and conditions set forth in this Agreement.</w:t>
      </w:r>
    </w:p>
    <w:p/>
    <w:p>
      <w:r>
        <w:rPr>
          <w:b/>
        </w:rPr>
        <w:t>NOW, THEREFORE</w:t>
      </w:r>
    </w:p>
    <w:p>
      <w:r>
        <w:t>In consideration of the mutual covenants and agreements contained herein, and for other good and valuable consideration, the receipt and sufficiency of which are hereby acknowledged, the parties agree as follows:</w:t>
      </w:r>
    </w:p>
    <w:p/>
    <w:p>
      <w:r>
        <w:rPr>
          <w:b/>
          <w:sz w:val="24"/>
        </w:rPr>
        <w:t>1. DEFINITIONS</w:t>
      </w:r>
    </w:p>
    <w:p>
      <w:r>
        <w:rPr>
          <w:b/>
        </w:rPr>
        <w:t xml:space="preserve">"Practitioner Organization" </w:t>
      </w:r>
      <w:r>
        <w:t>means The Rytis Jurkenas Companies as defined above, consisting of UAB Kalba.lt, SIA Kalba, UAB Edu Perfectus, SIA eduPERFECTUS, and UAB Ego Perfectus, operating collectively under the common ownership and control of Rytis Jurkėnas for the purpose of purchasing MN Products and Services from MNI and delivering them to end-user customers within the Territory.</w:t>
      </w:r>
    </w:p>
    <w:p>
      <w:r>
        <w:rPr>
          <w:b/>
        </w:rPr>
        <w:t xml:space="preserve">"MN Products and Services" </w:t>
      </w:r>
      <w:r>
        <w:t>means all proprietary tests, assessments, courses, training programs, workshops, and related materials developed and sold by MNI based on the Multiple Natures framework, including but not limited to the MN Test™ and all related documentation and materials, as such products and services may be updated or modified by MNI from time to time.</w:t>
      </w:r>
    </w:p>
    <w:p>
      <w:r>
        <w:rPr>
          <w:b/>
        </w:rPr>
        <w:t xml:space="preserve">"Credits" </w:t>
      </w:r>
      <w:r>
        <w:t>means the units of measurement used by MNI to determine usage and pricing of MN Products and Services.</w:t>
      </w:r>
    </w:p>
    <w:p>
      <w:r>
        <w:rPr>
          <w:b/>
        </w:rPr>
        <w:t xml:space="preserve">"Territory" </w:t>
      </w:r>
      <w:r>
        <w:t>means Lithuania, Latvia, and Belarus.</w:t>
      </w:r>
    </w:p>
    <w:p>
      <w:r>
        <w:rPr>
          <w:b/>
        </w:rPr>
        <w:t xml:space="preserve">"End-User Customer" </w:t>
      </w:r>
      <w:r>
        <w:t>means individual consumers (B2C) or organizations that purchase MN Products and Services for their own internal use and do not resell such Products and Services to third parties.</w:t>
      </w:r>
    </w:p>
    <w:p>
      <w:r>
        <w:rPr>
          <w:b/>
        </w:rPr>
        <w:t xml:space="preserve">"MN Practitioner Code of Ethics" </w:t>
      </w:r>
      <w:r>
        <w:t>means the ethical standards and professional guidelines established by MNI for all practitioners utilizing the MN Framework, as may be updated from time to time, attached hereto as Schedule C.</w:t>
      </w:r>
    </w:p>
    <w:p>
      <w:r>
        <w:rPr>
          <w:b/>
        </w:rPr>
        <w:t xml:space="preserve">"Term" </w:t>
      </w:r>
      <w:r>
        <w:t>means the initial term of this Agreement as specified in Article 8 herein.</w:t>
      </w:r>
    </w:p>
    <w:p/>
    <w:p>
      <w:r>
        <w:rPr>
          <w:b/>
          <w:sz w:val="24"/>
        </w:rPr>
        <w:t>2. PURCHASE AND DELIVERY RIGHTS</w:t>
      </w:r>
    </w:p>
    <w:p>
      <w:r>
        <w:rPr>
          <w:b/>
          <w:sz w:val="22"/>
        </w:rPr>
        <w:t>2.1 Right to Purchase</w:t>
      </w:r>
    </w:p>
    <w:p>
      <w:r>
        <w:t>MNI hereby agrees to sell, and Practitioner Organization shall have the right to purchase, MN Products and Services from MNI at the pricing terms set forth in Article 3 of this Agreement.</w:t>
      </w:r>
    </w:p>
    <w:p>
      <w:r>
        <w:rPr>
          <w:b/>
          <w:sz w:val="22"/>
        </w:rPr>
        <w:t>2.2 Delivery to End-User Customers</w:t>
      </w:r>
    </w:p>
    <w:p>
      <w:r>
        <w:t>Practitioner Organization may deliver MN Products and Services purchased from MNI to End-User Customers within the Territory, including:</w:t>
      </w:r>
    </w:p>
    <w:p>
      <w:pPr>
        <w:pStyle w:val="ListBullet"/>
      </w:pPr>
      <w:r>
        <w:t>Individual consumers (B2C market); and</w:t>
      </w:r>
    </w:p>
    <w:p>
      <w:pPr>
        <w:pStyle w:val="ListBullet"/>
      </w:pPr>
      <w:r>
        <w:t>Organizations (including schools, colleges, coaching organizations, and companies) that purchase MN Products and Services for their own internal use and do not resell such Products and Services to third parties.</w:t>
      </w:r>
    </w:p>
    <w:p>
      <w:r>
        <w:rPr>
          <w:b/>
          <w:sz w:val="22"/>
        </w:rPr>
        <w:t>2.3 Non-Exclusive Relationship</w:t>
      </w:r>
    </w:p>
    <w:p>
      <w:r>
        <w:t>Practitioner Organization acknowledges and agrees that this is a non-exclusive relationship. MNI expressly reserves the right to:</w:t>
      </w:r>
    </w:p>
    <w:p>
      <w:pPr>
        <w:pStyle w:val="ListBullet"/>
      </w:pPr>
      <w:r>
        <w:t>Sell MN Products and Services to other parties within or outside the Territory;</w:t>
      </w:r>
    </w:p>
    <w:p>
      <w:pPr>
        <w:pStyle w:val="ListBullet"/>
      </w:pPr>
      <w:r>
        <w:t>Directly provide MN Products and Services to customers within the Territory;</w:t>
      </w:r>
    </w:p>
    <w:p>
      <w:pPr>
        <w:pStyle w:val="ListBullet"/>
      </w:pPr>
      <w:r>
        <w:t>Establish other practitioner organizations, partner with other entities, or modify its distribution arrangements within the Territory at its sole discretion;</w:t>
      </w:r>
    </w:p>
    <w:p>
      <w:pPr>
        <w:pStyle w:val="ListBullet"/>
      </w:pPr>
      <w:r>
        <w:t>Modify, enhance, or discontinue any MN Products and Services at its sole discretion.</w:t>
      </w:r>
    </w:p>
    <w:p>
      <w:r>
        <w:rPr>
          <w:b/>
          <w:sz w:val="22"/>
        </w:rPr>
        <w:t>2.4 Cooperative Relationship</w:t>
      </w:r>
    </w:p>
    <w:p>
      <w:r>
        <w:t>In the event that MNI establishes alternative distribution arrangements within the Territory, MNI and Practitioner Organization agree to work cooperatively to ensure seamless service delivery to customers and to coordinate their respective activities in a manner consistent with the best interests of the MN Framework and end-user satisfaction.</w:t>
      </w:r>
    </w:p>
    <w:p>
      <w:r>
        <w:rPr>
          <w:b/>
          <w:sz w:val="22"/>
        </w:rPr>
        <w:t>2.5 Geographic Limitation</w:t>
      </w:r>
    </w:p>
    <w:p>
      <w:r>
        <w:t>Practitioner Organization shall deliver MN Products and Services only to End-User Customers located within the Territory. Practitioner Organization shall not offer or provide MN Products and Services to persons or entities domiciled outside the Territory without MNI's express prior written consent.</w:t>
      </w:r>
    </w:p>
    <w:p>
      <w:r>
        <w:rPr>
          <w:b/>
          <w:sz w:val="22"/>
        </w:rPr>
        <w:t>2.6 No Resale Rights</w:t>
      </w:r>
    </w:p>
    <w:p>
      <w:r>
        <w:t>Practitioner Organization shall not sell, transfer, or deliver MN Products and Services to any party for purposes of resale or redistribution. Practitioner Organization may only deliver MN Products and Services to End-User Customers as defined herein.</w:t>
      </w:r>
    </w:p>
    <w:p/>
    <w:p>
      <w:r>
        <w:rPr>
          <w:b/>
          <w:sz w:val="24"/>
        </w:rPr>
        <w:t>3. PRICING AND PAYMENT</w:t>
      </w:r>
    </w:p>
    <w:p>
      <w:r>
        <w:rPr>
          <w:b/>
          <w:sz w:val="22"/>
        </w:rPr>
        <w:t>3.1 Subscription Plans</w:t>
      </w:r>
    </w:p>
    <w:p>
      <w:r>
        <w:t>Practitioner Organization shall purchase Credits from MNI according to the following subscription plans:</w:t>
      </w:r>
    </w:p>
    <w:p/>
    <w:p>
      <w:r>
        <w:rPr>
          <w:b/>
        </w:rPr>
        <w:t>BASIC Plan</w:t>
      </w:r>
    </w:p>
    <w:p>
      <w:r>
        <w:t>Monthly: EUR 30/month for 30 Credits (EUR 1.00 per Credit)</w:t>
      </w:r>
    </w:p>
    <w:p>
      <w:r>
        <w:t>Annual: EUR 300/year for 360 Credits (EUR 0.833 per Credit)</w:t>
      </w:r>
    </w:p>
    <w:p/>
    <w:p>
      <w:r>
        <w:rPr>
          <w:b/>
        </w:rPr>
        <w:t>BRONZE Plan</w:t>
      </w:r>
    </w:p>
    <w:p>
      <w:r>
        <w:t>Monthly: EUR 100/month for 120 Credits (EUR 0.833 per Credit)</w:t>
      </w:r>
    </w:p>
    <w:p>
      <w:r>
        <w:t>Annual: EUR 1,000/year for 1,440 Credits (EUR 0.694 per Credit)</w:t>
      </w:r>
    </w:p>
    <w:p/>
    <w:p>
      <w:r>
        <w:rPr>
          <w:b/>
        </w:rPr>
        <w:t>SILVER Plan</w:t>
      </w:r>
    </w:p>
    <w:p>
      <w:r>
        <w:t>Monthly: EUR 150/month for 210 Credits (EUR 0.714 per Credit)</w:t>
      </w:r>
    </w:p>
    <w:p>
      <w:r>
        <w:t>Annual: EUR 1,500/year for 2,520 Credits (EUR 0.595 per Credit)</w:t>
      </w:r>
    </w:p>
    <w:p/>
    <w:p>
      <w:r>
        <w:rPr>
          <w:b/>
        </w:rPr>
        <w:t>GOLD Plan</w:t>
      </w:r>
    </w:p>
    <w:p>
      <w:r>
        <w:t>Monthly: EUR 300/month for 500 Credits (EUR 0.60 per Credit)</w:t>
      </w:r>
    </w:p>
    <w:p>
      <w:r>
        <w:t>Annual: EUR 3,000/year for 6,000 Credits (EUR 0.50 per Credit)</w:t>
      </w:r>
    </w:p>
    <w:p/>
    <w:p>
      <w:r>
        <w:rPr>
          <w:b/>
          <w:sz w:val="22"/>
        </w:rPr>
        <w:t>3.2 Credit Usage and Restrictions</w:t>
      </w:r>
    </w:p>
    <w:p>
      <w:r>
        <w:t xml:space="preserve">Account Closure and Credit Forfeiture. </w:t>
      </w:r>
      <w:r>
        <w:t>In the event of account closure or termination of this Agreement for any reason, any unused Credits shall be immediately forfeited and may not be refunded, exchanged, or transferred. No monetary value shall be assigned to unused Credits upon termination.</w:t>
      </w:r>
    </w:p>
    <w:p/>
    <w:p>
      <w:r>
        <w:t xml:space="preserve">Non-Transferability of Credits. </w:t>
      </w:r>
      <w:r>
        <w:t>Credits purchased by Practitioner Organization are non-transferable and may not be exchanged, traded, sold, or given to any other practitioners, practitioner organizations, or third parties. Credits may only be used by Practitioner Organization for the delivery of MN Products and Services to its own End-User Customers.</w:t>
      </w:r>
    </w:p>
    <w:p/>
    <w:p>
      <w:r>
        <w:rPr>
          <w:b/>
          <w:sz w:val="22"/>
        </w:rPr>
        <w:t>3.3 Payment Terms</w:t>
      </w:r>
    </w:p>
    <w:p>
      <w:r>
        <w:t>All subscription fees and purchases of Credits must be paid 100% in advance. Payment is due immediately upon selection of a subscription plan or purchase of additional Credits.</w:t>
      </w:r>
    </w:p>
    <w:p>
      <w:r>
        <w:rPr>
          <w:b/>
          <w:sz w:val="22"/>
        </w:rPr>
        <w:t>3.4 No Deductions</w:t>
      </w:r>
    </w:p>
    <w:p>
      <w:r>
        <w:t>There shall be no deduction from any amounts due to MNI for uncollectable accounts, taxes (save where otherwise provided herein), fees, assessment, or other expenses of any kind which may be incurred or paid by Practitioner Organization.</w:t>
      </w:r>
    </w:p>
    <w:p>
      <w:r>
        <w:rPr>
          <w:b/>
          <w:sz w:val="22"/>
        </w:rPr>
        <w:t>3.5 Price Confidentiality</w:t>
      </w:r>
    </w:p>
    <w:p>
      <w:r>
        <w:t>Practitioner Organization agrees that the prices charged by MNI under this Agreement constitute confidential information and shall not be disclosed to any third party.</w:t>
      </w:r>
    </w:p>
    <w:p>
      <w:r>
        <w:rPr>
          <w:b/>
          <w:sz w:val="22"/>
        </w:rPr>
        <w:t>3.6 Referral Commission</w:t>
      </w:r>
    </w:p>
    <w:p>
      <w:r>
        <w:t xml:space="preserve">Commission Structure. </w:t>
      </w:r>
      <w:r>
        <w:t>MNI agrees to pay Practitioner Organization a commission of thirty percent (30%) on all business that Practitioner Organization refers to MNI, where such business results in a direct sale by MNI to a customer located within the Territory. The commission shall be calculated on the net revenue received by MNI from such referred business.</w:t>
      </w:r>
    </w:p>
    <w:p/>
    <w:p>
      <w:r>
        <w:t xml:space="preserve">Modification and Termination. </w:t>
      </w:r>
      <w:r>
        <w:t>MNI reserves the right to modify, suspend, or terminate any and all commission programs, rates, terms, and conditions at any time upon thirty (30) days written notice to Practitioner Organization. Any modifications or termination shall apply prospectively only and shall not affect commissions earned on business referred prior to the effective date of such modification or termination. MNI shall honor and pay all commission commitments made for referrals completed before any such modification or termination takes effect.</w:t>
      </w:r>
    </w:p>
    <w:p/>
    <w:p>
      <w:r>
        <w:rPr>
          <w:b/>
          <w:sz w:val="24"/>
        </w:rPr>
        <w:t>4. PRACTITIONER OBLIGATIONS</w:t>
      </w:r>
    </w:p>
    <w:p>
      <w:r>
        <w:rPr>
          <w:b/>
          <w:sz w:val="22"/>
        </w:rPr>
        <w:t>4.1 Adherence to MN Practitioner Code of Ethics</w:t>
      </w:r>
    </w:p>
    <w:p>
      <w:r>
        <w:t>Practitioner Organization and all of its employees, contractors, representatives, and agents who deliver MN Products and Services shall strictly adhere to The MN Practitioner Code of Ethics (attached as Schedule C). Any violation of The MN Practitioner Code of Ethics shall constitute a material breach of this Agreement.</w:t>
      </w:r>
    </w:p>
    <w:p>
      <w:r>
        <w:rPr>
          <w:b/>
          <w:sz w:val="22"/>
        </w:rPr>
        <w:t>4.2 Training and Certification</w:t>
      </w:r>
    </w:p>
    <w:p>
      <w:r>
        <w:t>Practitioner Organization shall ensure that all individuals who provide guidance to customers in connection with MN Products and Services are properly trained and certified in accordance with MNI's certification requirements.</w:t>
      </w:r>
    </w:p>
    <w:p>
      <w:r>
        <w:rPr>
          <w:b/>
          <w:sz w:val="22"/>
        </w:rPr>
        <w:t>4.3 Practitioner Training Services</w:t>
      </w:r>
    </w:p>
    <w:p>
      <w:r>
        <w:t>Practitioner Organization may provide training to other practitioners, provided that:</w:t>
      </w:r>
    </w:p>
    <w:p>
      <w:pPr>
        <w:pStyle w:val="ListBullet"/>
      </w:pPr>
      <w:r>
        <w:t>The individuals conducting such training are qualified as Trainers in accordance with MNI's certification requirements;</w:t>
      </w:r>
    </w:p>
    <w:p>
      <w:pPr>
        <w:pStyle w:val="ListBullet"/>
      </w:pPr>
      <w:r>
        <w:t>Practitioner Organization pays MNI a royalty fee of 20% of the total training course revenue, calculated on the gross revenue charged for the training;</w:t>
      </w:r>
    </w:p>
    <w:p>
      <w:pPr>
        <w:pStyle w:val="ListBullet"/>
      </w:pPr>
      <w:r>
        <w:t>If the training is provided free of charge, Practitioner Organization shall pay MNI a royalty fee of 20% of the fair market value of such training, as determined by comparable paid training courses offered by MNI or Practitioner Organization;</w:t>
      </w:r>
    </w:p>
    <w:p>
      <w:pPr>
        <w:pStyle w:val="ListBullet"/>
      </w:pPr>
      <w:r>
        <w:t>All royalty fees shall be paid within thirty (30) days of completion of the training course.</w:t>
      </w:r>
    </w:p>
    <w:p>
      <w:r>
        <w:rPr>
          <w:b/>
          <w:sz w:val="22"/>
        </w:rPr>
        <w:t>4.4 Quality Standards</w:t>
      </w:r>
    </w:p>
    <w:p>
      <w:r>
        <w:t>Practitioner Organization warrants that all services provided to customers in connection with MN Products and Services shall be provided in accordance with reasonable professional standards and any guidelines issued by MNI from time to time.</w:t>
      </w:r>
    </w:p>
    <w:p>
      <w:r>
        <w:rPr>
          <w:b/>
          <w:sz w:val="22"/>
        </w:rPr>
        <w:t>4.5 Use of MNI Trademarks</w:t>
      </w:r>
    </w:p>
    <w:p>
      <w:r>
        <w:t>Practitioner Organization may use MNI's trademarks, trade names, and logos solely for the purpose of marketing and delivering MN Products and Services to End-User Customers, subject to MNI's trademark usage guidelines. When using the term "Multiple Natures," the MN Logo, or other marks of MNI, Practitioner Organization shall use the registered symbol ® or ™ to indicate that these are registered trademarks of MNI.</w:t>
      </w:r>
    </w:p>
    <w:p>
      <w:r>
        <w:rPr>
          <w:b/>
          <w:sz w:val="22"/>
        </w:rPr>
        <w:t>4.6 No Modifications</w:t>
      </w:r>
    </w:p>
    <w:p>
      <w:r>
        <w:t>Practitioner Organization shall not modify, adapt, translate, or create derivative works based on any MN Products and Services without MNI's express prior written consent. Practitioner Organization shall deliver MN Products and Services to customers in the form provided by MNI.</w:t>
      </w:r>
    </w:p>
    <w:p>
      <w:r>
        <w:rPr>
          <w:b/>
          <w:sz w:val="22"/>
        </w:rPr>
        <w:t>4.7 No Trademark Registration</w:t>
      </w:r>
    </w:p>
    <w:p>
      <w:r>
        <w:t>Practitioner Organization shall not register any trademarks, company names, business names, logos, domain names, social media channels, or other indicia using MNI's intellectual property, the Multiple Natures name, or any component thereof without MNI's express written consent.</w:t>
      </w:r>
    </w:p>
    <w:p>
      <w:r>
        <w:rPr>
          <w:b/>
          <w:sz w:val="22"/>
        </w:rPr>
        <w:t>4.8 Marketing and Promotion</w:t>
      </w:r>
    </w:p>
    <w:p>
      <w:r>
        <w:t>Practitioner Organization may market and promote MN Products and Services within the Territory using marketing materials provided or approved by MNI. All marketing materials created by Practitioner Organization that use MNI's trademarks or reference MN Products and Services must be submitted to MNI for prior written approval.</w:t>
      </w:r>
    </w:p>
    <w:p/>
    <w:p>
      <w:r>
        <w:rPr>
          <w:b/>
          <w:sz w:val="24"/>
        </w:rPr>
        <w:t>5. MNI'S OBLIGATIONS</w:t>
      </w:r>
    </w:p>
    <w:p>
      <w:r>
        <w:rPr>
          <w:b/>
          <w:sz w:val="22"/>
        </w:rPr>
        <w:t>5.1 Supply of Products and Services</w:t>
      </w:r>
    </w:p>
    <w:p>
      <w:r>
        <w:t>MNI shall make available to Practitioner Organization for purchase the MN Products and Services in accordance with the pricing terms set forth in Article 3.</w:t>
      </w:r>
    </w:p>
    <w:p>
      <w:r>
        <w:rPr>
          <w:b/>
          <w:sz w:val="22"/>
        </w:rPr>
        <w:t>5.2 Training and Support</w:t>
      </w:r>
    </w:p>
    <w:p>
      <w:r>
        <w:t>MNI shall provide to Practitioner Organization:</w:t>
      </w:r>
    </w:p>
    <w:p>
      <w:pPr>
        <w:pStyle w:val="ListBullet"/>
      </w:pPr>
      <w:r>
        <w:t>Access to training and certification programs for Practitioner Organization's personnel;</w:t>
      </w:r>
    </w:p>
    <w:p>
      <w:pPr>
        <w:pStyle w:val="ListBullet"/>
      </w:pPr>
      <w:r>
        <w:t>Know-how and guidance related to the effective delivery of MN Products and Services;</w:t>
      </w:r>
    </w:p>
    <w:p>
      <w:pPr>
        <w:pStyle w:val="ListBullet"/>
      </w:pPr>
      <w:r>
        <w:t>Marketing materials and trademark usage guidelines.</w:t>
      </w:r>
    </w:p>
    <w:p>
      <w:r>
        <w:rPr>
          <w:b/>
          <w:sz w:val="22"/>
        </w:rPr>
        <w:t>5.3 Product Updates</w:t>
      </w:r>
    </w:p>
    <w:p>
      <w:r>
        <w:t>MNI shall provide Practitioner Organization with updates and improvements to MN Products and Services as they become available.</w:t>
      </w:r>
    </w:p>
    <w:p>
      <w:r>
        <w:rPr>
          <w:b/>
          <w:sz w:val="22"/>
        </w:rPr>
        <w:t>5.4 Intellectual Property Ownership</w:t>
      </w:r>
    </w:p>
    <w:p>
      <w:r>
        <w:t>MNI warrants that it owns or is entitled to use all intellectual property which subsists in the MN Products and Services and that the delivery of MN Products and Services by Practitioner Organization to End-User Customers in accordance with this Agreement will not result in a breach of any rights of any third party.</w:t>
      </w:r>
    </w:p>
    <w:p/>
    <w:p>
      <w:r>
        <w:rPr>
          <w:b/>
          <w:sz w:val="24"/>
        </w:rPr>
        <w:t>6. INTELLECTUAL PROPERTY</w:t>
      </w:r>
    </w:p>
    <w:p>
      <w:r>
        <w:rPr>
          <w:b/>
          <w:sz w:val="22"/>
        </w:rPr>
        <w:t>6.1 MNI Ownership</w:t>
      </w:r>
    </w:p>
    <w:p>
      <w:r>
        <w:t>Practitioner Organization acknowledges and agrees that MNI is the sole and exclusive owner of all right, title, and interest in and to the MN Products and Services and all associated intellectual property, including all copyrights, trademarks, trade secrets, patents, and other intellectual property rights. No ownership rights are transferred to Practitioner Organization under this Agreement.</w:t>
      </w:r>
    </w:p>
    <w:p>
      <w:r>
        <w:rPr>
          <w:b/>
          <w:sz w:val="22"/>
        </w:rPr>
        <w:t>6.2 Limited Trademark License</w:t>
      </w:r>
    </w:p>
    <w:p>
      <w:r>
        <w:t>MNI grants to Practitioner Organization a limited, non-exclusive, non-transferable right to use MNI's trademarks solely in connection with the marketing and delivery of MN Products and Services purchased from MNI, in accordance with MNI's trademark usage guidelines.</w:t>
      </w:r>
    </w:p>
    <w:p>
      <w:r>
        <w:rPr>
          <w:b/>
          <w:sz w:val="22"/>
        </w:rPr>
        <w:t>6.3 No Rights to Modify</w:t>
      </w:r>
    </w:p>
    <w:p>
      <w:r>
        <w:t>Practitioner Organization shall have no right to modify, adapt, or create derivative works based on MN Products and Services. All improvements, modifications, or enhancements to MN Products and Services shall be the sole property of MNI.</w:t>
      </w:r>
    </w:p>
    <w:p/>
    <w:p>
      <w:r>
        <w:rPr>
          <w:b/>
          <w:sz w:val="24"/>
        </w:rPr>
        <w:t>7. CONFIDENTIALITY</w:t>
      </w:r>
    </w:p>
    <w:p>
      <w:r>
        <w:rPr>
          <w:b/>
          <w:sz w:val="22"/>
        </w:rPr>
        <w:t>7.1 Confidential Information</w:t>
      </w:r>
    </w:p>
    <w:p>
      <w:r>
        <w:t>Each party acknowledges that in the course of this relationship, it may have access to confidential information of the other party, including but not limited to business methods, pricing information, customer data, and proprietary methodologies. Each party agrees to maintain the confidentiality of such information and not to disclose it to any third party without the prior written consent of the other party.</w:t>
      </w:r>
    </w:p>
    <w:p>
      <w:r>
        <w:rPr>
          <w:b/>
          <w:sz w:val="22"/>
        </w:rPr>
        <w:t>7.2 MNI Confidential Information</w:t>
      </w:r>
    </w:p>
    <w:p>
      <w:r>
        <w:t>Practitioner Organization specifically acknowledges that the following constitute confidential information of MNI: The content, methodology, and structure of all MN Products and Services; Pricing information provided to Practitioner Organization; Training materials and know-how provided by MNI; Business strategies and methods of MNI.</w:t>
      </w:r>
    </w:p>
    <w:p>
      <w:r>
        <w:rPr>
          <w:b/>
          <w:sz w:val="22"/>
        </w:rPr>
        <w:t>7.3 Customer Data</w:t>
      </w:r>
    </w:p>
    <w:p>
      <w:r>
        <w:t>Customer contact information and personal data from End-User Customers within the Territory shall remain the property of Practitioner Organization and its customers. MNI shall not contact or market to Practitioner Organization's customers during the term of this Agreement, provided that all contractual obligations have been met by Practitioner Organization.</w:t>
      </w:r>
    </w:p>
    <w:p/>
    <w:p>
      <w:r>
        <w:rPr>
          <w:b/>
          <w:sz w:val="24"/>
        </w:rPr>
        <w:t>8. TERM AND TERMINATION</w:t>
      </w:r>
    </w:p>
    <w:p>
      <w:r>
        <w:rPr>
          <w:b/>
          <w:sz w:val="22"/>
        </w:rPr>
        <w:t>8.1 Initial Term</w:t>
      </w:r>
    </w:p>
    <w:p>
      <w:r>
        <w:t>This Agreement shall commence on the Effective Date set forth above and shall continue for an initial term of three (3) years ("Initial Term"), unless earlier terminated in accordance with the provisions of this Article.</w:t>
      </w:r>
    </w:p>
    <w:p>
      <w:r>
        <w:rPr>
          <w:b/>
          <w:sz w:val="22"/>
        </w:rPr>
        <w:t>8.2 Renewal</w:t>
      </w:r>
    </w:p>
    <w:p>
      <w:r>
        <w:t>Upon expiration of the Initial Term, this Agreement shall automatically renew for successive one (1) year terms unless either party provides written notice of non-renewal at least ninety (90) days prior to the expiration of the then-current term.</w:t>
      </w:r>
    </w:p>
    <w:p>
      <w:r>
        <w:rPr>
          <w:b/>
          <w:sz w:val="22"/>
        </w:rPr>
        <w:t>8.3 Termination for Cause</w:t>
      </w:r>
    </w:p>
    <w:p>
      <w:r>
        <w:t>Either party may terminate this Agreement immediately upon written notice to the other party if: The other party materially breaches any provision of this Agreement and fails to cure such breach within thirty (30) days after receiving written notice thereof; The other party becomes insolvent, files for bankruptcy, or makes an assignment for the benefit of creditors.</w:t>
      </w:r>
    </w:p>
    <w:p/>
    <w:p>
      <w:r>
        <w:rPr>
          <w:b/>
          <w:sz w:val="24"/>
        </w:rPr>
        <w:t>9. INDEMNIFICATION</w:t>
      </w:r>
    </w:p>
    <w:p>
      <w:r>
        <w:rPr>
          <w:b/>
          <w:sz w:val="22"/>
        </w:rPr>
        <w:t>9.1 Indemnification by Practitioner Organization</w:t>
      </w:r>
    </w:p>
    <w:p>
      <w:r>
        <w:t>Practitioner Organization agrees to defend, indemnify, and hold harmless MNI and its officers, directors, employees, and agents from and against any and all claims, damages, liabilities, costs, and expenses (including reasonable attorneys' fees) arising out of or relating to: Practitioner Organization's delivery of MN Products and Services to End-User Customers; Practitioner Organization's breach of this Agreement; Practitioner Organization's violation of any applicable law or regulation; Any unauthorized modification or use of MN Products and Services by Practitioner Organization.</w:t>
      </w:r>
    </w:p>
    <w:p>
      <w:r>
        <w:rPr>
          <w:b/>
          <w:sz w:val="22"/>
        </w:rPr>
        <w:t>9.2 Indemnification by MNI</w:t>
      </w:r>
    </w:p>
    <w:p>
      <w:r>
        <w:t>MNI agrees to defend, indemnify, and hold harmless Practitioner Organization and its officers, directors, employees, and agents from and against any and all claims, damages, liabilities, costs, and expenses (including reasonable attorneys' fees) arising out of or relating to any claim that the MN Products and Services, as provided by MNI and used in accordance with this Agreement, infringe any third party's intellectual property rights.</w:t>
      </w:r>
    </w:p>
    <w:p/>
    <w:p>
      <w:r>
        <w:rPr>
          <w:b/>
          <w:sz w:val="24"/>
        </w:rPr>
        <w:t>10. DISPUTE RESOLUTION</w:t>
      </w:r>
    </w:p>
    <w:p>
      <w:r>
        <w:rPr>
          <w:b/>
          <w:sz w:val="22"/>
        </w:rPr>
        <w:t>10.1 Good Faith Negotiations</w:t>
      </w:r>
    </w:p>
    <w:p>
      <w:r>
        <w:t>In the event of any dispute, controversy, or claim arising out of or relating to this Agreement ("Dispute"), the parties shall first attempt in good faith to resolve such Dispute through direct negotiations between senior executives of each party who have authority to settle the Dispute.</w:t>
      </w:r>
    </w:p>
    <w:p/>
    <w:p>
      <w:r>
        <w:rPr>
          <w:b/>
          <w:sz w:val="22"/>
        </w:rPr>
        <w:t>10.2 Mandatory Mediation</w:t>
      </w:r>
    </w:p>
    <w:p>
      <w:r>
        <w:t>If the parties are unable to resolve the Dispute through good faith negotiations within thirty (30) days after written notice of the Dispute is provided by one party to the other, the parties SHALL submit the Dispute to mediation before an experienced New Jersey State mediator mutually agreed upon by the parties. The mediation shall take place in Morris County, New Jersey. Each party shall bear its own costs of mediation, and the parties shall share equally the fees and expenses of the mediator.</w:t>
      </w:r>
    </w:p>
    <w:p/>
    <w:p>
      <w:r>
        <w:rPr>
          <w:b/>
          <w:sz w:val="22"/>
        </w:rPr>
        <w:t>10.3 Selection of Mediator/Arbitrator</w:t>
      </w:r>
    </w:p>
    <w:p>
      <w:r>
        <w:t>If the parties cannot agree on a mediator or arbitrator within ten (10) days of the dispute being referred to mediation or arbitration, either party may petition the Superior Court of New Jersey, Morris County, to appoint an experienced New Jersey State mediator or arbitrator. The parties may not avoid or delay the mediation or arbitration process. Failure to participate in scheduled mediation or arbitration proceedings shall constitute a material breach of this Agreement.</w:t>
      </w:r>
    </w:p>
    <w:p/>
    <w:p>
      <w:r>
        <w:rPr>
          <w:b/>
          <w:sz w:val="22"/>
        </w:rPr>
        <w:t>10.4 Binding Arbitration</w:t>
      </w:r>
    </w:p>
    <w:p>
      <w:r>
        <w:t>If the parties are unable to resolve the Dispute through mediation within sixty (60) days after the commencement of mediation, or if either party refuses to participate in mediation despite the mandatory requirements set forth herein, the Dispute shall be finally resolved by binding arbitration before an experienced New Jersey State arbitrator selected in accordance with Section 10.3 above. The arbitration shall take place in Morris County, New Jersey. The arbitrator shall issue a written decision within thirty (30) days of the conclusion of the arbitration hearing. The arbitrator's decision shall be final and binding upon the parties and may be entered as a judgment in any court of competent jurisdiction.</w:t>
      </w:r>
    </w:p>
    <w:p/>
    <w:p>
      <w:r>
        <w:rPr>
          <w:b/>
          <w:sz w:val="22"/>
        </w:rPr>
        <w:t>10.5 Costs and Fees</w:t>
      </w:r>
    </w:p>
    <w:p>
      <w:r>
        <w:t>Each party shall bear its own attorneys' fees and costs in connection with any Dispute resolution proceedings, unless the arbitrator or court determines that one party is the prevailing party, in which case the prevailing party shall be entitled to recover its reasonable attorneys' fees and costs from the non-prevailing party.</w:t>
      </w:r>
    </w:p>
    <w:p/>
    <w:p>
      <w:r>
        <w:rPr>
          <w:b/>
          <w:sz w:val="22"/>
        </w:rPr>
        <w:t>10.6 Injunctive Relief</w:t>
      </w:r>
    </w:p>
    <w:p>
      <w:r>
        <w:t>Notwithstanding the foregoing dispute resolution provisions, either party may seek injunctive or other equitable relief in any court of competent jurisdiction to prevent the unauthorized use or disclosure of its confidential information or intellectual property.</w:t>
      </w:r>
    </w:p>
    <w:p/>
    <w:p>
      <w:r>
        <w:rPr>
          <w:b/>
          <w:sz w:val="24"/>
        </w:rPr>
        <w:t>11. GOVERNING LAW AND JURISDICTION</w:t>
      </w:r>
    </w:p>
    <w:p>
      <w:r>
        <w:rPr>
          <w:b/>
          <w:sz w:val="22"/>
        </w:rPr>
        <w:t>11.1 Governing Law</w:t>
      </w:r>
    </w:p>
    <w:p>
      <w:r>
        <w:t>This Agreement and all issues concerning its breach, enforceability, validity, and binding effect shall be governed by and construed in accordance with the laws of the State of New Jersey, without giving effect to any choice of law or conflict of law provision.</w:t>
      </w:r>
    </w:p>
    <w:p>
      <w:r>
        <w:rPr>
          <w:b/>
          <w:sz w:val="22"/>
        </w:rPr>
        <w:t>11.2 Exclusive Jurisdiction</w:t>
      </w:r>
    </w:p>
    <w:p>
      <w:r>
        <w:t>Subject to the dispute resolution provisions in Article 10, the parties agree that any legal action or proceeding arising out of or relating to this Agreement shall be brought exclusively in the Superior Court of New Jersey, Morris County.</w:t>
      </w:r>
    </w:p>
    <w:p/>
    <w:p>
      <w:r>
        <w:rPr>
          <w:b/>
          <w:sz w:val="24"/>
        </w:rPr>
        <w:t>12. GENERAL PROVISIONS</w:t>
      </w:r>
    </w:p>
    <w:p>
      <w:r>
        <w:rPr>
          <w:b/>
          <w:sz w:val="22"/>
        </w:rPr>
        <w:t>12.1 Entire Agreement</w:t>
      </w:r>
    </w:p>
    <w:p>
      <w:r>
        <w:t>This Agreement, including Schedule C attached hereto, constitutes the entire agreement between the parties with respect to the subject matter hereof and supersedes all prior agreements, understandings, negotiations, and discussions.</w:t>
      </w:r>
    </w:p>
    <w:p>
      <w:r>
        <w:rPr>
          <w:b/>
          <w:sz w:val="22"/>
        </w:rPr>
        <w:t>12.2 Amendments</w:t>
      </w:r>
    </w:p>
    <w:p>
      <w:r>
        <w:t>This Agreement may only be amended or modified by a written instrument signed by duly authorized representatives of both parties.</w:t>
      </w:r>
    </w:p>
    <w:p>
      <w:r>
        <w:rPr>
          <w:b/>
          <w:sz w:val="22"/>
        </w:rPr>
        <w:t>12.3 Assignment</w:t>
      </w:r>
    </w:p>
    <w:p>
      <w:r>
        <w:t>Practitioner Organization shall not assign or transfer any of its rights or obligations under this Agreement without the prior written consent of MNI. MNI may assign this Agreement to any successor or affiliate without Practitioner Organization's consent.</w:t>
      </w:r>
    </w:p>
    <w:p>
      <w:r>
        <w:rPr>
          <w:b/>
          <w:sz w:val="22"/>
        </w:rPr>
        <w:t>12.4 Independent Contractors</w:t>
      </w:r>
    </w:p>
    <w:p>
      <w:r>
        <w:t>The parties are independent contractors. Nothing in this Agreement shall be construed to create a partnership, joint venture, agency, or employment relationship between the parties.</w:t>
      </w:r>
    </w:p>
    <w:p>
      <w:r>
        <w:rPr>
          <w:b/>
          <w:sz w:val="22"/>
        </w:rPr>
        <w:t>12.5 Counterparts</w:t>
      </w:r>
    </w:p>
    <w:p>
      <w:r>
        <w:t>This Agreement may be executed in one or more counterparts, each of which shall be deemed an original, and all of which shall constitute one and the same instrument.</w:t>
      </w:r>
    </w:p>
    <w:p/>
    <w:p/>
    <w:p>
      <w:r>
        <w:t>The remainder of this page is intentionally left blank.</w:t>
      </w:r>
    </w:p>
    <w:p/>
    <w:p>
      <w:r>
        <w:t>Signatures appear on the following page.</w:t>
      </w:r>
    </w:p>
    <w:p/>
    <w:p/>
    <w:p>
      <w:r>
        <w:rPr>
          <w:b/>
        </w:rPr>
        <w:t>IN WITNESS WHEREOF</w:t>
      </w:r>
    </w:p>
    <w:p>
      <w:r>
        <w:t>The parties have executed this Agreement as of the date first above written.</w:t>
      </w:r>
    </w:p>
    <w:p/>
    <w:p/>
    <w:p>
      <w:r>
        <w:t>MULTIPLE NATURES INTERNATIONAL, LLC</w:t>
      </w:r>
    </w:p>
    <w:p/>
    <w:p>
      <w:r>
        <w:t>By: _________________________________________________</w:t>
      </w:r>
    </w:p>
    <w:p>
      <w:r>
        <w:t>Steven Rudolph, Manager</w:t>
      </w:r>
    </w:p>
    <w:p>
      <w:r>
        <w:t>Date: _______________________________________________</w:t>
      </w:r>
    </w:p>
    <w:p/>
    <w:p/>
    <w:p>
      <w:r>
        <w:t>PRACTITIONER ORGANIZATION: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