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exclusive-books-distribution-agreement"/>
    <w:p>
      <w:pPr>
        <w:pStyle w:val="Heading1"/>
      </w:pPr>
      <w:r>
        <w:t xml:space="preserve">EXCLUSIVE BOOKS DISTRIBUTION AGREEMENT</w:t>
      </w:r>
    </w:p>
    <w:bookmarkStart w:id="9" w:name="Xc425996d92e1983628911b32085ea5f9e61b460"/>
    <w:p>
      <w:pPr>
        <w:pStyle w:val="Heading2"/>
      </w:pPr>
      <w:r>
        <w:t xml:space="preserve">Multiple Natures International, LLC and Sussman Education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April 24, 2026</w:t>
      </w:r>
      <w:r>
        <w:br/>
      </w:r>
      <w:r>
        <w:rPr>
          <w:b/>
          <w:bCs/>
        </w:rPr>
        <w:t xml:space="preserve">Effective</w:t>
      </w:r>
      <w:r>
        <w:t xml:space="preserve">: April 24, 2026</w:t>
      </w:r>
      <w:r>
        <w:br/>
      </w:r>
      <w:r>
        <w:rPr>
          <w:b/>
          <w:bCs/>
        </w:rPr>
        <w:t xml:space="preserve">Status</w:t>
      </w:r>
      <w:r>
        <w:t xml:space="preserve">: Draft for Legal Review &amp; Discussion</w:t>
      </w:r>
    </w:p>
    <w:p>
      <w:r>
        <w:pict>
          <v:rect style="width:0;height:1.5pt" o:hralign="center" o:hrstd="t" o:hr="t"/>
        </w:pict>
      </w:r>
    </w:p>
    <w:bookmarkEnd w:id="9"/>
    <w:bookmarkStart w:id="10" w:name="preamble"/>
    <w:p>
      <w:pPr>
        <w:pStyle w:val="Heading2"/>
      </w:pPr>
      <w:r>
        <w:t xml:space="preserve">PREAMBLE</w:t>
      </w:r>
    </w:p>
    <w:p>
      <w:pPr>
        <w:pStyle w:val="FirstParagraph"/>
      </w:pPr>
      <w:r>
        <w:t xml:space="preserve">This agreement grants Sussman Education exclusive distribution rights for three published books by Multiple Natures International, LLC in the New York City K-12 public school sector.</w:t>
      </w:r>
    </w:p>
    <w:p>
      <w:pPr>
        <w:pStyle w:val="BodyText"/>
      </w:pPr>
      <w:r>
        <w:t xml:space="preserve">Sussman’s primary value beyond sales is: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FAMIS Registration</w:t>
      </w:r>
      <w:r>
        <w:t xml:space="preserve"> </w:t>
      </w:r>
      <w:r>
        <w:t xml:space="preserve">— handling NYC DOE approval and FAMIS system listing for all titles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Curriculum Review Navigation</w:t>
      </w:r>
      <w:r>
        <w:t xml:space="preserve"> </w:t>
      </w:r>
      <w:r>
        <w:t xml:space="preserve">— managing school district adoption and vetting processes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Market Access</w:t>
      </w:r>
      <w:r>
        <w:t xml:space="preserve"> </w:t>
      </w:r>
      <w:r>
        <w:t xml:space="preserve">— direct relationships with NYC school administrators and procurement</w:t>
      </w:r>
    </w:p>
    <w:p>
      <w:pPr>
        <w:pStyle w:val="BodyText"/>
      </w:pPr>
      <w:r>
        <w:t xml:space="preserve">In exchange, Sussman receives:</w:t>
      </w:r>
      <w:r>
        <w:t xml:space="preserve"> </w:t>
      </w:r>
      <w:r>
        <w:t xml:space="preserve">1. Exclusive geographic and channel rights in NYC K-12 schools (3 years)</w:t>
      </w:r>
      <w:r>
        <w:t xml:space="preserve"> </w:t>
      </w:r>
      <w:r>
        <w:t xml:space="preserve">2. 40% wholesale discount on all titles</w:t>
      </w:r>
      <w:r>
        <w:t xml:space="preserve"> </w:t>
      </w:r>
      <w:r>
        <w:t xml:space="preserve">3. Performance-based renewal with automatic escalation if revenue targets are met</w:t>
      </w:r>
      <w:r>
        <w:t xml:space="preserve"> </w:t>
      </w:r>
      <w:r>
        <w:t xml:space="preserve">4. Right of first refusal on new MN-authored books and derivatives</w:t>
      </w:r>
    </w:p>
    <w:p>
      <w:r>
        <w:pict>
          <v:rect style="width:0;height:1.5pt" o:hralign="center" o:hrstd="t" o:hr="t"/>
        </w:pict>
      </w:r>
    </w:p>
    <w:bookmarkEnd w:id="10"/>
    <w:bookmarkStart w:id="15" w:name="titles-property"/>
    <w:p>
      <w:pPr>
        <w:pStyle w:val="Heading2"/>
      </w:pPr>
      <w:r>
        <w:t xml:space="preserve">1. TITLES &amp; PROPERTY</w:t>
      </w:r>
    </w:p>
    <w:bookmarkStart w:id="11" w:name="licensed-titles"/>
    <w:p>
      <w:pPr>
        <w:pStyle w:val="Heading3"/>
      </w:pPr>
      <w:r>
        <w:t xml:space="preserve">1.1 Licensed Titles</w:t>
      </w:r>
    </w:p>
    <w:p>
      <w:pPr>
        <w:pStyle w:val="FirstParagraph"/>
      </w:pPr>
      <w:r>
        <w:t xml:space="preserve">MNI grants Sussman the exclusive right to distribute, market, and sell the following published books (collectively, the</w:t>
      </w:r>
      <w:r>
        <w:t xml:space="preserve"> </w:t>
      </w:r>
      <w:r>
        <w:rPr>
          <w:b/>
          <w:bCs/>
        </w:rPr>
        <w:t xml:space="preserve">“Licensed Books”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“Property”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Natures: A Human Alignment Framework</w:t>
      </w:r>
    </w:p>
    <w:p>
      <w:pPr>
        <w:pStyle w:val="Compact"/>
        <w:numPr>
          <w:ilvl w:val="1"/>
          <w:numId w:val="1002"/>
        </w:numPr>
      </w:pPr>
      <w:r>
        <w:t xml:space="preserve">ISBN: [to be confirmed]</w:t>
      </w:r>
    </w:p>
    <w:p>
      <w:pPr>
        <w:pStyle w:val="Compact"/>
        <w:numPr>
          <w:ilvl w:val="1"/>
          <w:numId w:val="1002"/>
        </w:numPr>
      </w:pPr>
      <w:r>
        <w:t xml:space="preserve">Format: Hardcover, softcover, digital (if applicable)</w:t>
      </w:r>
    </w:p>
    <w:p>
      <w:pPr>
        <w:pStyle w:val="Compact"/>
        <w:numPr>
          <w:ilvl w:val="1"/>
          <w:numId w:val="1002"/>
        </w:numPr>
      </w:pPr>
      <w:r>
        <w:t xml:space="preserve">Publisher: Multiple Natures International, LLC</w:t>
      </w:r>
    </w:p>
    <w:p>
      <w:pPr>
        <w:pStyle w:val="Compact"/>
        <w:numPr>
          <w:ilvl w:val="1"/>
          <w:numId w:val="1002"/>
        </w:numPr>
      </w:pPr>
      <w:r>
        <w:t xml:space="preserve">Status: Available for distribution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Natures for Educators: Classroom Implementation Guide</w:t>
      </w:r>
    </w:p>
    <w:p>
      <w:pPr>
        <w:pStyle w:val="Compact"/>
        <w:numPr>
          <w:ilvl w:val="1"/>
          <w:numId w:val="1003"/>
        </w:numPr>
      </w:pPr>
      <w:r>
        <w:t xml:space="preserve">ISBN: [to be confirmed]</w:t>
      </w:r>
    </w:p>
    <w:p>
      <w:pPr>
        <w:pStyle w:val="Compact"/>
        <w:numPr>
          <w:ilvl w:val="1"/>
          <w:numId w:val="1003"/>
        </w:numPr>
      </w:pPr>
      <w:r>
        <w:t xml:space="preserve">Format: Hardcover, softcover, digital (if applicable)</w:t>
      </w:r>
    </w:p>
    <w:p>
      <w:pPr>
        <w:pStyle w:val="Compact"/>
        <w:numPr>
          <w:ilvl w:val="1"/>
          <w:numId w:val="1003"/>
        </w:numPr>
      </w:pPr>
      <w:r>
        <w:t xml:space="preserve">Publisher: Multiple Natures International, LLC</w:t>
      </w:r>
    </w:p>
    <w:p>
      <w:pPr>
        <w:pStyle w:val="Compact"/>
        <w:numPr>
          <w:ilvl w:val="1"/>
          <w:numId w:val="1003"/>
        </w:numPr>
      </w:pPr>
      <w:r>
        <w:t xml:space="preserve">Status: Available for distribution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Natures for School Counselors: Career Alignment &amp; Personal Development</w:t>
      </w:r>
    </w:p>
    <w:p>
      <w:pPr>
        <w:pStyle w:val="Compact"/>
        <w:numPr>
          <w:ilvl w:val="1"/>
          <w:numId w:val="1004"/>
        </w:numPr>
      </w:pPr>
      <w:r>
        <w:t xml:space="preserve">ISBN: [to be confirmed]</w:t>
      </w:r>
    </w:p>
    <w:p>
      <w:pPr>
        <w:pStyle w:val="Compact"/>
        <w:numPr>
          <w:ilvl w:val="1"/>
          <w:numId w:val="1004"/>
        </w:numPr>
      </w:pPr>
      <w:r>
        <w:t xml:space="preserve">Format: Hardcover, softcover, digital (if applicable)</w:t>
      </w:r>
    </w:p>
    <w:p>
      <w:pPr>
        <w:pStyle w:val="Compact"/>
        <w:numPr>
          <w:ilvl w:val="1"/>
          <w:numId w:val="1004"/>
        </w:numPr>
      </w:pPr>
      <w:r>
        <w:t xml:space="preserve">Publisher: Multiple Natures International, LLC</w:t>
      </w:r>
    </w:p>
    <w:p>
      <w:pPr>
        <w:pStyle w:val="Compact"/>
        <w:numPr>
          <w:ilvl w:val="1"/>
          <w:numId w:val="1004"/>
        </w:numPr>
      </w:pPr>
      <w:r>
        <w:t xml:space="preserve">Status: Available for distribution</w:t>
      </w:r>
    </w:p>
    <w:bookmarkEnd w:id="11"/>
    <w:bookmarkStart w:id="12" w:name="new-books-right-of-first-refusal"/>
    <w:p>
      <w:pPr>
        <w:pStyle w:val="Heading3"/>
      </w:pPr>
      <w:r>
        <w:t xml:space="preserve">1.2 New Books &amp; Right of First Refusal</w:t>
      </w:r>
    </w:p>
    <w:p>
      <w:pPr>
        <w:pStyle w:val="FirstParagraph"/>
      </w:pPr>
      <w:r>
        <w:t xml:space="preserve">If MNI publishes new titles authored by MNI staff or based substantially on the Multiple Natures framework during the term of this agreement:</w:t>
      </w:r>
    </w:p>
    <w:p>
      <w:pPr>
        <w:pStyle w:val="Compact"/>
        <w:numPr>
          <w:ilvl w:val="0"/>
          <w:numId w:val="1005"/>
        </w:numPr>
      </w:pPr>
      <w:r>
        <w:t xml:space="preserve">MNI must notify Sussman in writing within 30 days of publication decision</w:t>
      </w:r>
    </w:p>
    <w:p>
      <w:pPr>
        <w:pStyle w:val="Compact"/>
        <w:numPr>
          <w:ilvl w:val="0"/>
          <w:numId w:val="1005"/>
        </w:numPr>
      </w:pPr>
      <w:r>
        <w:t xml:space="preserve">Sussman has</w:t>
      </w:r>
      <w:r>
        <w:t xml:space="preserve"> </w:t>
      </w:r>
      <w:r>
        <w:rPr>
          <w:b/>
          <w:bCs/>
        </w:rPr>
        <w:t xml:space="preserve">15 business days</w:t>
      </w:r>
      <w:r>
        <w:t xml:space="preserve"> </w:t>
      </w:r>
      <w:r>
        <w:t xml:space="preserve">to notify MNI of intent to carry the new title under this agreement (same terms: 40% discount, exclusivity, minimum commitments)</w:t>
      </w:r>
    </w:p>
    <w:p>
      <w:pPr>
        <w:pStyle w:val="Compact"/>
        <w:numPr>
          <w:ilvl w:val="0"/>
          <w:numId w:val="1005"/>
        </w:numPr>
      </w:pPr>
      <w:r>
        <w:t xml:space="preserve">If Sussman declines or does not respond within 15 days, MNI may license the new title to other distributors</w:t>
      </w:r>
    </w:p>
    <w:bookmarkEnd w:id="12"/>
    <w:bookmarkStart w:id="13" w:name="derivative-works-ancillary-materials"/>
    <w:p>
      <w:pPr>
        <w:pStyle w:val="Heading3"/>
      </w:pPr>
      <w:r>
        <w:t xml:space="preserve">1.3 Derivative Works &amp; Ancillary Materials</w:t>
      </w:r>
    </w:p>
    <w:p>
      <w:pPr>
        <w:pStyle w:val="FirstParagraph"/>
      </w:pPr>
      <w:r>
        <w:rPr>
          <w:b/>
          <w:bCs/>
        </w:rPr>
        <w:t xml:space="preserve">Derivatives Created by MNI</w:t>
      </w:r>
      <w:r>
        <w:t xml:space="preserve"> </w:t>
      </w:r>
      <w:r>
        <w:t xml:space="preserve">(study guides, teacher workbooks, assessment materials):</w:t>
      </w:r>
      <w:r>
        <w:t xml:space="preserve"> </w:t>
      </w:r>
      <w:r>
        <w:t xml:space="preserve">- MNI retains all rights</w:t>
      </w:r>
      <w:r>
        <w:t xml:space="preserve"> </w:t>
      </w:r>
      <w:r>
        <w:t xml:space="preserve">- Offered to Sussman under the same 40% discount and exclusivity terms</w:t>
      </w:r>
      <w:r>
        <w:t xml:space="preserve"> </w:t>
      </w:r>
      <w:r>
        <w:t xml:space="preserve">- Sussman must commit to carry them or indicate non-interest within 15 days</w:t>
      </w:r>
    </w:p>
    <w:p>
      <w:pPr>
        <w:pStyle w:val="BodyText"/>
      </w:pPr>
      <w:r>
        <w:rPr>
          <w:b/>
          <w:bCs/>
        </w:rPr>
        <w:t xml:space="preserve">Derivatives Created by Sussman</w:t>
      </w:r>
      <w:r>
        <w:t xml:space="preserve"> </w:t>
      </w:r>
      <w:r>
        <w:t xml:space="preserve">(study guides, classroom activity sets, assessment workbooks based on Licensed Books):</w:t>
      </w:r>
      <w:r>
        <w:t xml:space="preserve"> </w:t>
      </w:r>
      <w:r>
        <w:t xml:space="preserve">- Sussman may create with</w:t>
      </w:r>
      <w:r>
        <w:t xml:space="preserve"> </w:t>
      </w:r>
      <w:r>
        <w:rPr>
          <w:b/>
          <w:bCs/>
        </w:rPr>
        <w:t xml:space="preserve">prior written approval</w:t>
      </w:r>
      <w:r>
        <w:t xml:space="preserve"> </w:t>
      </w:r>
      <w:r>
        <w:t xml:space="preserve">from MNI (approval not to be unreasonably withheld)</w:t>
      </w:r>
      <w:r>
        <w:t xml:space="preserve"> </w:t>
      </w:r>
      <w:r>
        <w:t xml:space="preserve">- Sussman retains ownership of the derivative work</w:t>
      </w:r>
      <w:r>
        <w:t xml:space="preserve"> </w:t>
      </w:r>
      <w:r>
        <w:t xml:space="preserve">- MNI retains right to reference/showcase the derivative in marketing</w:t>
      </w:r>
      <w:r>
        <w:t xml:space="preserve"> </w:t>
      </w:r>
      <w:r>
        <w:t xml:space="preserve">- If derivative is district-specific, no royalty to MNI; if marketed broadly, MNI retains option to acquire (first refusal at cost-plus-20%)</w:t>
      </w:r>
    </w:p>
    <w:bookmarkEnd w:id="13"/>
    <w:bookmarkStart w:id="14" w:name="territory-exclusivity"/>
    <w:p>
      <w:pPr>
        <w:pStyle w:val="Heading3"/>
      </w:pPr>
      <w:r>
        <w:t xml:space="preserve">1.4 Territory &amp; Exclusivity</w:t>
      </w:r>
    </w:p>
    <w:p>
      <w:pPr>
        <w:pStyle w:val="FirstParagraph"/>
      </w:pPr>
      <w:r>
        <w:rPr>
          <w:b/>
          <w:bCs/>
        </w:rPr>
        <w:t xml:space="preserve">Geographic Territory</w:t>
      </w:r>
      <w:r>
        <w:t xml:space="preserve">: New York City public K-12 schools (five boroughs)</w:t>
      </w:r>
    </w:p>
    <w:p>
      <w:pPr>
        <w:pStyle w:val="BodyText"/>
      </w:pPr>
      <w:r>
        <w:rPr>
          <w:b/>
          <w:bCs/>
        </w:rPr>
        <w:t xml:space="preserve">Channel Exclusivity</w:t>
      </w:r>
      <w:r>
        <w:t xml:space="preserve">:</w:t>
      </w:r>
      <w:r>
        <w:t xml:space="preserve"> </w:t>
      </w:r>
      <w:r>
        <w:t xml:space="preserve">- Exclusive for K-12 school adoption and classroom use</w:t>
      </w:r>
      <w:r>
        <w:t xml:space="preserve"> </w:t>
      </w:r>
      <w:r>
        <w:t xml:space="preserve">- Non-exclusive for: direct-to-parent sales, adult education, corporate/professional development, homeschool, international sales</w:t>
      </w:r>
    </w:p>
    <w:p>
      <w:pPr>
        <w:pStyle w:val="BodyText"/>
      </w:pPr>
      <w:r>
        <w:rPr>
          <w:b/>
          <w:bCs/>
        </w:rPr>
        <w:t xml:space="preserve">Expansion Rights</w:t>
      </w:r>
      <w:r>
        <w:t xml:space="preserve">:</w:t>
      </w:r>
      <w:r>
        <w:t xml:space="preserve"> </w:t>
      </w:r>
      <w:r>
        <w:t xml:space="preserve">- Sussman may expand to</w:t>
      </w:r>
      <w:r>
        <w:t xml:space="preserve"> </w:t>
      </w:r>
      <w:r>
        <w:rPr>
          <w:b/>
          <w:bCs/>
        </w:rPr>
        <w:t xml:space="preserve">adjacent territories</w:t>
      </w:r>
      <w:r>
        <w:t xml:space="preserve"> </w:t>
      </w:r>
      <w:r>
        <w:t xml:space="preserve">(New Jersey, Connecticut, Greater Boston) with</w:t>
      </w:r>
      <w:r>
        <w:t xml:space="preserve"> </w:t>
      </w:r>
      <w:r>
        <w:rPr>
          <w:b/>
          <w:bCs/>
        </w:rPr>
        <w:t xml:space="preserve">30-day written notice</w:t>
      </w:r>
      <w:r>
        <w:t xml:space="preserve"> </w:t>
      </w:r>
      <w:r>
        <w:t xml:space="preserve">to MNI</w:t>
      </w:r>
      <w:r>
        <w:t xml:space="preserve"> </w:t>
      </w:r>
      <w:r>
        <w:t xml:space="preserve">- Expansion territories maintain exclusive status (Sussman is sole distributor)</w:t>
      </w:r>
      <w:r>
        <w:t xml:space="preserve"> </w:t>
      </w:r>
      <w:r>
        <w:t xml:space="preserve">- If expanding beyond adjacent territories (e.g., national distribution), Sussman must renegotiate terms or lose NYC exclusivity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pricing-discount"/>
    <w:p>
      <w:pPr>
        <w:pStyle w:val="Heading2"/>
      </w:pPr>
      <w:r>
        <w:t xml:space="preserve">2. PRICING &amp; DISCOUNT</w:t>
      </w:r>
    </w:p>
    <w:bookmarkStart w:id="16" w:name="wholesale-discount"/>
    <w:p>
      <w:pPr>
        <w:pStyle w:val="Heading3"/>
      </w:pPr>
      <w:r>
        <w:t xml:space="preserve">2.1 Wholesale Discount</w:t>
      </w:r>
    </w:p>
    <w:p>
      <w:pPr>
        <w:pStyle w:val="FirstParagraph"/>
      </w:pPr>
      <w:r>
        <w:t xml:space="preserve">MNI offers Sussman a</w:t>
      </w:r>
      <w:r>
        <w:t xml:space="preserve"> </w:t>
      </w:r>
      <w:r>
        <w:rPr>
          <w:b/>
          <w:bCs/>
        </w:rPr>
        <w:t xml:space="preserve">40% wholesale discount</w:t>
      </w:r>
      <w:r>
        <w:t xml:space="preserve"> </w:t>
      </w:r>
      <w:r>
        <w:t xml:space="preserve">off the list price of all Licensed Books.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t xml:space="preserve">- Licensed Book retail price: $25.00</w:t>
      </w:r>
      <w:r>
        <w:t xml:space="preserve"> </w:t>
      </w:r>
      <w:r>
        <w:t xml:space="preserve">- Wholesale price to Sussman: $15.00 (60% of retail)</w:t>
      </w:r>
      <w:r>
        <w:t xml:space="preserve"> </w:t>
      </w:r>
      <w:r>
        <w:t xml:space="preserve">- Sussman may set any retail price they choose</w:t>
      </w:r>
    </w:p>
    <w:bookmarkEnd w:id="16"/>
    <w:bookmarkStart w:id="17" w:name="print-on-demand-ordering"/>
    <w:p>
      <w:pPr>
        <w:pStyle w:val="Heading3"/>
      </w:pPr>
      <w:r>
        <w:t xml:space="preserve">2.2 Print-on-Demand Ordering</w:t>
      </w:r>
    </w:p>
    <w:p>
      <w:pPr>
        <w:pStyle w:val="FirstParagraph"/>
      </w:pPr>
      <w:r>
        <w:t xml:space="preserve">MNI will print Licensed Books via</w:t>
      </w:r>
      <w:r>
        <w:t xml:space="preserve"> </w:t>
      </w:r>
      <w:r>
        <w:rPr>
          <w:b/>
          <w:bCs/>
        </w:rPr>
        <w:t xml:space="preserve">Lulu.com</w:t>
      </w:r>
      <w:r>
        <w:t xml:space="preserve"> </w:t>
      </w:r>
      <w:r>
        <w:t xml:space="preserve">(print-on-demand platform).</w:t>
      </w:r>
    </w:p>
    <w:p>
      <w:pPr>
        <w:pStyle w:val="BodyText"/>
      </w:pPr>
      <w:r>
        <w:rPr>
          <w:b/>
          <w:bCs/>
        </w:rPr>
        <w:t xml:space="preserve">Ordering process</w:t>
      </w:r>
      <w:r>
        <w:t xml:space="preserve">:</w:t>
      </w:r>
      <w:r>
        <w:t xml:space="preserve"> </w:t>
      </w:r>
      <w:r>
        <w:t xml:space="preserve">1. Sussman orders directly from Lulu as a reseller (Sussman must register for Lulu reseller account)</w:t>
      </w:r>
      <w:r>
        <w:t xml:space="preserve"> </w:t>
      </w:r>
      <w:r>
        <w:t xml:space="preserve">2. Lulu applies the 40% wholesale discount to orders</w:t>
      </w:r>
      <w:r>
        <w:t xml:space="preserve"> </w:t>
      </w:r>
      <w:r>
        <w:t xml:space="preserve">3. MNI will coordinate reseller account setup with Lulu if needed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minimum order quantities</w:t>
      </w:r>
      <w:r>
        <w:t xml:space="preserve"> </w:t>
      </w:r>
      <w:r>
        <w:t xml:space="preserve">— Sussman may order 1 or 100 units per title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Lead times</w:t>
      </w:r>
      <w:r>
        <w:t xml:space="preserve">: Lulu standard lead time is 1–2 weeks; Sussman should order 3–4 weeks before anticipated school adoption/usage</w:t>
      </w:r>
    </w:p>
    <w:bookmarkEnd w:id="17"/>
    <w:bookmarkStart w:id="18" w:name="inventory-returns"/>
    <w:p>
      <w:pPr>
        <w:pStyle w:val="Heading3"/>
      </w:pPr>
      <w:r>
        <w:t xml:space="preserve">2.3 Inventory &amp; Returns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Inventory risk</w:t>
      </w:r>
      <w:r>
        <w:t xml:space="preserve">: Sussman holds all inventory risk (standard for resellers)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Returns</w:t>
      </w:r>
      <w:r>
        <w:t xml:space="preserve">: Lulu and MNI do not accept returns on print-on-demand orders (standing policy)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Defects</w:t>
      </w:r>
      <w:r>
        <w:t xml:space="preserve">: If Sussman receives damaged/defective copies from Lulu, Sussman should work directly with Lulu for replacement (covered under Lulu’s quality guarantee, not MNI)</w:t>
      </w:r>
    </w:p>
    <w:bookmarkEnd w:id="18"/>
    <w:bookmarkStart w:id="19" w:name="payment-terms"/>
    <w:p>
      <w:pPr>
        <w:pStyle w:val="Heading3"/>
      </w:pPr>
      <w:r>
        <w:t xml:space="preserve">2.4 Payment Terms</w:t>
      </w:r>
    </w:p>
    <w:p>
      <w:pPr>
        <w:pStyle w:val="Compact"/>
        <w:numPr>
          <w:ilvl w:val="0"/>
          <w:numId w:val="1007"/>
        </w:numPr>
      </w:pPr>
      <w:r>
        <w:t xml:space="preserve">Sussman pays Lulu directly for each order</w:t>
      </w:r>
    </w:p>
    <w:p>
      <w:pPr>
        <w:pStyle w:val="Compact"/>
        <w:numPr>
          <w:ilvl w:val="0"/>
          <w:numId w:val="1007"/>
        </w:numPr>
      </w:pPr>
      <w:r>
        <w:t xml:space="preserve">No invoicing between MNI and Sussman for book sales (direct POD model)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Reporting obligation</w:t>
      </w:r>
      <w:r>
        <w:t xml:space="preserve">: Sussman must provide MNI with quarterly sales reports showing units sold by title (see Section 3.2)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minimum-sales-commitments-performance"/>
    <w:p>
      <w:pPr>
        <w:pStyle w:val="Heading2"/>
      </w:pPr>
      <w:r>
        <w:t xml:space="preserve">3. MINIMUM SALES COMMITMENTS &amp; PERFORMANCE</w:t>
      </w:r>
    </w:p>
    <w:bookmarkStart w:id="21" w:name="tiered-annual-minimum-commitments"/>
    <w:p>
      <w:pPr>
        <w:pStyle w:val="Heading3"/>
      </w:pPr>
      <w:r>
        <w:t xml:space="preserve">3.1 Tiered Annual Minimum Commitments</w:t>
      </w:r>
    </w:p>
    <w:p>
      <w:pPr>
        <w:pStyle w:val="FirstParagraph"/>
      </w:pPr>
      <w:r>
        <w:t xml:space="preserve">Sussman must achieve the following</w:t>
      </w:r>
      <w:r>
        <w:t xml:space="preserve"> </w:t>
      </w:r>
      <w:r>
        <w:rPr>
          <w:b/>
          <w:bCs/>
        </w:rPr>
        <w:t xml:space="preserve">annual net revenue</w:t>
      </w:r>
      <w:r>
        <w:t xml:space="preserve"> </w:t>
      </w:r>
      <w:r>
        <w:t xml:space="preserve">commitments (revenue from actual book sales, not inventory purchases):</w:t>
      </w:r>
    </w:p>
    <w:p>
      <w:pPr>
        <w:pStyle w:val="BodyText"/>
      </w:pPr>
      <w:r>
        <w:rPr>
          <w:b/>
          <w:bCs/>
        </w:rPr>
        <w:t xml:space="preserve">Year 1 (April 2026 – March 2027)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$30,000</w:t>
      </w:r>
      <w:r>
        <w:t xml:space="preserve"> </w:t>
      </w:r>
      <w:r>
        <w:t xml:space="preserve">annual minimum</w:t>
      </w:r>
      <w:r>
        <w:t xml:space="preserve"> </w:t>
      </w:r>
      <w:r>
        <w:t xml:space="preserve">- Quarterly targets: $7,500 per quarter</w:t>
      </w:r>
    </w:p>
    <w:p>
      <w:pPr>
        <w:pStyle w:val="BodyText"/>
      </w:pPr>
      <w:r>
        <w:rPr>
          <w:b/>
          <w:bCs/>
        </w:rPr>
        <w:t xml:space="preserve">Year 2 (April 2027 – March 2028)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$50,000</w:t>
      </w:r>
      <w:r>
        <w:t xml:space="preserve"> </w:t>
      </w:r>
      <w:r>
        <w:t xml:space="preserve">annual minimum</w:t>
      </w:r>
      <w:r>
        <w:t xml:space="preserve"> </w:t>
      </w:r>
      <w:r>
        <w:t xml:space="preserve">- Quarterly targets: $12,500 per quarter</w:t>
      </w:r>
    </w:p>
    <w:p>
      <w:pPr>
        <w:pStyle w:val="BodyText"/>
      </w:pPr>
      <w:r>
        <w:rPr>
          <w:b/>
          <w:bCs/>
        </w:rPr>
        <w:t xml:space="preserve">Year 3 (April 2028 – March 2029)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$75,000</w:t>
      </w:r>
      <w:r>
        <w:t xml:space="preserve"> </w:t>
      </w:r>
      <w:r>
        <w:t xml:space="preserve">annual minimum</w:t>
      </w:r>
      <w:r>
        <w:t xml:space="preserve"> </w:t>
      </w:r>
      <w:r>
        <w:t xml:space="preserve">- Quarterly targets: $18,750 per quarter</w:t>
      </w:r>
    </w:p>
    <w:bookmarkEnd w:id="21"/>
    <w:bookmarkStart w:id="22" w:name="sales-reporting-verification"/>
    <w:p>
      <w:pPr>
        <w:pStyle w:val="Heading3"/>
      </w:pPr>
      <w:r>
        <w:t xml:space="preserve">3.2 Sales Reporting &amp; Verification</w:t>
      </w:r>
    </w:p>
    <w:p>
      <w:pPr>
        <w:pStyle w:val="FirstParagraph"/>
      </w:pPr>
      <w:r>
        <w:t xml:space="preserve">Sussman must provide MNI with</w:t>
      </w:r>
      <w:r>
        <w:t xml:space="preserve"> </w:t>
      </w:r>
      <w:r>
        <w:rPr>
          <w:b/>
          <w:bCs/>
        </w:rPr>
        <w:t xml:space="preserve">quarterly sales reports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15 days</w:t>
      </w:r>
      <w:r>
        <w:t xml:space="preserve"> </w:t>
      </w:r>
      <w:r>
        <w:t xml:space="preserve">of each quarter end:</w:t>
      </w:r>
    </w:p>
    <w:p>
      <w:pPr>
        <w:pStyle w:val="Compact"/>
        <w:numPr>
          <w:ilvl w:val="0"/>
          <w:numId w:val="1008"/>
        </w:numPr>
      </w:pPr>
      <w:r>
        <w:t xml:space="preserve">Units sold by title</w:t>
      </w:r>
    </w:p>
    <w:p>
      <w:pPr>
        <w:pStyle w:val="Compact"/>
        <w:numPr>
          <w:ilvl w:val="0"/>
          <w:numId w:val="1008"/>
        </w:numPr>
      </w:pPr>
      <w:r>
        <w:t xml:space="preserve">Net revenue by title</w:t>
      </w:r>
    </w:p>
    <w:p>
      <w:pPr>
        <w:pStyle w:val="Compact"/>
        <w:numPr>
          <w:ilvl w:val="0"/>
          <w:numId w:val="1008"/>
        </w:numPr>
      </w:pPr>
      <w:r>
        <w:t xml:space="preserve">Cumulative revenue (year-to-date)</w:t>
      </w:r>
    </w:p>
    <w:p>
      <w:pPr>
        <w:pStyle w:val="Compact"/>
        <w:numPr>
          <w:ilvl w:val="0"/>
          <w:numId w:val="1008"/>
        </w:numPr>
      </w:pPr>
      <w:r>
        <w:t xml:space="preserve">Marketing activities / school adoption status</w:t>
      </w:r>
    </w:p>
    <w:p>
      <w:pPr>
        <w:pStyle w:val="Compact"/>
        <w:numPr>
          <w:ilvl w:val="0"/>
          <w:numId w:val="1008"/>
        </w:numPr>
      </w:pPr>
      <w:r>
        <w:t xml:space="preserve">Forecast for next quarter</w:t>
      </w:r>
    </w:p>
    <w:p>
      <w:pPr>
        <w:pStyle w:val="FirstParagraph"/>
      </w:pPr>
      <w:r>
        <w:rPr>
          <w:b/>
          <w:bCs/>
        </w:rPr>
        <w:t xml:space="preserve">Reporting deadline</w:t>
      </w:r>
      <w:r>
        <w:t xml:space="preserve">: 15 days after end of each quarter (July 15, October 15, January 15, April 15)</w:t>
      </w:r>
    </w:p>
    <w:bookmarkEnd w:id="22"/>
    <w:bookmarkStart w:id="23" w:name="performance-triggers-cure-rights"/>
    <w:p>
      <w:pPr>
        <w:pStyle w:val="Heading3"/>
      </w:pPr>
      <w:r>
        <w:t xml:space="preserve">3.3 Performance Triggers &amp; Cure Rights</w:t>
      </w:r>
    </w:p>
    <w:p>
      <w:pPr>
        <w:pStyle w:val="FirstParagraph"/>
      </w:pPr>
      <w:r>
        <w:rPr>
          <w:b/>
          <w:bCs/>
        </w:rPr>
        <w:t xml:space="preserve">If Sussman misses quarterly minimum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 miss</w:t>
      </w:r>
      <w:r>
        <w:t xml:space="preserve">: MNI sends written notice; Sussman has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to explain shortfall or commit to catch-up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Second consecutive miss</w:t>
      </w:r>
      <w:r>
        <w:t xml:space="preserve">: MNI may issue notice of exclusivity suspension pending cure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Third consecutive miss</w:t>
      </w:r>
      <w:r>
        <w:t xml:space="preserve"> </w:t>
      </w:r>
      <w:r>
        <w:t xml:space="preserve">(two quarters below target in same contract year): MNI may terminate exclusivity and convert to non-exclusive distribution (Section 5.2)</w:t>
      </w:r>
    </w:p>
    <w:p>
      <w:pPr>
        <w:pStyle w:val="FirstParagraph"/>
      </w:pPr>
      <w:r>
        <w:rPr>
          <w:b/>
          <w:bCs/>
        </w:rPr>
        <w:t xml:space="preserve">Cure mechanisms</w:t>
      </w:r>
      <w:r>
        <w:t xml:space="preserve">:</w:t>
      </w:r>
      <w:r>
        <w:t xml:space="preserve"> </w:t>
      </w:r>
      <w:r>
        <w:t xml:space="preserve">- Sussman may propose alternative targets (e.g., schools are moving slower than expected) with supporting documentation</w:t>
      </w:r>
      <w:r>
        <w:t xml:space="preserve"> </w:t>
      </w:r>
      <w:r>
        <w:t xml:space="preserve">- If approved by MNI, adjusted targets apply for remainder of that quarter/year</w:t>
      </w:r>
      <w:r>
        <w:t xml:space="preserve"> </w:t>
      </w:r>
      <w:r>
        <w:t xml:space="preserve">- No more than</w:t>
      </w:r>
      <w:r>
        <w:t xml:space="preserve"> </w:t>
      </w:r>
      <w:r>
        <w:rPr>
          <w:b/>
          <w:bCs/>
        </w:rPr>
        <w:t xml:space="preserve">one adjustment per contract year</w:t>
      </w:r>
    </w:p>
    <w:bookmarkEnd w:id="23"/>
    <w:bookmarkStart w:id="24" w:name="year-end-true-up"/>
    <w:p>
      <w:pPr>
        <w:pStyle w:val="Heading3"/>
      </w:pPr>
      <w:r>
        <w:t xml:space="preserve">3.4 Year-End True-Up</w:t>
      </w:r>
    </w:p>
    <w:p>
      <w:pPr>
        <w:pStyle w:val="FirstParagraph"/>
      </w:pPr>
      <w:r>
        <w:t xml:space="preserve">If annual revenue falls</w:t>
      </w:r>
      <w:r>
        <w:t xml:space="preserve"> </w:t>
      </w:r>
      <w:r>
        <w:rPr>
          <w:b/>
          <w:bCs/>
        </w:rPr>
        <w:t xml:space="preserve">$5,000 or more</w:t>
      </w:r>
      <w:r>
        <w:t xml:space="preserve"> </w:t>
      </w:r>
      <w:r>
        <w:t xml:space="preserve">below the target, MNI may:</w:t>
      </w:r>
      <w:r>
        <w:t xml:space="preserve"> </w:t>
      </w:r>
      <w:r>
        <w:t xml:space="preserve">- Require a written action plan for Year 2 to reach targets</w:t>
      </w:r>
      <w:r>
        <w:t xml:space="preserve"> </w:t>
      </w:r>
      <w:r>
        <w:t xml:space="preserve">- Reduce discount by 2–5% (if performance deteriorates further)</w:t>
      </w:r>
      <w:r>
        <w:t xml:space="preserve"> </w:t>
      </w:r>
      <w:r>
        <w:t xml:space="preserve">- Exercise termination right (Section 5.2) if trend continues into Year 2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famis-registration-school-approval"/>
    <w:p>
      <w:pPr>
        <w:pStyle w:val="Heading2"/>
      </w:pPr>
      <w:r>
        <w:t xml:space="preserve">4. FAMIS REGISTRATION &amp; SCHOOL APPROVAL</w:t>
      </w:r>
    </w:p>
    <w:bookmarkStart w:id="26" w:name="sussmans-famis-responsibility"/>
    <w:p>
      <w:pPr>
        <w:pStyle w:val="Heading3"/>
      </w:pPr>
      <w:r>
        <w:t xml:space="preserve">4.1 Sussman’s FAMIS Responsibility</w:t>
      </w:r>
    </w:p>
    <w:p>
      <w:pPr>
        <w:pStyle w:val="FirstParagraph"/>
      </w:pPr>
      <w:r>
        <w:t xml:space="preserve">Sussman agrees to take primary responsibility for: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FAMIS System Registration</w:t>
      </w:r>
      <w:r>
        <w:t xml:space="preserve">: Registering all Licensed Books in the NYC DOE FAMIS purchasing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Vendor Status</w:t>
      </w:r>
      <w:r>
        <w:t xml:space="preserve">: Maintaining Sussman’s status as an approved vendor in FAMIS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Curriculum Review Support</w:t>
      </w:r>
      <w:r>
        <w:t xml:space="preserve">: Supporting school district curriculum committees with information about the Licensed Books for adoption review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Documentation</w:t>
      </w:r>
      <w:r>
        <w:t xml:space="preserve">: Providing schools with:</w:t>
      </w:r>
    </w:p>
    <w:p>
      <w:pPr>
        <w:pStyle w:val="Compact"/>
        <w:numPr>
          <w:ilvl w:val="1"/>
          <w:numId w:val="1011"/>
        </w:numPr>
      </w:pPr>
      <w:r>
        <w:t xml:space="preserve">Curriculum alignment documents</w:t>
      </w:r>
    </w:p>
    <w:p>
      <w:pPr>
        <w:pStyle w:val="Compact"/>
        <w:numPr>
          <w:ilvl w:val="1"/>
          <w:numId w:val="1011"/>
        </w:numPr>
      </w:pPr>
      <w:r>
        <w:t xml:space="preserve">Sample chapters or excerpts</w:t>
      </w:r>
    </w:p>
    <w:p>
      <w:pPr>
        <w:pStyle w:val="Compact"/>
        <w:numPr>
          <w:ilvl w:val="1"/>
          <w:numId w:val="1011"/>
        </w:numPr>
      </w:pPr>
      <w:r>
        <w:t xml:space="preserve">Teacher/counselor implementation guides</w:t>
      </w:r>
    </w:p>
    <w:p>
      <w:pPr>
        <w:pStyle w:val="Compact"/>
        <w:numPr>
          <w:ilvl w:val="1"/>
          <w:numId w:val="1011"/>
        </w:numPr>
      </w:pPr>
      <w:r>
        <w:t xml:space="preserve">Pricing and bulk order information</w:t>
      </w:r>
    </w:p>
    <w:bookmarkEnd w:id="26"/>
    <w:bookmarkStart w:id="27" w:name="mnis-support"/>
    <w:p>
      <w:pPr>
        <w:pStyle w:val="Heading3"/>
      </w:pPr>
      <w:r>
        <w:t xml:space="preserve">4.2 MNI’s Support</w:t>
      </w:r>
    </w:p>
    <w:p>
      <w:pPr>
        <w:pStyle w:val="FirstParagraph"/>
      </w:pPr>
      <w:r>
        <w:t xml:space="preserve">MNI will provide Sussman with:</w:t>
      </w:r>
      <w:r>
        <w:t xml:space="preserve"> </w:t>
      </w:r>
      <w:r>
        <w:t xml:space="preserve">- Ready-to-share curriculum materials</w:t>
      </w:r>
      <w:r>
        <w:t xml:space="preserve"> </w:t>
      </w:r>
      <w:r>
        <w:t xml:space="preserve">- Author availability for occasional school presentations or professional development (2–3 events per year, MNI covering travel costs if within NYC/NJ area)</w:t>
      </w:r>
      <w:r>
        <w:t xml:space="preserve"> </w:t>
      </w:r>
      <w:r>
        <w:t xml:space="preserve">- Marketing materials for school adoption campaigns</w:t>
      </w:r>
      <w:r>
        <w:t xml:space="preserve"> </w:t>
      </w:r>
      <w:r>
        <w:t xml:space="preserve">- Any third-party reviews or endorsements</w:t>
      </w:r>
    </w:p>
    <w:bookmarkEnd w:id="27"/>
    <w:bookmarkStart w:id="28" w:name="school-approval-timeline"/>
    <w:p>
      <w:pPr>
        <w:pStyle w:val="Heading3"/>
      </w:pPr>
      <w:r>
        <w:t xml:space="preserve">4.3 School Approval Timeline</w:t>
      </w:r>
    </w:p>
    <w:p>
      <w:pPr>
        <w:pStyle w:val="FirstParagraph"/>
      </w:pPr>
      <w:r>
        <w:t xml:space="preserve">Schools typically require</w:t>
      </w:r>
      <w:r>
        <w:t xml:space="preserve"> </w:t>
      </w:r>
      <w:r>
        <w:rPr>
          <w:b/>
          <w:bCs/>
        </w:rPr>
        <w:t xml:space="preserve">60–120 days</w:t>
      </w:r>
      <w:r>
        <w:t xml:space="preserve"> </w:t>
      </w:r>
      <w:r>
        <w:t xml:space="preserve">for curriculum review and adoption approval. This is</w:t>
      </w:r>
      <w:r>
        <w:t xml:space="preserve"> </w:t>
      </w:r>
      <w:r>
        <w:rPr>
          <w:b/>
          <w:bCs/>
        </w:rPr>
        <w:t xml:space="preserve">not MNI’s gate</w:t>
      </w:r>
      <w:r>
        <w:t xml:space="preserve">; it is the school district’s process.</w:t>
      </w:r>
    </w:p>
    <w:p>
      <w:pPr>
        <w:pStyle w:val="BodyText"/>
      </w:pPr>
      <w:r>
        <w:t xml:space="preserve">Sussman must:</w:t>
      </w:r>
      <w:r>
        <w:t xml:space="preserve"> </w:t>
      </w:r>
      <w:r>
        <w:t xml:space="preserve">- Initiate school outreach and curriculum review requests</w:t>
      </w:r>
      <w:r>
        <w:t xml:space="preserve"> </w:t>
      </w:r>
      <w:r>
        <w:t xml:space="preserve">- Track adoption timeline with schools</w:t>
      </w:r>
      <w:r>
        <w:t xml:space="preserve"> </w:t>
      </w:r>
      <w:r>
        <w:t xml:space="preserve">- Report progress to MNI quarterly (Section 3.2)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term-renewal-termination"/>
    <w:p>
      <w:pPr>
        <w:pStyle w:val="Heading2"/>
      </w:pPr>
      <w:r>
        <w:t xml:space="preserve">5. TERM, RENEWAL &amp; TERMINATION</w:t>
      </w:r>
    </w:p>
    <w:bookmarkStart w:id="30" w:name="initial-term"/>
    <w:p>
      <w:pPr>
        <w:pStyle w:val="Heading3"/>
      </w:pPr>
      <w:r>
        <w:t xml:space="preserve">5.1 Initial Term</w:t>
      </w:r>
    </w:p>
    <w:p>
      <w:pPr>
        <w:pStyle w:val="FirstParagraph"/>
      </w:pPr>
      <w:r>
        <w:rPr>
          <w:b/>
          <w:bCs/>
        </w:rPr>
        <w:t xml:space="preserve">Duration</w:t>
      </w:r>
      <w:r>
        <w:t xml:space="preserve">: 3 years from execution of this agreement (April 24, 2026 – April 24, 2029)</w:t>
      </w:r>
    </w:p>
    <w:bookmarkEnd w:id="30"/>
    <w:bookmarkStart w:id="31" w:name="automatic-renewal"/>
    <w:p>
      <w:pPr>
        <w:pStyle w:val="Heading3"/>
      </w:pPr>
      <w:r>
        <w:t xml:space="preserve">5.2 Automatic Renewal</w:t>
      </w:r>
    </w:p>
    <w:p>
      <w:pPr>
        <w:pStyle w:val="FirstParagraph"/>
      </w:pPr>
      <w:r>
        <w:t xml:space="preserve">This agreement automatically renews for successive</w:t>
      </w:r>
      <w:r>
        <w:t xml:space="preserve"> </w:t>
      </w:r>
      <w:r>
        <w:rPr>
          <w:b/>
          <w:bCs/>
        </w:rPr>
        <w:t xml:space="preserve">1-year periods</w:t>
      </w:r>
      <w:r>
        <w:t xml:space="preserve"> </w:t>
      </w:r>
      <w:r>
        <w:t xml:space="preserve">unless either party provides</w:t>
      </w:r>
      <w:r>
        <w:t xml:space="preserve"> </w:t>
      </w:r>
      <w:r>
        <w:rPr>
          <w:b/>
          <w:bCs/>
        </w:rPr>
        <w:t xml:space="preserve">90-day written notice</w:t>
      </w:r>
      <w:r>
        <w:t xml:space="preserve"> </w:t>
      </w:r>
      <w:r>
        <w:t xml:space="preserve">of non-renewal.</w:t>
      </w:r>
    </w:p>
    <w:p>
      <w:pPr>
        <w:pStyle w:val="BodyText"/>
      </w:pPr>
      <w:r>
        <w:rPr>
          <w:b/>
          <w:bCs/>
        </w:rPr>
        <w:t xml:space="preserve">Exception</w:t>
      </w:r>
      <w:r>
        <w:t xml:space="preserve">: If exclusivity has been suspended or terminated under Section 3.3, renewal is</w:t>
      </w:r>
      <w:r>
        <w:t xml:space="preserve"> </w:t>
      </w:r>
      <w:r>
        <w:rPr>
          <w:b/>
          <w:bCs/>
        </w:rPr>
        <w:t xml:space="preserve">not automatic</w:t>
      </w:r>
      <w:r>
        <w:t xml:space="preserve"> </w:t>
      </w:r>
      <w:r>
        <w:t xml:space="preserve">and must be renegotiated.</w:t>
      </w:r>
    </w:p>
    <w:bookmarkEnd w:id="31"/>
    <w:bookmarkStart w:id="32" w:name="performance-based-renewal-escalation"/>
    <w:p>
      <w:pPr>
        <w:pStyle w:val="Heading3"/>
      </w:pPr>
      <w:r>
        <w:t xml:space="preserve">5.3 Performance-Based Renewal Escalation</w:t>
      </w:r>
    </w:p>
    <w:p>
      <w:pPr>
        <w:pStyle w:val="FirstParagraph"/>
      </w:pPr>
      <w:r>
        <w:rPr>
          <w:b/>
          <w:bCs/>
        </w:rPr>
        <w:t xml:space="preserve">If Sussman achieves or exceeds all annual targets in Years 1–2</w:t>
      </w:r>
      <w:r>
        <w:t xml:space="preserve">:</w:t>
      </w:r>
      <w:r>
        <w:t xml:space="preserve"> </w:t>
      </w:r>
      <w:r>
        <w:t xml:space="preserve">- Term automatically extends to</w:t>
      </w:r>
      <w:r>
        <w:t xml:space="preserve"> </w:t>
      </w:r>
      <w:r>
        <w:rPr>
          <w:b/>
          <w:bCs/>
        </w:rPr>
        <w:t xml:space="preserve">5 years</w:t>
      </w:r>
      <w:r>
        <w:t xml:space="preserve"> </w:t>
      </w:r>
      <w:r>
        <w:t xml:space="preserve">(April 24, 2029 – April 24, 2031)</w:t>
      </w:r>
      <w:r>
        <w:t xml:space="preserve"> </w:t>
      </w:r>
      <w:r>
        <w:t xml:space="preserve">- Discount remains 40%</w:t>
      </w:r>
      <w:r>
        <w:t xml:space="preserve"> </w:t>
      </w:r>
      <w:r>
        <w:t xml:space="preserve">- Minimum commitments increase by 5% annually (Year 3 becomes $79K, Year 4 $83K, etc.)</w:t>
      </w:r>
    </w:p>
    <w:p>
      <w:pPr>
        <w:pStyle w:val="BodyText"/>
      </w:pPr>
      <w:r>
        <w:rPr>
          <w:b/>
          <w:bCs/>
        </w:rPr>
        <w:t xml:space="preserve">If Sussman falls short in Year 2</w:t>
      </w:r>
      <w:r>
        <w:t xml:space="preserve">:</w:t>
      </w:r>
      <w:r>
        <w:t xml:space="preserve"> </w:t>
      </w:r>
      <w:r>
        <w:t xml:space="preserve">- Renewal is month-to-month at MNI’s option</w:t>
      </w:r>
      <w:r>
        <w:t xml:space="preserve"> </w:t>
      </w:r>
      <w:r>
        <w:t xml:space="preserve">- Discount may be reduced to 35% for year 3 renewal</w:t>
      </w:r>
      <w:r>
        <w:t xml:space="preserve"> </w:t>
      </w:r>
      <w:r>
        <w:t xml:space="preserve">- Minimum commitments may be reduced or renegotiated</w:t>
      </w:r>
    </w:p>
    <w:bookmarkEnd w:id="32"/>
    <w:bookmarkStart w:id="33" w:name="termination-for-cause"/>
    <w:p>
      <w:pPr>
        <w:pStyle w:val="Heading3"/>
      </w:pPr>
      <w:r>
        <w:t xml:space="preserve">5.4 Termination for Cause</w:t>
      </w:r>
    </w:p>
    <w:p>
      <w:pPr>
        <w:pStyle w:val="FirstParagraph"/>
      </w:pPr>
      <w:r>
        <w:t xml:space="preserve">Either party may terminate this agreement immediately if: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Material breach</w:t>
      </w:r>
      <w:r>
        <w:t xml:space="preserve">: The other party materially breaches this agreement and fails to cure within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written notice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Approved vendor status loss</w:t>
      </w:r>
      <w:r>
        <w:t xml:space="preserve">: If Sussman loses approved vendor status with NYC DOE FAMIS without reasonable cause, MNI may terminate (Note: MNI will work with Sussman to restore status before exercising termination)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Insolvency</w:t>
      </w:r>
      <w:r>
        <w:t xml:space="preserve">: If either party becomes insolvent or files for bankruptcy</w:t>
      </w:r>
    </w:p>
    <w:bookmarkEnd w:id="33"/>
    <w:bookmarkStart w:id="34" w:name="X830ca1b0a4bdba755cd788c36cfd89dfeb78ba5"/>
    <w:p>
      <w:pPr>
        <w:pStyle w:val="Heading3"/>
      </w:pPr>
      <w:r>
        <w:t xml:space="preserve">5.5 Termination for Convenience (Non-Exclusive Only)</w:t>
      </w:r>
    </w:p>
    <w:p>
      <w:pPr>
        <w:pStyle w:val="FirstParagraph"/>
      </w:pPr>
      <w:r>
        <w:t xml:space="preserve">If exclusivity has been suspended or converted to non-exclusive (Section 3.3), either party may terminate with</w:t>
      </w:r>
      <w:r>
        <w:t xml:space="preserve"> </w:t>
      </w:r>
      <w:r>
        <w:rPr>
          <w:b/>
          <w:bCs/>
        </w:rPr>
        <w:t xml:space="preserve">60-day written notice</w:t>
      </w:r>
      <w:r>
        <w:t xml:space="preserve">.</w:t>
      </w:r>
    </w:p>
    <w:bookmarkEnd w:id="34"/>
    <w:bookmarkStart w:id="35" w:name="wind-down-period"/>
    <w:p>
      <w:pPr>
        <w:pStyle w:val="Heading3"/>
      </w:pPr>
      <w:r>
        <w:t xml:space="preserve">5.6 Wind-Down Period</w:t>
      </w:r>
    </w:p>
    <w:p>
      <w:pPr>
        <w:pStyle w:val="FirstParagraph"/>
      </w:pPr>
      <w:r>
        <w:t xml:space="preserve">Upon termination or non-renewal: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60-day wind-down period</w:t>
      </w:r>
      <w:r>
        <w:t xml:space="preserve"> </w:t>
      </w:r>
      <w:r>
        <w:t xml:space="preserve">begins</w:t>
      </w:r>
    </w:p>
    <w:p>
      <w:pPr>
        <w:pStyle w:val="Compact"/>
        <w:numPr>
          <w:ilvl w:val="0"/>
          <w:numId w:val="1013"/>
        </w:numPr>
      </w:pPr>
      <w:r>
        <w:t xml:space="preserve">Sussman may complete existing school orders and sales through the wind-down period</w:t>
      </w:r>
    </w:p>
    <w:p>
      <w:pPr>
        <w:pStyle w:val="Compact"/>
        <w:numPr>
          <w:ilvl w:val="0"/>
          <w:numId w:val="1013"/>
        </w:numPr>
      </w:pPr>
      <w:r>
        <w:t xml:space="preserve">Sussman loses all rights to use MNI trademarks, materials, and brand assets after wind-down period</w:t>
      </w:r>
    </w:p>
    <w:p>
      <w:pPr>
        <w:pStyle w:val="Compact"/>
        <w:numPr>
          <w:ilvl w:val="0"/>
          <w:numId w:val="1013"/>
        </w:numPr>
      </w:pPr>
      <w:r>
        <w:t xml:space="preserve">Sussman must return or destroy all branded marketing materials</w:t>
      </w:r>
    </w:p>
    <w:p>
      <w:pPr>
        <w:pStyle w:val="Compact"/>
        <w:numPr>
          <w:ilvl w:val="0"/>
          <w:numId w:val="1013"/>
        </w:numPr>
      </w:pPr>
      <w:r>
        <w:t xml:space="preserve">MNI may license the titles to other distributors effective immediately upon termination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intellectual-property-branding"/>
    <w:p>
      <w:pPr>
        <w:pStyle w:val="Heading2"/>
      </w:pPr>
      <w:r>
        <w:t xml:space="preserve">6. INTELLECTUAL PROPERTY &amp; BRANDING</w:t>
      </w:r>
    </w:p>
    <w:bookmarkStart w:id="37" w:name="mni-ownership"/>
    <w:p>
      <w:pPr>
        <w:pStyle w:val="Heading3"/>
      </w:pPr>
      <w:r>
        <w:t xml:space="preserve">6.1 MNI Ownership</w:t>
      </w:r>
    </w:p>
    <w:p>
      <w:pPr>
        <w:pStyle w:val="FirstParagraph"/>
      </w:pPr>
      <w:r>
        <w:t xml:space="preserve">MNI retains all rights, title, and interest in:</w:t>
      </w:r>
      <w:r>
        <w:t xml:space="preserve"> </w:t>
      </w:r>
      <w:r>
        <w:t xml:space="preserve">- The Licensed Books (text, design, cover, layout)</w:t>
      </w:r>
      <w:r>
        <w:t xml:space="preserve"> </w:t>
      </w:r>
      <w:r>
        <w:t xml:space="preserve">- The Multiple Natures trademark, logo, and brand identity</w:t>
      </w:r>
      <w:r>
        <w:t xml:space="preserve"> </w:t>
      </w:r>
      <w:r>
        <w:t xml:space="preserve">- All marketing materials, images, and educational content</w:t>
      </w:r>
    </w:p>
    <w:bookmarkEnd w:id="37"/>
    <w:bookmarkStart w:id="38" w:name="sussmans-usage-rights"/>
    <w:p>
      <w:pPr>
        <w:pStyle w:val="Heading3"/>
      </w:pPr>
      <w:r>
        <w:t xml:space="preserve">6.2 Sussman’s Usage Rights</w:t>
      </w:r>
    </w:p>
    <w:p>
      <w:pPr>
        <w:pStyle w:val="FirstParagraph"/>
      </w:pPr>
      <w:r>
        <w:t xml:space="preserve">Sussman may:</w:t>
      </w:r>
      <w:r>
        <w:t xml:space="preserve"> </w:t>
      </w:r>
      <w:r>
        <w:t xml:space="preserve">- Display MNI logo and book covers in marketing materials (school flyers, websites, catalogs)</w:t>
      </w:r>
      <w:r>
        <w:t xml:space="preserve"> </w:t>
      </w:r>
      <w:r>
        <w:t xml:space="preserve">- Use excerpt language and descriptions from MNI-provided materials</w:t>
      </w:r>
      <w:r>
        <w:t xml:space="preserve"> </w:t>
      </w:r>
      <w:r>
        <w:t xml:space="preserve">- Reference Multiple Natures framework when promoting the Licensed Books</w:t>
      </w:r>
    </w:p>
    <w:p>
      <w:pPr>
        <w:pStyle w:val="BodyText"/>
      </w:pPr>
      <w:r>
        <w:t xml:space="preserve">Sussman may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Modify the book covers or jacket design</w:t>
      </w:r>
      <w:r>
        <w:t xml:space="preserve"> </w:t>
      </w:r>
      <w:r>
        <w:t xml:space="preserve">- Use the MN logo or trademark for non-book products without written approval</w:t>
      </w:r>
      <w:r>
        <w:t xml:space="preserve"> </w:t>
      </w:r>
      <w:r>
        <w:t xml:space="preserve">- Claim authorship or co-authorship of the Licensed Books</w:t>
      </w:r>
      <w:r>
        <w:t xml:space="preserve"> </w:t>
      </w:r>
      <w:r>
        <w:t xml:space="preserve">- Create marketing materials that misrepresent the content or curriculum alignment</w:t>
      </w:r>
    </w:p>
    <w:bookmarkEnd w:id="38"/>
    <w:bookmarkStart w:id="39" w:name="quality-assurance"/>
    <w:p>
      <w:pPr>
        <w:pStyle w:val="Heading3"/>
      </w:pPr>
      <w:r>
        <w:t xml:space="preserve">6.3 Quality Assurance</w:t>
      </w:r>
    </w:p>
    <w:p>
      <w:pPr>
        <w:pStyle w:val="FirstParagraph"/>
      </w:pPr>
      <w:r>
        <w:t xml:space="preserve">MNI retains the right to review Sussman’s marketing materials and request revisions if they:</w:t>
      </w:r>
      <w:r>
        <w:t xml:space="preserve"> </w:t>
      </w:r>
      <w:r>
        <w:t xml:space="preserve">- Misrepresent the books’ content</w:t>
      </w:r>
      <w:r>
        <w:t xml:space="preserve"> </w:t>
      </w:r>
      <w:r>
        <w:t xml:space="preserve">- Violate MNI’s branding guidelines</w:t>
      </w:r>
      <w:r>
        <w:t xml:space="preserve"> </w:t>
      </w:r>
      <w:r>
        <w:t xml:space="preserve">- Include false curriculum alignment claims</w:t>
      </w:r>
    </w:p>
    <w:p>
      <w:pPr>
        <w:pStyle w:val="BodyText"/>
      </w:pPr>
      <w:r>
        <w:t xml:space="preserve">MNI will provide written feedback within</w:t>
      </w:r>
      <w:r>
        <w:t xml:space="preserve"> </w:t>
      </w:r>
      <w:r>
        <w:rPr>
          <w:b/>
          <w:bCs/>
        </w:rPr>
        <w:t xml:space="preserve">10 business days</w:t>
      </w:r>
      <w:r>
        <w:t xml:space="preserve"> </w:t>
      </w:r>
      <w:r>
        <w:t xml:space="preserve">of receiving materials for review.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warranties-compliance"/>
    <w:p>
      <w:pPr>
        <w:pStyle w:val="Heading2"/>
      </w:pPr>
      <w:r>
        <w:t xml:space="preserve">7. WARRANTIES &amp; COMPLIANCE</w:t>
      </w:r>
    </w:p>
    <w:bookmarkStart w:id="41" w:name="mni-warranties"/>
    <w:p>
      <w:pPr>
        <w:pStyle w:val="Heading3"/>
      </w:pPr>
      <w:r>
        <w:t xml:space="preserve">7.1 MNI Warranties</w:t>
      </w:r>
    </w:p>
    <w:p>
      <w:pPr>
        <w:pStyle w:val="FirstParagraph"/>
      </w:pPr>
      <w:r>
        <w:t xml:space="preserve">MNI warrants that:</w:t>
      </w:r>
      <w:r>
        <w:t xml:space="preserve"> </w:t>
      </w:r>
      <w:r>
        <w:t xml:space="preserve">- It owns or controls all rights to the Licensed Books</w:t>
      </w:r>
      <w:r>
        <w:t xml:space="preserve"> </w:t>
      </w:r>
      <w:r>
        <w:t xml:space="preserve">- The books do not infringe any third-party intellectual property rights</w:t>
      </w:r>
      <w:r>
        <w:t xml:space="preserve"> </w:t>
      </w:r>
      <w:r>
        <w:t xml:space="preserve">- MNI has the authority to grant the rights herein</w:t>
      </w:r>
    </w:p>
    <w:bookmarkEnd w:id="41"/>
    <w:bookmarkStart w:id="42" w:name="sussman-warranties"/>
    <w:p>
      <w:pPr>
        <w:pStyle w:val="Heading3"/>
      </w:pPr>
      <w:r>
        <w:t xml:space="preserve">7.2 Sussman Warranties</w:t>
      </w:r>
    </w:p>
    <w:p>
      <w:pPr>
        <w:pStyle w:val="FirstParagraph"/>
      </w:pPr>
      <w:r>
        <w:t xml:space="preserve">Sussman warrants that:</w:t>
      </w:r>
      <w:r>
        <w:t xml:space="preserve"> </w:t>
      </w:r>
      <w:r>
        <w:t xml:space="preserve">- It has the authority to enter into this agreement</w:t>
      </w:r>
      <w:r>
        <w:t xml:space="preserve"> </w:t>
      </w:r>
      <w:r>
        <w:t xml:space="preserve">- It is a legitimate educational distributor with school relationships</w:t>
      </w:r>
      <w:r>
        <w:t xml:space="preserve"> </w:t>
      </w:r>
      <w:r>
        <w:t xml:space="preserve">- It will comply with all NYC DOE vendor and FAMIS regulations</w:t>
      </w:r>
      <w:r>
        <w:t xml:space="preserve"> </w:t>
      </w:r>
      <w:r>
        <w:t xml:space="preserve">- It will not misrepresent curriculum alignment or educational claims</w:t>
      </w:r>
    </w:p>
    <w:bookmarkEnd w:id="42"/>
    <w:bookmarkStart w:id="43" w:name="curriculum-compliance"/>
    <w:p>
      <w:pPr>
        <w:pStyle w:val="Heading3"/>
      </w:pPr>
      <w:r>
        <w:t xml:space="preserve">7.3 Curriculum Compliance</w:t>
      </w:r>
    </w:p>
    <w:p>
      <w:pPr>
        <w:pStyle w:val="FirstParagraph"/>
      </w:pPr>
      <w:r>
        <w:t xml:space="preserve">Sussman acknowledges that:</w:t>
      </w:r>
      <w:r>
        <w:t xml:space="preserve"> </w:t>
      </w:r>
      <w:r>
        <w:t xml:space="preserve">- NYC schools conduct independent curriculum review</w:t>
      </w:r>
      <w:r>
        <w:t xml:space="preserve"> </w:t>
      </w:r>
      <w:r>
        <w:t xml:space="preserve">- MNI does not represent that the Licensed Books align with any specific state/local standards</w:t>
      </w:r>
      <w:r>
        <w:t xml:space="preserve"> </w:t>
      </w:r>
      <w:r>
        <w:t xml:space="preserve">- Schools must independently verify alignment with their curriculum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confidentiality"/>
    <w:p>
      <w:pPr>
        <w:pStyle w:val="Heading2"/>
      </w:pPr>
      <w:r>
        <w:t xml:space="preserve">8. CONFIDENTIALITY</w:t>
      </w:r>
    </w:p>
    <w:bookmarkStart w:id="45" w:name="confidential-information"/>
    <w:p>
      <w:pPr>
        <w:pStyle w:val="Heading3"/>
      </w:pPr>
      <w:r>
        <w:t xml:space="preserve">8.1 Confidential Information</w:t>
      </w:r>
    </w:p>
    <w:p>
      <w:pPr>
        <w:pStyle w:val="FirstParagraph"/>
      </w:pPr>
      <w:r>
        <w:t xml:space="preserve">The wholesale pricing ($15/book, the 40% discount structure) is confidential and may not be disclosed to schools, competitors, or other parties.</w:t>
      </w:r>
    </w:p>
    <w:bookmarkEnd w:id="45"/>
    <w:bookmarkStart w:id="46" w:name="permitted-disclosures"/>
    <w:p>
      <w:pPr>
        <w:pStyle w:val="Heading3"/>
      </w:pPr>
      <w:r>
        <w:t xml:space="preserve">8.2 Permitted Disclosures</w:t>
      </w:r>
    </w:p>
    <w:p>
      <w:pPr>
        <w:pStyle w:val="FirstParagraph"/>
      </w:pPr>
      <w:r>
        <w:t xml:space="preserve">Sussman may disclose:</w:t>
      </w:r>
      <w:r>
        <w:t xml:space="preserve"> </w:t>
      </w:r>
      <w:r>
        <w:t xml:space="preserve">- Retail pricing to schools</w:t>
      </w:r>
      <w:r>
        <w:t xml:space="preserve"> </w:t>
      </w:r>
      <w:r>
        <w:t xml:space="preserve">- Book content and curriculum materials</w:t>
      </w:r>
      <w:r>
        <w:t xml:space="preserve"> </w:t>
      </w:r>
      <w:r>
        <w:t xml:space="preserve">- Author information and credentials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indemnification"/>
    <w:p>
      <w:pPr>
        <w:pStyle w:val="Heading2"/>
      </w:pPr>
      <w:r>
        <w:t xml:space="preserve">9. INDEMNIFICATION</w:t>
      </w:r>
    </w:p>
    <w:bookmarkStart w:id="48" w:name="mni-indemnification"/>
    <w:p>
      <w:pPr>
        <w:pStyle w:val="Heading3"/>
      </w:pPr>
      <w:r>
        <w:t xml:space="preserve">9.1 MNI Indemnification</w:t>
      </w:r>
    </w:p>
    <w:p>
      <w:pPr>
        <w:pStyle w:val="FirstParagraph"/>
      </w:pPr>
      <w:r>
        <w:t xml:space="preserve">MNI indemnifies Sussman against claims that the Licensed Books infringe third-party intellectual property rights.</w:t>
      </w:r>
    </w:p>
    <w:bookmarkEnd w:id="48"/>
    <w:bookmarkStart w:id="49" w:name="sussman-indemnification"/>
    <w:p>
      <w:pPr>
        <w:pStyle w:val="Heading3"/>
      </w:pPr>
      <w:r>
        <w:t xml:space="preserve">9.2 Sussman Indemnification</w:t>
      </w:r>
    </w:p>
    <w:p>
      <w:pPr>
        <w:pStyle w:val="FirstParagraph"/>
      </w:pPr>
      <w:r>
        <w:t xml:space="preserve">Sussman indemnifies MNI against claims arising from:</w:t>
      </w:r>
      <w:r>
        <w:t xml:space="preserve"> </w:t>
      </w:r>
      <w:r>
        <w:t xml:space="preserve">- Misrepresentation of the books’ educational alignment</w:t>
      </w:r>
      <w:r>
        <w:t xml:space="preserve"> </w:t>
      </w:r>
      <w:r>
        <w:t xml:space="preserve">- Violation of NYC DOE regulations or FAMIS policies</w:t>
      </w:r>
      <w:r>
        <w:t xml:space="preserve"> </w:t>
      </w:r>
      <w:r>
        <w:t xml:space="preserve">- Breach of school district agreements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rmination-survival"/>
    <w:p>
      <w:pPr>
        <w:pStyle w:val="Heading2"/>
      </w:pPr>
      <w:r>
        <w:t xml:space="preserve">10. TERMINATION &amp; SURVIVAL</w:t>
      </w:r>
    </w:p>
    <w:bookmarkStart w:id="51" w:name="survival"/>
    <w:p>
      <w:pPr>
        <w:pStyle w:val="Heading3"/>
      </w:pPr>
      <w:r>
        <w:t xml:space="preserve">10.1 Survival</w:t>
      </w:r>
    </w:p>
    <w:p>
      <w:pPr>
        <w:pStyle w:val="FirstParagraph"/>
      </w:pPr>
      <w:r>
        <w:t xml:space="preserve">The following sections survive termination or expiration:</w:t>
      </w:r>
      <w:r>
        <w:t xml:space="preserve"> </w:t>
      </w:r>
      <w:r>
        <w:t xml:space="preserve">- Section 6 (Intellectual Property)</w:t>
      </w:r>
      <w:r>
        <w:t xml:space="preserve"> </w:t>
      </w:r>
      <w:r>
        <w:t xml:space="preserve">- Section 8 (Confidentiality)</w:t>
      </w:r>
      <w:r>
        <w:t xml:space="preserve"> </w:t>
      </w:r>
      <w:r>
        <w:t xml:space="preserve">- Section 9 (Indemnification)</w:t>
      </w:r>
      <w:r>
        <w:t xml:space="preserve"> </w:t>
      </w:r>
      <w:r>
        <w:t xml:space="preserve">- Section 11 (General)</w:t>
      </w:r>
    </w:p>
    <w:bookmarkEnd w:id="51"/>
    <w:bookmarkStart w:id="52" w:name="post-termination-obligations"/>
    <w:p>
      <w:pPr>
        <w:pStyle w:val="Heading3"/>
      </w:pPr>
      <w:r>
        <w:t xml:space="preserve">10.2 Post-Termination Obligations</w:t>
      </w:r>
    </w:p>
    <w:p>
      <w:pPr>
        <w:pStyle w:val="FirstParagraph"/>
      </w:pPr>
      <w:r>
        <w:t xml:space="preserve">After termination:</w:t>
      </w:r>
      <w:r>
        <w:t xml:space="preserve"> </w:t>
      </w:r>
      <w:r>
        <w:t xml:space="preserve">- Sussman may not use MNI brand assets or trademarks</w:t>
      </w:r>
      <w:r>
        <w:t xml:space="preserve"> </w:t>
      </w:r>
      <w:r>
        <w:t xml:space="preserve">- Sussman may not claim ongoing affiliation with MNI</w:t>
      </w:r>
      <w:r>
        <w:t xml:space="preserve"> </w:t>
      </w:r>
      <w:r>
        <w:t xml:space="preserve">- All unsold inventory may be liquidated at Sussman’s cost (no return to MNI)</w:t>
      </w:r>
      <w:r>
        <w:t xml:space="preserve"> </w:t>
      </w:r>
      <w:r>
        <w:t xml:space="preserve">- Sussman must provide final sales report and confirm destruction of marketing materials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general"/>
    <w:p>
      <w:pPr>
        <w:pStyle w:val="Heading2"/>
      </w:pPr>
      <w:r>
        <w:t xml:space="preserve">11. GENERAL</w:t>
      </w:r>
    </w:p>
    <w:bookmarkStart w:id="54" w:name="entire-agreement"/>
    <w:p>
      <w:pPr>
        <w:pStyle w:val="Heading3"/>
      </w:pPr>
      <w:r>
        <w:t xml:space="preserve">11.1 Entire Agreement</w:t>
      </w:r>
    </w:p>
    <w:p>
      <w:pPr>
        <w:pStyle w:val="FirstParagraph"/>
      </w:pPr>
      <w:r>
        <w:t xml:space="preserve">This agreement constitutes the entire agreement between the parties regarding the subject matter and supersedes all prior agreements, discussions, and representations.</w:t>
      </w:r>
    </w:p>
    <w:bookmarkEnd w:id="54"/>
    <w:bookmarkStart w:id="55" w:name="amendments"/>
    <w:p>
      <w:pPr>
        <w:pStyle w:val="Heading3"/>
      </w:pPr>
      <w:r>
        <w:t xml:space="preserve">11.2 Amendments</w:t>
      </w:r>
    </w:p>
    <w:p>
      <w:pPr>
        <w:pStyle w:val="FirstParagraph"/>
      </w:pPr>
      <w:r>
        <w:t xml:space="preserve">This agreement may only be amended in writing, signed by authorized representatives of both parties.</w:t>
      </w:r>
    </w:p>
    <w:bookmarkEnd w:id="55"/>
    <w:bookmarkStart w:id="56" w:name="governing-law"/>
    <w:p>
      <w:pPr>
        <w:pStyle w:val="Heading3"/>
      </w:pPr>
      <w:r>
        <w:t xml:space="preserve">11.3 Governing Law</w:t>
      </w:r>
    </w:p>
    <w:p>
      <w:pPr>
        <w:pStyle w:val="FirstParagraph"/>
      </w:pPr>
      <w:r>
        <w:t xml:space="preserve">This agreement is governed by the laws of the State of New York, without regard to conflicts of law.</w:t>
      </w:r>
    </w:p>
    <w:bookmarkEnd w:id="56"/>
    <w:bookmarkStart w:id="57" w:name="dispute-resolution"/>
    <w:p>
      <w:pPr>
        <w:pStyle w:val="Heading3"/>
      </w:pPr>
      <w:r>
        <w:t xml:space="preserve">11.4 Dispute Resolution</w:t>
      </w:r>
    </w:p>
    <w:p>
      <w:pPr>
        <w:pStyle w:val="FirstParagraph"/>
      </w:pPr>
      <w:r>
        <w:t xml:space="preserve">Any disputes arising from this agreement shall be resolved through: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Good faith negotiation</w:t>
      </w:r>
      <w:r>
        <w:t xml:space="preserve"> </w:t>
      </w:r>
      <w:r>
        <w:t xml:space="preserve">(30 days)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Mediation</w:t>
      </w:r>
      <w:r>
        <w:t xml:space="preserve"> </w:t>
      </w:r>
      <w:r>
        <w:t xml:space="preserve">(30 days, if negotiation fails)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Litigation</w:t>
      </w:r>
      <w:r>
        <w:t xml:space="preserve"> </w:t>
      </w:r>
      <w:r>
        <w:t xml:space="preserve">in New York courts (if mediation fails)</w:t>
      </w:r>
    </w:p>
    <w:bookmarkEnd w:id="57"/>
    <w:bookmarkStart w:id="58" w:name="severability"/>
    <w:p>
      <w:pPr>
        <w:pStyle w:val="Heading3"/>
      </w:pPr>
      <w:r>
        <w:t xml:space="preserve">11.5 Severability</w:t>
      </w:r>
    </w:p>
    <w:p>
      <w:pPr>
        <w:pStyle w:val="FirstParagraph"/>
      </w:pPr>
      <w:r>
        <w:t xml:space="preserve">If any provision is found unenforceable, the remaining provisions remain in effect.</w:t>
      </w:r>
    </w:p>
    <w:bookmarkEnd w:id="58"/>
    <w:bookmarkStart w:id="59" w:name="notices"/>
    <w:p>
      <w:pPr>
        <w:pStyle w:val="Heading3"/>
      </w:pPr>
      <w:r>
        <w:t xml:space="preserve">11.6 Notices</w:t>
      </w:r>
    </w:p>
    <w:p>
      <w:pPr>
        <w:pStyle w:val="FirstParagraph"/>
      </w:pPr>
      <w:r>
        <w:t xml:space="preserve">All notices must be sent in writing to:</w:t>
      </w:r>
    </w:p>
    <w:p>
      <w:pPr>
        <w:pStyle w:val="BodyText"/>
      </w:pPr>
      <w:r>
        <w:rPr>
          <w:b/>
          <w:bCs/>
        </w:rPr>
        <w:t xml:space="preserve">For MNI</w:t>
      </w:r>
      <w:r>
        <w:t xml:space="preserve">:</w:t>
      </w:r>
      <w:r>
        <w:br/>
      </w:r>
      <w:r>
        <w:t xml:space="preserve">Multiple Natures International, LLC</w:t>
      </w:r>
      <w:r>
        <w:br/>
      </w:r>
      <w:r>
        <w:t xml:space="preserve">Attn: CEO, Steven Rudolph</w:t>
      </w:r>
      <w:r>
        <w:br/>
      </w:r>
      <w:r>
        <w:t xml:space="preserve">[Address]</w:t>
      </w:r>
      <w:r>
        <w:br/>
      </w:r>
      <w:r>
        <w:t xml:space="preserve">steven@multiplenatures.com</w:t>
      </w:r>
    </w:p>
    <w:p>
      <w:pPr>
        <w:pStyle w:val="BodyText"/>
      </w:pPr>
      <w:r>
        <w:rPr>
          <w:b/>
          <w:bCs/>
        </w:rPr>
        <w:t xml:space="preserve">For Sussman</w:t>
      </w:r>
      <w:r>
        <w:t xml:space="preserve">:</w:t>
      </w:r>
      <w:r>
        <w:br/>
      </w:r>
      <w:r>
        <w:t xml:space="preserve">Sussman Education</w:t>
      </w:r>
      <w:r>
        <w:br/>
      </w:r>
      <w:r>
        <w:t xml:space="preserve">Attn: Ron Sussman</w:t>
      </w:r>
      <w:r>
        <w:br/>
      </w:r>
      <w:r>
        <w:t xml:space="preserve">250 E. 54th Street, Suite P2</w:t>
      </w:r>
      <w:r>
        <w:br/>
      </w:r>
      <w:r>
        <w:t xml:space="preserve">New York, NY 10022</w:t>
      </w:r>
      <w:r>
        <w:br/>
      </w:r>
      <w:r>
        <w:t xml:space="preserve">[Email]</w:t>
      </w:r>
    </w:p>
    <w:bookmarkEnd w:id="59"/>
    <w:bookmarkStart w:id="60" w:name="assignment"/>
    <w:p>
      <w:pPr>
        <w:pStyle w:val="Heading3"/>
      </w:pPr>
      <w:r>
        <w:t xml:space="preserve">11.7 Assignment</w:t>
      </w:r>
    </w:p>
    <w:p>
      <w:pPr>
        <w:pStyle w:val="FirstParagraph"/>
      </w:pPr>
      <w:r>
        <w:t xml:space="preserve">This agreement is personal to Sussman. Sussman may not assign, sublicense, or transfer any rights without MNI’s written consent.</w:t>
      </w:r>
    </w:p>
    <w:bookmarkEnd w:id="60"/>
    <w:bookmarkStart w:id="61" w:name="force-majeure"/>
    <w:p>
      <w:pPr>
        <w:pStyle w:val="Heading3"/>
      </w:pPr>
      <w:r>
        <w:t xml:space="preserve">11.8 Force Majeure</w:t>
      </w:r>
    </w:p>
    <w:p>
      <w:pPr>
        <w:pStyle w:val="FirstParagraph"/>
      </w:pPr>
      <w:r>
        <w:t xml:space="preserve">Neither party is liable for delays or failures caused by circumstances beyond reasonable control (pandemics, natural disasters, government action).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xecution"/>
    <w:p>
      <w:pPr>
        <w:pStyle w:val="Heading2"/>
      </w:pPr>
      <w:r>
        <w:t xml:space="preserve">12. EXECUTION</w:t>
      </w:r>
    </w:p>
    <w:p>
      <w:pPr>
        <w:pStyle w:val="FirstParagraph"/>
      </w:pPr>
      <w:r>
        <w:rPr>
          <w:b/>
          <w:bCs/>
        </w:rPr>
        <w:t xml:space="preserve">For Multiple Natures International, LLC:</w:t>
      </w:r>
    </w:p>
    <w:p>
      <w:pPr>
        <w:pStyle w:val="BodyText"/>
      </w:pPr>
      <w:r>
        <w:t xml:space="preserve">Name: ___________________________</w:t>
      </w:r>
      <w:r>
        <w:br/>
      </w:r>
      <w:r>
        <w:t xml:space="preserve">Title: CEO</w:t>
      </w:r>
      <w:r>
        <w:br/>
      </w:r>
      <w:r>
        <w:t xml:space="preserve">Date: ___________________________</w:t>
      </w:r>
      <w:r>
        <w:br/>
      </w:r>
      <w:r>
        <w:t xml:space="preserve">Signature: ________________________</w:t>
      </w:r>
    </w:p>
    <w:p>
      <w:pPr>
        <w:pStyle w:val="BodyText"/>
      </w:pPr>
      <w:r>
        <w:rPr>
          <w:b/>
          <w:bCs/>
        </w:rPr>
        <w:t xml:space="preserve">For Sussman Education:</w:t>
      </w:r>
    </w:p>
    <w:p>
      <w:pPr>
        <w:pStyle w:val="BodyText"/>
      </w:pPr>
      <w:r>
        <w:t xml:space="preserve">Name: ___________________________</w:t>
      </w:r>
      <w:r>
        <w:br/>
      </w:r>
      <w:r>
        <w:t xml:space="preserve">Title: ___________________________</w:t>
      </w:r>
      <w:r>
        <w:br/>
      </w:r>
      <w:r>
        <w:t xml:space="preserve">Date: ___________________________</w:t>
      </w:r>
      <w:r>
        <w:br/>
      </w:r>
      <w:r>
        <w:t xml:space="preserve">Signature: ________________________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a-licensed-books-specifications"/>
    <w:p>
      <w:pPr>
        <w:pStyle w:val="Heading2"/>
      </w:pPr>
      <w:r>
        <w:t xml:space="preserve">APPENDIX A: LICENSED BOOKS SPECIFICATIONS</w:t>
      </w:r>
    </w:p>
    <w:p>
      <w:pPr>
        <w:pStyle w:val="FirstParagraph"/>
      </w:pPr>
      <w:r>
        <w:rPr>
          <w:i/>
          <w:iCs/>
        </w:rPr>
        <w:t xml:space="preserve">(To be completed with current ISBN, cover images, retail pricing, author bio)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Retail Price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Year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Natures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Hardcover, softcover</w:t>
            </w:r>
          </w:p>
        </w:tc>
        <w:tc>
          <w:tcPr/>
          <w:p>
            <w:pPr>
              <w:pStyle w:val="Compact"/>
            </w:pPr>
            <w:r>
              <w:t xml:space="preserve">Multiple Natures International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Natures for Educators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Softcover</w:t>
            </w:r>
          </w:p>
        </w:tc>
        <w:tc>
          <w:tcPr/>
          <w:p>
            <w:pPr>
              <w:pStyle w:val="Compact"/>
            </w:pPr>
            <w:r>
              <w:t xml:space="preserve">Multiple Natures International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Natures for School Counselors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Softcover</w:t>
            </w:r>
          </w:p>
        </w:tc>
        <w:tc>
          <w:tcPr/>
          <w:p>
            <w:pPr>
              <w:pStyle w:val="Compact"/>
            </w:pPr>
            <w:r>
              <w:t xml:space="preserve">Multiple Natures International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X1ea492e2a1fa2f6a919be12d3b4b0499eb83571"/>
    <w:p>
      <w:pPr>
        <w:pStyle w:val="Heading2"/>
      </w:pPr>
      <w:r>
        <w:t xml:space="preserve">APPENDIX B: QUARTERLY SALES REPORT TEMPLATE</w:t>
      </w:r>
    </w:p>
    <w:p>
      <w:pPr>
        <w:pStyle w:val="FirstParagraph"/>
      </w:pPr>
      <w:r>
        <w:rPr>
          <w:i/>
          <w:iCs/>
        </w:rPr>
        <w:t xml:space="preserve">(To be submitted by Sussman within 15 days of quarter end)</w:t>
      </w:r>
    </w:p>
    <w:p>
      <w:pPr>
        <w:pStyle w:val="BodyText"/>
      </w:pPr>
      <w:r>
        <w:rPr>
          <w:b/>
          <w:bCs/>
        </w:rPr>
        <w:t xml:space="preserve">Reporting Period</w:t>
      </w:r>
      <w:r>
        <w:t xml:space="preserve">: Q[X] [Year]</w:t>
      </w:r>
      <w:r>
        <w:br/>
      </w:r>
      <w:r>
        <w:rPr>
          <w:b/>
          <w:bCs/>
        </w:rPr>
        <w:t xml:space="preserve">Due Date</w:t>
      </w:r>
      <w:r>
        <w:t xml:space="preserve">: [Date]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Units Sold</w:t>
            </w:r>
          </w:p>
        </w:tc>
        <w:tc>
          <w:tcPr/>
          <w:p>
            <w:pPr>
              <w:pStyle w:val="Compact"/>
            </w:pPr>
            <w:r>
              <w:t xml:space="preserve">Retail Revenue</w:t>
            </w:r>
          </w:p>
        </w:tc>
        <w:tc>
          <w:tcPr/>
          <w:p>
            <w:pPr>
              <w:pStyle w:val="Compact"/>
            </w:pPr>
            <w:r>
              <w:t xml:space="preserve">Schools/Districts</w:t>
            </w:r>
          </w:p>
        </w:tc>
        <w:tc>
          <w:tcPr/>
          <w:p>
            <w:pPr>
              <w:pStyle w:val="Compact"/>
            </w:pPr>
            <w:r>
              <w:t xml:space="preserve">Adoption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Natures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Educators Guide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School Counselors Guide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Forecast for Next Quarter</w:t>
      </w:r>
      <w:r>
        <w:t xml:space="preserve">: [bulleted summary]</w:t>
      </w:r>
    </w:p>
    <w:p>
      <w:pPr>
        <w:pStyle w:val="BodyText"/>
      </w:pPr>
      <w:r>
        <w:rPr>
          <w:b/>
          <w:bCs/>
        </w:rPr>
        <w:t xml:space="preserve">Notable adoptions or pipeline</w:t>
      </w:r>
      <w:r>
        <w:t xml:space="preserve">: [any major school orders or pending reviews]</w:t>
      </w:r>
    </w:p>
    <w:p>
      <w:pPr>
        <w:pStyle w:val="BodyText"/>
      </w:pPr>
      <w:r>
        <w:rPr>
          <w:b/>
          <w:bCs/>
        </w:rPr>
        <w:t xml:space="preserve">Challenges/obstacles</w:t>
      </w:r>
      <w:r>
        <w:t xml:space="preserve">: [any barriers to sales]</w:t>
      </w:r>
    </w:p>
    <w:p>
      <w:r>
        <w:pict>
          <v:rect style="width:0;height:1.5pt" o:hralign="center" o:hrstd="t" o:hr="t"/>
        </w:pict>
      </w:r>
    </w:p>
    <w:bookmarkEnd w:id="65"/>
    <w:bookmarkStart w:id="66" w:name="appendix-c-lulu-reseller-setup-checklist"/>
    <w:p>
      <w:pPr>
        <w:pStyle w:val="Heading2"/>
      </w:pPr>
      <w:r>
        <w:t xml:space="preserve">APPENDIX C: LULU RESELLER SETUP CHECKLIST</w:t>
      </w:r>
    </w:p>
    <w:p>
      <w:pPr>
        <w:pStyle w:val="Compact"/>
        <w:numPr>
          <w:ilvl w:val="0"/>
          <w:numId w:val="1014"/>
        </w:numPr>
      </w:pPr>
      <w:r>
        <w:t xml:space="preserve">Sussman registers for Lulu reseller account</w:t>
      </w:r>
    </w:p>
    <w:p>
      <w:pPr>
        <w:pStyle w:val="Compact"/>
        <w:numPr>
          <w:ilvl w:val="0"/>
          <w:numId w:val="1015"/>
        </w:numPr>
      </w:pPr>
      <w:r>
        <w:t xml:space="preserve">MNI confirms titles are available for resale on Lulu</w:t>
      </w:r>
    </w:p>
    <w:p>
      <w:pPr>
        <w:pStyle w:val="Compact"/>
        <w:numPr>
          <w:ilvl w:val="0"/>
          <w:numId w:val="1016"/>
        </w:numPr>
      </w:pPr>
      <w:r>
        <w:t xml:space="preserve">Sussman completes reseller onboarding</w:t>
      </w:r>
    </w:p>
    <w:p>
      <w:pPr>
        <w:pStyle w:val="Compact"/>
        <w:numPr>
          <w:ilvl w:val="0"/>
          <w:numId w:val="1017"/>
        </w:numPr>
      </w:pPr>
      <w:r>
        <w:t xml:space="preserve">First test order placed and verified</w:t>
      </w:r>
    </w:p>
    <w:p>
      <w:pPr>
        <w:pStyle w:val="Compact"/>
        <w:numPr>
          <w:ilvl w:val="0"/>
          <w:numId w:val="1018"/>
        </w:numPr>
      </w:pPr>
      <w:r>
        <w:t xml:space="preserve">Sussman reviews Lulu’s lead time and quality standards</w:t>
      </w:r>
    </w:p>
    <w:p>
      <w:pPr>
        <w:pStyle w:val="Compact"/>
        <w:numPr>
          <w:ilvl w:val="0"/>
          <w:numId w:val="1019"/>
        </w:numPr>
      </w:pPr>
      <w:r>
        <w:t xml:space="preserve">Sussman adds Lulu ordering process to internal fulfillment workflow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DOCUMENT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Jonathan Rudolph legal review</w:t>
      </w:r>
      <w:r>
        <w:t xml:space="preserve"> </w:t>
      </w:r>
      <w:r>
        <w:t xml:space="preserve">2. Update Appendix A with actual ISBN and pricing data</w:t>
      </w:r>
      <w:r>
        <w:t xml:space="preserve"> </w:t>
      </w:r>
      <w:r>
        <w:t xml:space="preserve">3. Discuss with Sussman (emphasize FAMIS/curriculum review value + growth incentives)</w:t>
      </w:r>
      <w:r>
        <w:t xml:space="preserve"> </w:t>
      </w:r>
      <w:r>
        <w:t xml:space="preserve">4. Finalize language; convert to .docx + DocuSign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2026-04-24T10:12:40Z</dcterms:created>
  <dcterms:modified xsi:type="dcterms:W3CDTF">2026-04-24T10:12:40Z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