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e5796bf6ffe4f294fbca7b8418e4f0f91f9932"/>
    <w:p>
      <w:pPr>
        <w:pStyle w:val="Heading1"/>
      </w:pPr>
      <w:r>
        <w:t xml:space="preserve">AMENDED EXCLUSIVE LICENSEE &amp; DISTRIBUTION AGREEMENT</w:t>
      </w:r>
    </w:p>
    <w:bookmarkStart w:id="9" w:name="Xc425996d92e1983628911b32085ea5f9e61b460"/>
    <w:p>
      <w:pPr>
        <w:pStyle w:val="Heading2"/>
      </w:pPr>
      <w:r>
        <w:t xml:space="preserve">Multiple Natures International, LLC and Sussman Education</w:t>
      </w:r>
    </w:p>
    <w:p>
      <w:pPr>
        <w:pStyle w:val="FirstParagraph"/>
      </w:pPr>
      <w:r>
        <w:rPr>
          <w:b/>
          <w:bCs/>
        </w:rPr>
        <w:t xml:space="preserve">Date</w:t>
      </w:r>
      <w:r>
        <w:t xml:space="preserve">: April 24, 2026</w:t>
      </w:r>
      <w:r>
        <w:br/>
      </w:r>
      <w:r>
        <w:rPr>
          <w:b/>
          <w:bCs/>
        </w:rPr>
        <w:t xml:space="preserve">Replaces</w:t>
      </w:r>
      <w:r>
        <w:t xml:space="preserve">: Exclusive Licensee &amp; Distribution Agreement, September 1, 2023</w:t>
      </w:r>
      <w:r>
        <w:br/>
      </w:r>
      <w:r>
        <w:rPr>
          <w:b/>
          <w:bCs/>
        </w:rPr>
        <w:t xml:space="preserve">Status</w:t>
      </w:r>
      <w:r>
        <w:t xml:space="preserve">: Draft for Legal Review &amp; Discussion</w:t>
      </w:r>
    </w:p>
    <w:p>
      <w:r>
        <w:pict>
          <v:rect style="width:0;height:1.5pt" o:hralign="center" o:hrstd="t" o:hr="t"/>
        </w:pict>
      </w:r>
    </w:p>
    <w:bookmarkEnd w:id="9"/>
    <w:bookmarkStart w:id="10" w:name="preamble"/>
    <w:p>
      <w:pPr>
        <w:pStyle w:val="Heading2"/>
      </w:pPr>
      <w:r>
        <w:t xml:space="preserve">PREAMBLE</w:t>
      </w:r>
    </w:p>
    <w:p>
      <w:pPr>
        <w:pStyle w:val="FirstParagraph"/>
      </w:pPr>
      <w:r>
        <w:t xml:space="preserve">This amendment affirms and restructures the exclusive distribution rights granted to Sussman Education within the New York City K-12 education sector, contingent upon active performance against defined milestones.</w:t>
      </w:r>
    </w:p>
    <w:p>
      <w:pPr>
        <w:pStyle w:val="BodyText"/>
      </w:pPr>
      <w:r>
        <w:t xml:space="preserve">The original agreement (Sept 1, 2023) granted exclusivity based on projected sales capacity. This amendment converts exclusivity into a</w:t>
      </w:r>
      <w:r>
        <w:t xml:space="preserve"> </w:t>
      </w:r>
      <w:r>
        <w:rPr>
          <w:b/>
          <w:bCs/>
        </w:rPr>
        <w:t xml:space="preserve">performance-based right</w:t>
      </w:r>
      <w:r>
        <w:t xml:space="preserve"> </w:t>
      </w:r>
      <w:r>
        <w:t xml:space="preserve">tied directly to measurable actions required to unlock the NYC Board of Education audit and FAMIS system approval—the commercial bottleneck preventing sales activation.</w:t>
      </w:r>
    </w:p>
    <w:p>
      <w:pPr>
        <w:pStyle w:val="BodyText"/>
      </w:pPr>
      <w:r>
        <w:rPr>
          <w:b/>
          <w:bCs/>
        </w:rPr>
        <w:t xml:space="preserve">Core Intent</w:t>
      </w:r>
      <w:r>
        <w:t xml:space="preserve">: Exclusivity is not passive. It is earned and maintained through active participation in removing the DOE approval barrier.</w:t>
      </w:r>
    </w:p>
    <w:p>
      <w:r>
        <w:pict>
          <v:rect style="width:0;height:1.5pt" o:hralign="center" o:hrstd="t" o:hr="t"/>
        </w:pict>
      </w:r>
    </w:p>
    <w:bookmarkEnd w:id="10"/>
    <w:bookmarkStart w:id="14" w:name="updated-territory-exclusivity"/>
    <w:p>
      <w:pPr>
        <w:pStyle w:val="Heading2"/>
      </w:pPr>
      <w:r>
        <w:t xml:space="preserve">1. UPDATED TERRITORY &amp; EXCLUSIVITY</w:t>
      </w:r>
    </w:p>
    <w:bookmarkStart w:id="11" w:name="territory-definition-unchanged"/>
    <w:p>
      <w:pPr>
        <w:pStyle w:val="Heading3"/>
      </w:pPr>
      <w:r>
        <w:t xml:space="preserve">1.1 Territory Definition (Unchanged)</w:t>
      </w:r>
    </w:p>
    <w:p>
      <w:pPr>
        <w:pStyle w:val="Compact"/>
        <w:numPr>
          <w:ilvl w:val="0"/>
          <w:numId w:val="1001"/>
        </w:numPr>
      </w:pPr>
      <w:r>
        <w:rPr>
          <w:b/>
          <w:bCs/>
        </w:rPr>
        <w:t xml:space="preserve">Territory</w:t>
      </w:r>
      <w:r>
        <w:t xml:space="preserve">: New York City School District (K-12 sector)</w:t>
      </w:r>
    </w:p>
    <w:p>
      <w:pPr>
        <w:pStyle w:val="Compact"/>
        <w:numPr>
          <w:ilvl w:val="0"/>
          <w:numId w:val="1001"/>
        </w:numPr>
      </w:pPr>
      <w:r>
        <w:rPr>
          <w:b/>
          <w:bCs/>
        </w:rPr>
        <w:t xml:space="preserve">Sector</w:t>
      </w:r>
      <w:r>
        <w:t xml:space="preserve">: K-12 education (public schools)</w:t>
      </w:r>
    </w:p>
    <w:p>
      <w:pPr>
        <w:pStyle w:val="Compact"/>
        <w:numPr>
          <w:ilvl w:val="0"/>
          <w:numId w:val="1001"/>
        </w:numPr>
      </w:pPr>
      <w:r>
        <w:rPr>
          <w:b/>
          <w:bCs/>
        </w:rPr>
        <w:t xml:space="preserve">Geographic Scope</w:t>
      </w:r>
      <w:r>
        <w:t xml:space="preserve">: Five NYC Boroughs</w:t>
      </w:r>
    </w:p>
    <w:bookmarkEnd w:id="11"/>
    <w:bookmarkStart w:id="12" w:name="conditional-exclusivity-new"/>
    <w:p>
      <w:pPr>
        <w:pStyle w:val="Heading3"/>
      </w:pPr>
      <w:r>
        <w:t xml:space="preserve">1.2 Conditional Exclusivity (NEW)</w:t>
      </w:r>
    </w:p>
    <w:p>
      <w:pPr>
        <w:pStyle w:val="FirstParagraph"/>
      </w:pPr>
      <w:r>
        <w:t xml:space="preserve">Sussman Education holds</w:t>
      </w:r>
      <w:r>
        <w:t xml:space="preserve"> </w:t>
      </w:r>
      <w:r>
        <w:rPr>
          <w:b/>
          <w:bCs/>
        </w:rPr>
        <w:t xml:space="preserve">exclusive distribution rights</w:t>
      </w:r>
      <w:r>
        <w:t xml:space="preserve"> </w:t>
      </w:r>
      <w:r>
        <w:t xml:space="preserve">in the Territory and Sector,</w:t>
      </w:r>
      <w:r>
        <w:t xml:space="preserve"> </w:t>
      </w:r>
      <w:r>
        <w:rPr>
          <w:b/>
          <w:bCs/>
        </w:rPr>
        <w:t xml:space="preserve">conditional upon</w:t>
      </w:r>
      <w:r>
        <w:t xml:space="preserve">:</w:t>
      </w:r>
    </w:p>
    <w:p>
      <w:pPr>
        <w:pStyle w:val="Compact"/>
        <w:numPr>
          <w:ilvl w:val="0"/>
          <w:numId w:val="1002"/>
        </w:numPr>
      </w:pPr>
      <w:r>
        <w:t xml:space="preserve">Active participation in DOE/FAMIS approval pathway</w:t>
      </w:r>
    </w:p>
    <w:p>
      <w:pPr>
        <w:pStyle w:val="Compact"/>
        <w:numPr>
          <w:ilvl w:val="0"/>
          <w:numId w:val="1002"/>
        </w:numPr>
      </w:pPr>
      <w:r>
        <w:t xml:space="preserve">Completion of performance milestones (Section 2, below)</w:t>
      </w:r>
    </w:p>
    <w:p>
      <w:pPr>
        <w:pStyle w:val="Compact"/>
        <w:numPr>
          <w:ilvl w:val="0"/>
          <w:numId w:val="1002"/>
        </w:numPr>
      </w:pPr>
      <w:r>
        <w:t xml:space="preserve">Maintenance of minimum engagement standards (Section 3, below)</w:t>
      </w:r>
    </w:p>
    <w:p>
      <w:pPr>
        <w:pStyle w:val="FirstParagraph"/>
      </w:pPr>
      <w:r>
        <w:rPr>
          <w:b/>
          <w:bCs/>
        </w:rPr>
        <w:t xml:space="preserve">If performance milestones are not met within defined timeframes</w:t>
      </w:r>
      <w:r>
        <w:t xml:space="preserve">, exclusivity will:</w:t>
      </w:r>
      <w:r>
        <w:t xml:space="preserve"> </w:t>
      </w:r>
      <w:r>
        <w:t xml:space="preserve">- First tier (90 days): reduce to non-exclusive arrangement</w:t>
      </w:r>
      <w:r>
        <w:t xml:space="preserve"> </w:t>
      </w:r>
      <w:r>
        <w:t xml:space="preserve">- Second tier (120+ days): be revoked, opening Territory to additional partners</w:t>
      </w:r>
    </w:p>
    <w:bookmarkEnd w:id="12"/>
    <w:bookmarkStart w:id="13" w:name="X495ab538586f46faf7481412baa830334856444"/>
    <w:p>
      <w:pPr>
        <w:pStyle w:val="Heading3"/>
      </w:pPr>
      <w:r>
        <w:t xml:space="preserve">1.3 Non-Exclusive Territory Expansion (Unchanged)</w:t>
      </w:r>
    </w:p>
    <w:p>
      <w:pPr>
        <w:pStyle w:val="FirstParagraph"/>
      </w:pPr>
      <w:r>
        <w:t xml:space="preserve">Sussman may explore business opportunities</w:t>
      </w:r>
      <w:r>
        <w:t xml:space="preserve"> </w:t>
      </w:r>
      <w:r>
        <w:rPr>
          <w:b/>
          <w:bCs/>
        </w:rPr>
        <w:t xml:space="preserve">outside the Territory</w:t>
      </w:r>
      <w:r>
        <w:t xml:space="preserve"> </w:t>
      </w:r>
      <w:r>
        <w:t xml:space="preserve">where licensees do not exist, with written notice to MNI.</w:t>
      </w:r>
    </w:p>
    <w:p>
      <w:r>
        <w:pict>
          <v:rect style="width:0;height:1.5pt" o:hralign="center" o:hrstd="t" o:hr="t"/>
        </w:pict>
      </w:r>
    </w:p>
    <w:bookmarkEnd w:id="13"/>
    <w:bookmarkEnd w:id="14"/>
    <w:bookmarkStart w:id="19" w:name="performance-milestones-non-negotiable"/>
    <w:p>
      <w:pPr>
        <w:pStyle w:val="Heading2"/>
      </w:pPr>
      <w:r>
        <w:t xml:space="preserve">2. PERFORMANCE MILESTONES (NON-NEGOTIABLE)</w:t>
      </w:r>
    </w:p>
    <w:p>
      <w:pPr>
        <w:pStyle w:val="FirstParagraph"/>
      </w:pPr>
      <w:r>
        <w:t xml:space="preserve">The following milestones must be completed within</w:t>
      </w:r>
      <w:r>
        <w:t xml:space="preserve"> </w:t>
      </w:r>
      <w:r>
        <w:rPr>
          <w:b/>
          <w:bCs/>
        </w:rPr>
        <w:t xml:space="preserve">90 calendar days</w:t>
      </w:r>
      <w:r>
        <w:t xml:space="preserve"> </w:t>
      </w:r>
      <w:r>
        <w:t xml:space="preserve">of agreement execution to maintain exclusivity.</w:t>
      </w:r>
    </w:p>
    <w:bookmarkStart w:id="15" w:name="demand-creation-milestone"/>
    <w:p>
      <w:pPr>
        <w:pStyle w:val="Heading3"/>
      </w:pPr>
      <w:r>
        <w:t xml:space="preserve">2.1 Demand Creation Milestone</w:t>
      </w:r>
    </w:p>
    <w:p>
      <w:pPr>
        <w:pStyle w:val="FirstParagraph"/>
      </w:pPr>
      <w:r>
        <w:rPr>
          <w:b/>
          <w:bCs/>
        </w:rPr>
        <w:t xml:space="preserve">Objective</w:t>
      </w:r>
      <w:r>
        <w:t xml:space="preserve">: Generate documented school/district interest to create demand signals visible to NYC DOE.</w:t>
      </w:r>
    </w:p>
    <w:p>
      <w:pPr>
        <w:pStyle w:val="BodyText"/>
      </w:pPr>
      <w:r>
        <w:rPr>
          <w:b/>
          <w:bCs/>
        </w:rPr>
        <w:t xml:space="preserve">Requirement</w:t>
      </w:r>
      <w:r>
        <w:t xml:space="preserve">: Secure written statements from</w:t>
      </w:r>
      <w:r>
        <w:t xml:space="preserve"> </w:t>
      </w:r>
      <w:r>
        <w:rPr>
          <w:b/>
          <w:bCs/>
        </w:rPr>
        <w:t xml:space="preserve">at least 3–5 NYC public schools or school districts</w:t>
      </w:r>
      <w:r>
        <w:t xml:space="preserve"> </w:t>
      </w:r>
      <w:r>
        <w:t xml:space="preserve">stating:</w:t>
      </w:r>
    </w:p>
    <w:p>
      <w:pPr>
        <w:pStyle w:val="Compact"/>
        <w:numPr>
          <w:ilvl w:val="0"/>
          <w:numId w:val="1003"/>
        </w:numPr>
      </w:pPr>
      <w:r>
        <w:t xml:space="preserve">They wish to purchase/implement the MNTEST tool</w:t>
      </w:r>
    </w:p>
    <w:p>
      <w:pPr>
        <w:pStyle w:val="Compact"/>
        <w:numPr>
          <w:ilvl w:val="0"/>
          <w:numId w:val="1003"/>
        </w:numPr>
      </w:pPr>
      <w:r>
        <w:t xml:space="preserve">They are awaiting NYC BOE approval/FAMIS listing to proceed</w:t>
      </w:r>
    </w:p>
    <w:p>
      <w:pPr>
        <w:pStyle w:val="Compact"/>
        <w:numPr>
          <w:ilvl w:val="0"/>
          <w:numId w:val="1003"/>
        </w:numPr>
      </w:pPr>
      <w:r>
        <w:t xml:space="preserve">Delay is materially impacting their ability to serve students</w:t>
      </w:r>
    </w:p>
    <w:p>
      <w:pPr>
        <w:pStyle w:val="FirstParagraph"/>
      </w:pPr>
      <w:r>
        <w:rPr>
          <w:b/>
          <w:bCs/>
        </w:rPr>
        <w:t xml:space="preserve">Format</w:t>
      </w:r>
      <w:r>
        <w:t xml:space="preserve">: Email, letter, or signed statement acceptable. Must include:</w:t>
      </w:r>
      <w:r>
        <w:t xml:space="preserve"> </w:t>
      </w:r>
      <w:r>
        <w:t xml:space="preserve">- School/District name</w:t>
      </w:r>
      <w:r>
        <w:t xml:space="preserve"> </w:t>
      </w:r>
      <w:r>
        <w:t xml:space="preserve">- Contact name &amp; title (principal, administrator, or procurement officer)</w:t>
      </w:r>
      <w:r>
        <w:t xml:space="preserve"> </w:t>
      </w:r>
      <w:r>
        <w:t xml:space="preserve">- Explicit statement of purchase intent contingent on approval</w:t>
      </w:r>
      <w:r>
        <w:t xml:space="preserve"> </w:t>
      </w:r>
      <w:r>
        <w:t xml:space="preserve">- Date signed</w:t>
      </w:r>
    </w:p>
    <w:p>
      <w:pPr>
        <w:pStyle w:val="BodyText"/>
      </w:pPr>
      <w:r>
        <w:rPr>
          <w:b/>
          <w:bCs/>
        </w:rPr>
        <w:t xml:space="preserve">Deliverable</w:t>
      </w:r>
      <w:r>
        <w:t xml:space="preserve">: Sussman provides MNI with copies of all demand letters by</w:t>
      </w:r>
      <w:r>
        <w:t xml:space="preserve"> </w:t>
      </w:r>
      <w:r>
        <w:rPr>
          <w:b/>
          <w:bCs/>
        </w:rPr>
        <w:t xml:space="preserve">Day 60</w:t>
      </w:r>
      <w:r>
        <w:t xml:space="preserve"> </w:t>
      </w:r>
      <w:r>
        <w:t xml:space="preserve">of this agreement.</w:t>
      </w:r>
    </w:p>
    <w:p>
      <w:pPr>
        <w:pStyle w:val="BodyText"/>
      </w:pPr>
      <w:r>
        <w:rPr>
          <w:b/>
          <w:bCs/>
        </w:rPr>
        <w:t xml:space="preserve">Rationale</w:t>
      </w:r>
      <w:r>
        <w:t xml:space="preserve">: Schools requesting approval creates political and procedural pressure DOE cannot ignore.</w:t>
      </w:r>
    </w:p>
    <w:bookmarkEnd w:id="15"/>
    <w:bookmarkStart w:id="16" w:name="formal-pressure-letter-coordination"/>
    <w:p>
      <w:pPr>
        <w:pStyle w:val="Heading3"/>
      </w:pPr>
      <w:r>
        <w:t xml:space="preserve">2.2 Formal Pressure Letter Coordination</w:t>
      </w:r>
    </w:p>
    <w:p>
      <w:pPr>
        <w:pStyle w:val="FirstParagraph"/>
      </w:pPr>
      <w:r>
        <w:rPr>
          <w:b/>
          <w:bCs/>
        </w:rPr>
        <w:t xml:space="preserve">Objective</w:t>
      </w:r>
      <w:r>
        <w:t xml:space="preserve">: Coordinate schools to send formal request letters to NYC DOE Procurement/Vendor Onboarding.</w:t>
      </w:r>
    </w:p>
    <w:p>
      <w:pPr>
        <w:pStyle w:val="BodyText"/>
      </w:pPr>
      <w:r>
        <w:rPr>
          <w:b/>
          <w:bCs/>
        </w:rPr>
        <w:t xml:space="preserve">Requirement</w:t>
      </w:r>
      <w:r>
        <w:t xml:space="preserve">: Sussman must:</w:t>
      </w:r>
    </w:p>
    <w:p>
      <w:pPr>
        <w:pStyle w:val="Compact"/>
        <w:numPr>
          <w:ilvl w:val="0"/>
          <w:numId w:val="1004"/>
        </w:numPr>
      </w:pPr>
      <w:r>
        <w:t xml:space="preserve">Draft sample letter language (MNI can review/approve)</w:t>
      </w:r>
    </w:p>
    <w:p>
      <w:pPr>
        <w:pStyle w:val="Compact"/>
        <w:numPr>
          <w:ilvl w:val="0"/>
          <w:numId w:val="1004"/>
        </w:numPr>
      </w:pPr>
      <w:r>
        <w:t xml:space="preserve">Deliver letters to identified school/district contacts</w:t>
      </w:r>
    </w:p>
    <w:p>
      <w:pPr>
        <w:pStyle w:val="Compact"/>
        <w:numPr>
          <w:ilvl w:val="0"/>
          <w:numId w:val="1004"/>
        </w:numPr>
      </w:pPr>
      <w:r>
        <w:t xml:space="preserve">Ensure schools/districts send independently to DOE within</w:t>
      </w:r>
      <w:r>
        <w:t xml:space="preserve"> </w:t>
      </w:r>
      <w:r>
        <w:rPr>
          <w:b/>
          <w:bCs/>
        </w:rPr>
        <w:t xml:space="preserve">Day 75</w:t>
      </w:r>
      <w:r>
        <w:t xml:space="preserve"> </w:t>
      </w:r>
      <w:r>
        <w:t xml:space="preserve">of agreement</w:t>
      </w:r>
    </w:p>
    <w:p>
      <w:pPr>
        <w:pStyle w:val="Compact"/>
        <w:numPr>
          <w:ilvl w:val="0"/>
          <w:numId w:val="1004"/>
        </w:numPr>
      </w:pPr>
      <w:r>
        <w:t xml:space="preserve">Provide MNI with copies of sent letters</w:t>
      </w:r>
    </w:p>
    <w:p>
      <w:pPr>
        <w:pStyle w:val="FirstParagraph"/>
      </w:pPr>
      <w:r>
        <w:rPr>
          <w:b/>
          <w:bCs/>
        </w:rPr>
        <w:t xml:space="preserve">Sample Content</w:t>
      </w:r>
      <w:r>
        <w:t xml:space="preserve"> </w:t>
      </w:r>
      <w:r>
        <w:t xml:space="preserve">(Sussman to draft, MNI to approve):</w:t>
      </w:r>
    </w:p>
    <w:p>
      <w:pPr>
        <w:pStyle w:val="BlockText"/>
      </w:pPr>
      <w:r>
        <w:t xml:space="preserve">“[School Name] intends to purchase the MNTEST assessment tool from Sussman Education upon NYC Board of Education approval and FAMIS system listing. We request written timeline and clarity on any outstanding audit or approval requirements. This tool is critical to our student alignment and career pathway planning. Please advise on next steps and expected approval date.”</w:t>
      </w:r>
    </w:p>
    <w:p>
      <w:pPr>
        <w:pStyle w:val="FirstParagraph"/>
      </w:pPr>
      <w:r>
        <w:rPr>
          <w:b/>
          <w:bCs/>
        </w:rPr>
        <w:t xml:space="preserve">Deliverable</w:t>
      </w:r>
      <w:r>
        <w:t xml:space="preserve">: Copies of school-submitted letters to DOE by</w:t>
      </w:r>
      <w:r>
        <w:t xml:space="preserve"> </w:t>
      </w:r>
      <w:r>
        <w:rPr>
          <w:b/>
          <w:bCs/>
        </w:rPr>
        <w:t xml:space="preserve">Day 75</w:t>
      </w:r>
      <w:r>
        <w:t xml:space="preserve">.</w:t>
      </w:r>
    </w:p>
    <w:bookmarkEnd w:id="16"/>
    <w:bookmarkStart w:id="17" w:name="internal-doe-escalation-plan"/>
    <w:p>
      <w:pPr>
        <w:pStyle w:val="Heading3"/>
      </w:pPr>
      <w:r>
        <w:t xml:space="preserve">2.3 Internal DOE Escalation Plan</w:t>
      </w:r>
    </w:p>
    <w:p>
      <w:pPr>
        <w:pStyle w:val="FirstParagraph"/>
      </w:pPr>
      <w:r>
        <w:rPr>
          <w:b/>
          <w:bCs/>
        </w:rPr>
        <w:t xml:space="preserve">Objective</w:t>
      </w:r>
      <w:r>
        <w:t xml:space="preserve">: Identify and engage the actual decision-maker(s) within DOE to move the audit forward.</w:t>
      </w:r>
    </w:p>
    <w:p>
      <w:pPr>
        <w:pStyle w:val="BodyText"/>
      </w:pPr>
      <w:r>
        <w:rPr>
          <w:b/>
          <w:bCs/>
        </w:rPr>
        <w:t xml:space="preserve">Requirement</w:t>
      </w:r>
      <w:r>
        <w:t xml:space="preserve">: Within</w:t>
      </w:r>
      <w:r>
        <w:t xml:space="preserve"> </w:t>
      </w:r>
      <w:r>
        <w:rPr>
          <w:b/>
          <w:bCs/>
        </w:rPr>
        <w:t xml:space="preserve">Day 30</w:t>
      </w:r>
      <w:r>
        <w:t xml:space="preserve">, Sussman must provide MNI with:</w:t>
      </w:r>
    </w:p>
    <w:p>
      <w:pPr>
        <w:pStyle w:val="Compact"/>
        <w:numPr>
          <w:ilvl w:val="0"/>
          <w:numId w:val="1005"/>
        </w:numPr>
      </w:pPr>
      <w:r>
        <w:rPr>
          <w:b/>
          <w:bCs/>
        </w:rPr>
        <w:t xml:space="preserve">Named Contact List</w:t>
      </w:r>
      <w:r>
        <w:t xml:space="preserve">:</w:t>
      </w:r>
    </w:p>
    <w:p>
      <w:pPr>
        <w:pStyle w:val="Compact"/>
        <w:numPr>
          <w:ilvl w:val="1"/>
          <w:numId w:val="1006"/>
        </w:numPr>
      </w:pPr>
      <w:r>
        <w:t xml:space="preserve">Specific individuals in DOE Procurement/Vendor Onboarding</w:t>
      </w:r>
    </w:p>
    <w:p>
      <w:pPr>
        <w:pStyle w:val="Compact"/>
        <w:numPr>
          <w:ilvl w:val="1"/>
          <w:numId w:val="1006"/>
        </w:numPr>
      </w:pPr>
      <w:r>
        <w:t xml:space="preserve">FAMIS System Administration</w:t>
      </w:r>
    </w:p>
    <w:p>
      <w:pPr>
        <w:pStyle w:val="Compact"/>
        <w:numPr>
          <w:ilvl w:val="1"/>
          <w:numId w:val="1006"/>
        </w:numPr>
      </w:pPr>
      <w:r>
        <w:t xml:space="preserve">Chief Technology Officer (or equivalent)</w:t>
      </w:r>
    </w:p>
    <w:p>
      <w:pPr>
        <w:pStyle w:val="Compact"/>
        <w:numPr>
          <w:ilvl w:val="1"/>
          <w:numId w:val="1006"/>
        </w:numPr>
      </w:pPr>
      <w:r>
        <w:t xml:space="preserve">Any procurement officer with visibility on software audits</w:t>
      </w:r>
    </w:p>
    <w:p>
      <w:pPr>
        <w:pStyle w:val="Compact"/>
        <w:numPr>
          <w:ilvl w:val="0"/>
          <w:numId w:val="1005"/>
        </w:numPr>
      </w:pPr>
      <w:r>
        <w:rPr>
          <w:b/>
          <w:bCs/>
        </w:rPr>
        <w:t xml:space="preserve">Engagement Timeline</w:t>
      </w:r>
      <w:r>
        <w:t xml:space="preserve">:</w:t>
      </w:r>
    </w:p>
    <w:p>
      <w:pPr>
        <w:pStyle w:val="Compact"/>
        <w:numPr>
          <w:ilvl w:val="1"/>
          <w:numId w:val="1007"/>
        </w:numPr>
      </w:pPr>
      <w:r>
        <w:t xml:space="preserve">Initial contact: Day 30–40</w:t>
      </w:r>
    </w:p>
    <w:p>
      <w:pPr>
        <w:pStyle w:val="Compact"/>
        <w:numPr>
          <w:ilvl w:val="1"/>
          <w:numId w:val="1007"/>
        </w:numPr>
      </w:pPr>
      <w:r>
        <w:t xml:space="preserve">Follow-up cadence: weekly or bi-weekly</w:t>
      </w:r>
    </w:p>
    <w:p>
      <w:pPr>
        <w:pStyle w:val="Compact"/>
        <w:numPr>
          <w:ilvl w:val="1"/>
          <w:numId w:val="1007"/>
        </w:numPr>
      </w:pPr>
      <w:r>
        <w:t xml:space="preserve">Expected outcome/decision date from DOE</w:t>
      </w:r>
    </w:p>
    <w:p>
      <w:pPr>
        <w:pStyle w:val="Compact"/>
        <w:numPr>
          <w:ilvl w:val="0"/>
          <w:numId w:val="1005"/>
        </w:numPr>
      </w:pPr>
      <w:r>
        <w:rPr>
          <w:b/>
          <w:bCs/>
        </w:rPr>
        <w:t xml:space="preserve">Escalation Path</w:t>
      </w:r>
      <w:r>
        <w:t xml:space="preserve"> </w:t>
      </w:r>
      <w:r>
        <w:t xml:space="preserve">if no movement:</w:t>
      </w:r>
    </w:p>
    <w:p>
      <w:pPr>
        <w:pStyle w:val="Compact"/>
        <w:numPr>
          <w:ilvl w:val="1"/>
          <w:numId w:val="1008"/>
        </w:numPr>
      </w:pPr>
      <w:r>
        <w:t xml:space="preserve">Who to escalate to (next level)</w:t>
      </w:r>
    </w:p>
    <w:p>
      <w:pPr>
        <w:pStyle w:val="Compact"/>
        <w:numPr>
          <w:ilvl w:val="1"/>
          <w:numId w:val="1008"/>
        </w:numPr>
      </w:pPr>
      <w:r>
        <w:t xml:space="preserve">Timing for escalation</w:t>
      </w:r>
    </w:p>
    <w:p>
      <w:pPr>
        <w:pStyle w:val="Compact"/>
        <w:numPr>
          <w:ilvl w:val="1"/>
          <w:numId w:val="1008"/>
        </w:numPr>
      </w:pPr>
      <w:r>
        <w:t xml:space="preserve">Coordination with MNI (if legal pressure becomes necessary)</w:t>
      </w:r>
    </w:p>
    <w:p>
      <w:pPr>
        <w:pStyle w:val="FirstParagraph"/>
      </w:pPr>
      <w:r>
        <w:rPr>
          <w:b/>
          <w:bCs/>
        </w:rPr>
        <w:t xml:space="preserve">Deliverable</w:t>
      </w:r>
      <w:r>
        <w:t xml:space="preserve">: Written escalation plan + contact list by</w:t>
      </w:r>
      <w:r>
        <w:t xml:space="preserve"> </w:t>
      </w:r>
      <w:r>
        <w:rPr>
          <w:b/>
          <w:bCs/>
        </w:rPr>
        <w:t xml:space="preserve">Day 30</w:t>
      </w:r>
      <w:r>
        <w:t xml:space="preserve">.</w:t>
      </w:r>
    </w:p>
    <w:bookmarkEnd w:id="17"/>
    <w:bookmarkStart w:id="18" w:name="audit-status-documentation"/>
    <w:p>
      <w:pPr>
        <w:pStyle w:val="Heading3"/>
      </w:pPr>
      <w:r>
        <w:t xml:space="preserve">2.4 Audit Status Documentation</w:t>
      </w:r>
    </w:p>
    <w:p>
      <w:pPr>
        <w:pStyle w:val="FirstParagraph"/>
      </w:pPr>
      <w:r>
        <w:rPr>
          <w:b/>
          <w:bCs/>
        </w:rPr>
        <w:t xml:space="preserve">Requirement</w:t>
      </w:r>
      <w:r>
        <w:t xml:space="preserve">: Sussman must obtain and deliver to MNI:</w:t>
      </w:r>
    </w:p>
    <w:p>
      <w:pPr>
        <w:pStyle w:val="Compact"/>
        <w:numPr>
          <w:ilvl w:val="0"/>
          <w:numId w:val="1009"/>
        </w:numPr>
      </w:pPr>
      <w:r>
        <w:t xml:space="preserve">Current status of MNI software audit from DOE</w:t>
      </w:r>
    </w:p>
    <w:p>
      <w:pPr>
        <w:pStyle w:val="Compact"/>
        <w:numPr>
          <w:ilvl w:val="0"/>
          <w:numId w:val="1009"/>
        </w:numPr>
      </w:pPr>
      <w:r>
        <w:t xml:space="preserve">Specific requirements or deficiencies (if any) blocking approval</w:t>
      </w:r>
    </w:p>
    <w:p>
      <w:pPr>
        <w:pStyle w:val="Compact"/>
        <w:numPr>
          <w:ilvl w:val="0"/>
          <w:numId w:val="1009"/>
        </w:numPr>
      </w:pPr>
      <w:r>
        <w:t xml:space="preserve">Expected timeline for audit completion (in writing from DOE)</w:t>
      </w:r>
    </w:p>
    <w:p>
      <w:pPr>
        <w:pStyle w:val="FirstParagraph"/>
      </w:pPr>
      <w:r>
        <w:rPr>
          <w:b/>
          <w:bCs/>
        </w:rPr>
        <w:t xml:space="preserve">If DOE claims no blockers but continues delaying</w:t>
      </w:r>
      <w:r>
        <w:t xml:space="preserve">: This triggers legal escalation discussion (Section 4).</w:t>
      </w:r>
    </w:p>
    <w:p>
      <w:pPr>
        <w:pStyle w:val="BodyText"/>
      </w:pPr>
      <w:r>
        <w:rPr>
          <w:b/>
          <w:bCs/>
        </w:rPr>
        <w:t xml:space="preserve">Deliverable</w:t>
      </w:r>
      <w:r>
        <w:t xml:space="preserve">: Documentation by</w:t>
      </w:r>
      <w:r>
        <w:t xml:space="preserve"> </w:t>
      </w:r>
      <w:r>
        <w:rPr>
          <w:b/>
          <w:bCs/>
        </w:rPr>
        <w:t xml:space="preserve">Day 45</w:t>
      </w:r>
      <w:r>
        <w:t xml:space="preserve">.</w:t>
      </w:r>
    </w:p>
    <w:p>
      <w:r>
        <w:pict>
          <v:rect style="width:0;height:1.5pt" o:hralign="center" o:hrstd="t" o:hr="t"/>
        </w:pict>
      </w:r>
    </w:p>
    <w:bookmarkEnd w:id="18"/>
    <w:bookmarkEnd w:id="19"/>
    <w:bookmarkStart w:id="22" w:name="maintenance-standards"/>
    <w:p>
      <w:pPr>
        <w:pStyle w:val="Heading2"/>
      </w:pPr>
      <w:r>
        <w:t xml:space="preserve">3. MAINTENANCE STANDARDS</w:t>
      </w:r>
    </w:p>
    <w:bookmarkStart w:id="20" w:name="monthly-reporting"/>
    <w:p>
      <w:pPr>
        <w:pStyle w:val="Heading3"/>
      </w:pPr>
      <w:r>
        <w:t xml:space="preserve">3.1 Monthly Reporting</w:t>
      </w:r>
    </w:p>
    <w:p>
      <w:pPr>
        <w:pStyle w:val="FirstParagraph"/>
      </w:pPr>
      <w:r>
        <w:t xml:space="preserve">Sussman must provide MNI with a brief monthly status report including:</w:t>
      </w:r>
    </w:p>
    <w:p>
      <w:pPr>
        <w:pStyle w:val="Compact"/>
        <w:numPr>
          <w:ilvl w:val="0"/>
          <w:numId w:val="1010"/>
        </w:numPr>
      </w:pPr>
      <w:r>
        <w:t xml:space="preserve">Contacts made to DOE/FAMIS team (names, dates, outcomes)</w:t>
      </w:r>
    </w:p>
    <w:p>
      <w:pPr>
        <w:pStyle w:val="Compact"/>
        <w:numPr>
          <w:ilvl w:val="0"/>
          <w:numId w:val="1010"/>
        </w:numPr>
      </w:pPr>
      <w:r>
        <w:t xml:space="preserve">School district feedback and progress</w:t>
      </w:r>
    </w:p>
    <w:p>
      <w:pPr>
        <w:pStyle w:val="Compact"/>
        <w:numPr>
          <w:ilvl w:val="0"/>
          <w:numId w:val="1010"/>
        </w:numPr>
      </w:pPr>
      <w:r>
        <w:t xml:space="preserve">Any barriers or new information about audit status</w:t>
      </w:r>
    </w:p>
    <w:p>
      <w:pPr>
        <w:pStyle w:val="Compact"/>
        <w:numPr>
          <w:ilvl w:val="0"/>
          <w:numId w:val="1010"/>
        </w:numPr>
      </w:pPr>
      <w:r>
        <w:t xml:space="preserve">Next 30-day priorities</w:t>
      </w:r>
    </w:p>
    <w:bookmarkEnd w:id="20"/>
    <w:bookmarkStart w:id="21" w:name="failure-to-report"/>
    <w:p>
      <w:pPr>
        <w:pStyle w:val="Heading3"/>
      </w:pPr>
      <w:r>
        <w:t xml:space="preserve">3.2 Failure to Report</w:t>
      </w:r>
    </w:p>
    <w:p>
      <w:pPr>
        <w:pStyle w:val="FirstParagraph"/>
      </w:pPr>
      <w:r>
        <w:t xml:space="preserve">If Sussman fails to provide monthly reports for 2+ consecutive months, MNI may:</w:t>
      </w:r>
      <w:r>
        <w:t xml:space="preserve"> </w:t>
      </w:r>
      <w:r>
        <w:t xml:space="preserve">- Suspend exclusivity pending reinstatement of reporting</w:t>
      </w:r>
      <w:r>
        <w:t xml:space="preserve"> </w:t>
      </w:r>
      <w:r>
        <w:t xml:space="preserve">- Move to non-exclusive status if reporting is not restored within 30 days</w:t>
      </w:r>
    </w:p>
    <w:p>
      <w:r>
        <w:pict>
          <v:rect style="width:0;height:1.5pt" o:hralign="center" o:hrstd="t" o:hr="t"/>
        </w:pict>
      </w:r>
    </w:p>
    <w:bookmarkEnd w:id="21"/>
    <w:bookmarkEnd w:id="22"/>
    <w:bookmarkStart w:id="26" w:name="shared-legal-escalation-path"/>
    <w:p>
      <w:pPr>
        <w:pStyle w:val="Heading2"/>
      </w:pPr>
      <w:r>
        <w:t xml:space="preserve">4. SHARED LEGAL ESCALATION PATH</w:t>
      </w:r>
    </w:p>
    <w:bookmarkStart w:id="23" w:name="shared-responsibility-for-doe-pressure"/>
    <w:p>
      <w:pPr>
        <w:pStyle w:val="Heading3"/>
      </w:pPr>
      <w:r>
        <w:t xml:space="preserve">4.1 Shared Responsibility for DOE Pressure</w:t>
      </w:r>
    </w:p>
    <w:p>
      <w:pPr>
        <w:pStyle w:val="FirstParagraph"/>
      </w:pPr>
      <w:r>
        <w:t xml:space="preserve">If after 90–120 days the DOE audit remains incomplete</w:t>
      </w:r>
      <w:r>
        <w:t xml:space="preserve"> </w:t>
      </w:r>
      <w:r>
        <w:rPr>
          <w:b/>
          <w:bCs/>
        </w:rPr>
        <w:t xml:space="preserve">without documented blockers</w:t>
      </w:r>
      <w:r>
        <w:t xml:space="preserve">, MNI will initiate legal escalation:</w:t>
      </w:r>
    </w:p>
    <w:p>
      <w:pPr>
        <w:pStyle w:val="Compact"/>
        <w:numPr>
          <w:ilvl w:val="0"/>
          <w:numId w:val="1011"/>
        </w:numPr>
      </w:pPr>
      <w:r>
        <w:rPr>
          <w:b/>
          <w:bCs/>
        </w:rPr>
        <w:t xml:space="preserve">Article 78 petition</w:t>
      </w:r>
      <w:r>
        <w:t xml:space="preserve"> </w:t>
      </w:r>
      <w:r>
        <w:t xml:space="preserve">challenging unreasonable delay</w:t>
      </w:r>
    </w:p>
    <w:p>
      <w:pPr>
        <w:pStyle w:val="Compact"/>
        <w:numPr>
          <w:ilvl w:val="0"/>
          <w:numId w:val="1011"/>
        </w:numPr>
      </w:pPr>
      <w:r>
        <w:rPr>
          <w:b/>
          <w:bCs/>
        </w:rPr>
        <w:t xml:space="preserve">FOIL requests</w:t>
      </w:r>
      <w:r>
        <w:t xml:space="preserve"> </w:t>
      </w:r>
      <w:r>
        <w:t xml:space="preserve">for internal DOE records on audit status</w:t>
      </w:r>
    </w:p>
    <w:p>
      <w:pPr>
        <w:pStyle w:val="Compact"/>
        <w:numPr>
          <w:ilvl w:val="0"/>
          <w:numId w:val="1011"/>
        </w:numPr>
      </w:pPr>
      <w:r>
        <w:rPr>
          <w:b/>
          <w:bCs/>
        </w:rPr>
        <w:t xml:space="preserve">Political pressure</w:t>
      </w:r>
      <w:r>
        <w:t xml:space="preserve"> </w:t>
      </w:r>
      <w:r>
        <w:t xml:space="preserve">via schools, councils, education advocates</w:t>
      </w:r>
    </w:p>
    <w:bookmarkEnd w:id="23"/>
    <w:bookmarkStart w:id="24" w:name="sussmans-role-in-escalation"/>
    <w:p>
      <w:pPr>
        <w:pStyle w:val="Heading3"/>
      </w:pPr>
      <w:r>
        <w:t xml:space="preserve">4.2 Sussman’s Role in Escalation</w:t>
      </w:r>
    </w:p>
    <w:p>
      <w:pPr>
        <w:pStyle w:val="FirstParagraph"/>
      </w:pPr>
      <w:r>
        <w:t xml:space="preserve">Sussman agrees to:</w:t>
      </w:r>
    </w:p>
    <w:p>
      <w:pPr>
        <w:pStyle w:val="Compact"/>
        <w:numPr>
          <w:ilvl w:val="0"/>
          <w:numId w:val="1012"/>
        </w:numPr>
      </w:pPr>
      <w:r>
        <w:rPr>
          <w:b/>
          <w:bCs/>
        </w:rPr>
        <w:t xml:space="preserve">Support</w:t>
      </w:r>
      <w:r>
        <w:t xml:space="preserve"> </w:t>
      </w:r>
      <w:r>
        <w:t xml:space="preserve">legal proceedings (including providing testimony/documentation if needed)</w:t>
      </w:r>
    </w:p>
    <w:p>
      <w:pPr>
        <w:pStyle w:val="Compact"/>
        <w:numPr>
          <w:ilvl w:val="0"/>
          <w:numId w:val="1012"/>
        </w:numPr>
      </w:pPr>
      <w:r>
        <w:rPr>
          <w:b/>
          <w:bCs/>
        </w:rPr>
        <w:t xml:space="preserve">Authorize MNI</w:t>
      </w:r>
      <w:r>
        <w:t xml:space="preserve"> </w:t>
      </w:r>
      <w:r>
        <w:t xml:space="preserve">to reference Sussman’s contracted revenue in legal filings</w:t>
      </w:r>
    </w:p>
    <w:p>
      <w:pPr>
        <w:pStyle w:val="Compact"/>
        <w:numPr>
          <w:ilvl w:val="0"/>
          <w:numId w:val="1012"/>
        </w:numPr>
      </w:pPr>
      <w:r>
        <w:rPr>
          <w:b/>
          <w:bCs/>
        </w:rPr>
        <w:t xml:space="preserve">Participate</w:t>
      </w:r>
      <w:r>
        <w:t xml:space="preserve"> </w:t>
      </w:r>
      <w:r>
        <w:t xml:space="preserve">in political pressure (schools, DOE contacts, advocacy partners)</w:t>
      </w:r>
    </w:p>
    <w:p>
      <w:pPr>
        <w:pStyle w:val="Compact"/>
        <w:numPr>
          <w:ilvl w:val="0"/>
          <w:numId w:val="1012"/>
        </w:numPr>
      </w:pPr>
      <w:r>
        <w:rPr>
          <w:b/>
          <w:bCs/>
        </w:rPr>
        <w:t xml:space="preserve">Share costs</w:t>
      </w:r>
      <w:r>
        <w:t xml:space="preserve"> </w:t>
      </w:r>
      <w:r>
        <w:t xml:space="preserve">of legal action (if escalation is necessary) on a</w:t>
      </w:r>
      <w:r>
        <w:t xml:space="preserve"> </w:t>
      </w:r>
      <w:r>
        <w:rPr>
          <w:b/>
          <w:bCs/>
        </w:rPr>
        <w:t xml:space="preserve">50/50 basis</w:t>
      </w:r>
      <w:r>
        <w:t xml:space="preserve"> </w:t>
      </w:r>
      <w:r>
        <w:t xml:space="preserve">for Article 78 and FOIL-related expenses</w:t>
      </w:r>
    </w:p>
    <w:p>
      <w:pPr>
        <w:pStyle w:val="FirstParagraph"/>
      </w:pPr>
      <w:r>
        <w:rPr>
          <w:b/>
          <w:bCs/>
        </w:rPr>
        <w:t xml:space="preserve">Alternatively</w:t>
      </w:r>
      <w:r>
        <w:t xml:space="preserve">: Sussman may fully fund legal costs, in which case MNI shares all outcomes and recovered damages/approval.</w:t>
      </w:r>
    </w:p>
    <w:bookmarkEnd w:id="24"/>
    <w:bookmarkStart w:id="25" w:name="legal-standing"/>
    <w:p>
      <w:pPr>
        <w:pStyle w:val="Heading3"/>
      </w:pPr>
      <w:r>
        <w:t xml:space="preserve">4.3 Legal Standing</w:t>
      </w:r>
    </w:p>
    <w:p>
      <w:pPr>
        <w:pStyle w:val="FirstParagraph"/>
      </w:pPr>
      <w:r>
        <w:t xml:space="preserve">MNI will position the claim as:</w:t>
      </w:r>
    </w:p>
    <w:p>
      <w:pPr>
        <w:pStyle w:val="Compact"/>
        <w:numPr>
          <w:ilvl w:val="0"/>
          <w:numId w:val="1013"/>
        </w:numPr>
      </w:pPr>
      <w:r>
        <w:t xml:space="preserve">Arbitrary and capricious delay by NYC BOE</w:t>
      </w:r>
    </w:p>
    <w:p>
      <w:pPr>
        <w:pStyle w:val="Compact"/>
        <w:numPr>
          <w:ilvl w:val="0"/>
          <w:numId w:val="1013"/>
        </w:numPr>
      </w:pPr>
      <w:r>
        <w:t xml:space="preserve">Breach of vendor approval process timelines (if such timelines exist in law)</w:t>
      </w:r>
    </w:p>
    <w:p>
      <w:pPr>
        <w:pStyle w:val="Compact"/>
        <w:numPr>
          <w:ilvl w:val="0"/>
          <w:numId w:val="1013"/>
        </w:numPr>
      </w:pPr>
      <w:r>
        <w:t xml:space="preserve">Interference with lawful commercial activity</w:t>
      </w:r>
    </w:p>
    <w:p>
      <w:pPr>
        <w:pStyle w:val="Compact"/>
        <w:numPr>
          <w:ilvl w:val="0"/>
          <w:numId w:val="1013"/>
        </w:numPr>
      </w:pPr>
      <w:r>
        <w:t xml:space="preserve">Potential damages: projected lost revenue ($125K year 1, $250K year 2, $350K year 3)</w:t>
      </w:r>
    </w:p>
    <w:p>
      <w:r>
        <w:pict>
          <v:rect style="width:0;height:1.5pt" o:hralign="center" o:hrstd="t" o:hr="t"/>
        </w:pict>
      </w:r>
    </w:p>
    <w:bookmarkEnd w:id="25"/>
    <w:bookmarkEnd w:id="26"/>
    <w:bookmarkStart w:id="30" w:name="consequences-for-non-compliance"/>
    <w:p>
      <w:pPr>
        <w:pStyle w:val="Heading2"/>
      </w:pPr>
      <w:r>
        <w:t xml:space="preserve">5. CONSEQUENCES FOR NON-COMPLIANCE</w:t>
      </w:r>
    </w:p>
    <w:bookmarkStart w:id="27" w:name="milestone-non-compliance-90-days"/>
    <w:p>
      <w:pPr>
        <w:pStyle w:val="Heading3"/>
      </w:pPr>
      <w:r>
        <w:t xml:space="preserve">5.1 Milestone Non-Compliance (90 days)</w:t>
      </w:r>
    </w:p>
    <w:p>
      <w:pPr>
        <w:pStyle w:val="FirstParagraph"/>
      </w:pPr>
      <w:r>
        <w:t xml:space="preserve">If Sussman fails to meet</w:t>
      </w:r>
      <w:r>
        <w:t xml:space="preserve"> </w:t>
      </w:r>
      <w:r>
        <w:rPr>
          <w:b/>
          <w:bCs/>
        </w:rPr>
        <w:t xml:space="preserve">any</w:t>
      </w:r>
      <w:r>
        <w:t xml:space="preserve"> </w:t>
      </w:r>
      <w:r>
        <w:t xml:space="preserve">of the four milestones by</w:t>
      </w:r>
      <w:r>
        <w:t xml:space="preserve"> </w:t>
      </w:r>
      <w:r>
        <w:rPr>
          <w:b/>
          <w:bCs/>
        </w:rPr>
        <w:t xml:space="preserve">Day 90</w:t>
      </w:r>
      <w:r>
        <w:t xml:space="preserve">:</w:t>
      </w:r>
    </w:p>
    <w:p>
      <w:pPr>
        <w:pStyle w:val="Compact"/>
        <w:numPr>
          <w:ilvl w:val="0"/>
          <w:numId w:val="1014"/>
        </w:numPr>
      </w:pPr>
      <w:r>
        <w:t xml:space="preserve">MNI may convert agreement to</w:t>
      </w:r>
      <w:r>
        <w:t xml:space="preserve"> </w:t>
      </w:r>
      <w:r>
        <w:rPr>
          <w:b/>
          <w:bCs/>
        </w:rPr>
        <w:t xml:space="preserve">non-exclusive</w:t>
      </w:r>
      <w:r>
        <w:t xml:space="preserve"> </w:t>
      </w:r>
      <w:r>
        <w:t xml:space="preserve">status immediately</w:t>
      </w:r>
    </w:p>
    <w:p>
      <w:pPr>
        <w:pStyle w:val="Compact"/>
        <w:numPr>
          <w:ilvl w:val="0"/>
          <w:numId w:val="1014"/>
        </w:numPr>
      </w:pPr>
      <w:r>
        <w:t xml:space="preserve">Sussman retains existing customer relationships and sales</w:t>
      </w:r>
    </w:p>
    <w:p>
      <w:pPr>
        <w:pStyle w:val="Compact"/>
        <w:numPr>
          <w:ilvl w:val="0"/>
          <w:numId w:val="1014"/>
        </w:numPr>
      </w:pPr>
      <w:r>
        <w:t xml:space="preserve">MNI may license to additional partners in NYC territory</w:t>
      </w:r>
    </w:p>
    <w:bookmarkEnd w:id="27"/>
    <w:bookmarkStart w:id="28" w:name="continued-non-movement-120-days"/>
    <w:p>
      <w:pPr>
        <w:pStyle w:val="Heading3"/>
      </w:pPr>
      <w:r>
        <w:t xml:space="preserve">5.2 Continued Non-Movement (120+ days)</w:t>
      </w:r>
    </w:p>
    <w:p>
      <w:pPr>
        <w:pStyle w:val="FirstParagraph"/>
      </w:pPr>
      <w:r>
        <w:t xml:space="preserve">If:</w:t>
      </w:r>
    </w:p>
    <w:p>
      <w:pPr>
        <w:pStyle w:val="Compact"/>
        <w:numPr>
          <w:ilvl w:val="0"/>
          <w:numId w:val="1015"/>
        </w:numPr>
      </w:pPr>
      <w:r>
        <w:t xml:space="preserve">DOE audit remains incomplete</w:t>
      </w:r>
    </w:p>
    <w:p>
      <w:pPr>
        <w:pStyle w:val="Compact"/>
        <w:numPr>
          <w:ilvl w:val="0"/>
          <w:numId w:val="1015"/>
        </w:numPr>
      </w:pPr>
      <w:r>
        <w:t xml:space="preserve">No documented deficiencies exist</w:t>
      </w:r>
    </w:p>
    <w:p>
      <w:pPr>
        <w:pStyle w:val="Compact"/>
        <w:numPr>
          <w:ilvl w:val="0"/>
          <w:numId w:val="1015"/>
        </w:numPr>
      </w:pPr>
      <w:r>
        <w:t xml:space="preserve">Sussman has not actively engaged on escalation</w:t>
      </w:r>
    </w:p>
    <w:p>
      <w:pPr>
        <w:pStyle w:val="FirstParagraph"/>
      </w:pPr>
      <w:r>
        <w:t xml:space="preserve">Then:</w:t>
      </w:r>
    </w:p>
    <w:p>
      <w:pPr>
        <w:pStyle w:val="Compact"/>
        <w:numPr>
          <w:ilvl w:val="0"/>
          <w:numId w:val="1016"/>
        </w:numPr>
      </w:pPr>
      <w:r>
        <w:t xml:space="preserve">Exclusivity</w:t>
      </w:r>
      <w:r>
        <w:t xml:space="preserve"> </w:t>
      </w:r>
      <w:r>
        <w:rPr>
          <w:b/>
          <w:bCs/>
        </w:rPr>
        <w:t xml:space="preserve">terminates</w:t>
      </w:r>
    </w:p>
    <w:p>
      <w:pPr>
        <w:pStyle w:val="Compact"/>
        <w:numPr>
          <w:ilvl w:val="0"/>
          <w:numId w:val="1016"/>
        </w:numPr>
      </w:pPr>
      <w:r>
        <w:t xml:space="preserve">MNI may license to other distributors in NYC territory</w:t>
      </w:r>
    </w:p>
    <w:p>
      <w:pPr>
        <w:pStyle w:val="Compact"/>
        <w:numPr>
          <w:ilvl w:val="0"/>
          <w:numId w:val="1016"/>
        </w:numPr>
      </w:pPr>
      <w:r>
        <w:t xml:space="preserve">Sussman may continue existing sales but at</w:t>
      </w:r>
      <w:r>
        <w:t xml:space="preserve"> </w:t>
      </w:r>
      <w:r>
        <w:rPr>
          <w:b/>
          <w:bCs/>
        </w:rPr>
        <w:t xml:space="preserve">non-exclusive terms</w:t>
      </w:r>
    </w:p>
    <w:p>
      <w:pPr>
        <w:pStyle w:val="Compact"/>
        <w:numPr>
          <w:ilvl w:val="0"/>
          <w:numId w:val="1016"/>
        </w:numPr>
      </w:pPr>
      <w:r>
        <w:t xml:space="preserve">Revenue sharing remains the same ($20/MNTEST, $750/Practitioner Course)</w:t>
      </w:r>
    </w:p>
    <w:bookmarkEnd w:id="28"/>
    <w:bookmarkStart w:id="29" w:name="failure-to-support-legal-escalation"/>
    <w:p>
      <w:pPr>
        <w:pStyle w:val="Heading3"/>
      </w:pPr>
      <w:r>
        <w:t xml:space="preserve">5.3 Failure to Support Legal Escalation</w:t>
      </w:r>
    </w:p>
    <w:p>
      <w:pPr>
        <w:pStyle w:val="FirstParagraph"/>
      </w:pPr>
      <w:r>
        <w:t xml:space="preserve">If escalation becomes necessary and Sussman refuses to:</w:t>
      </w:r>
      <w:r>
        <w:t xml:space="preserve"> </w:t>
      </w:r>
      <w:r>
        <w:t xml:space="preserve">- Provide documentation</w:t>
      </w:r>
      <w:r>
        <w:t xml:space="preserve"> </w:t>
      </w:r>
      <w:r>
        <w:t xml:space="preserve">- Allow use of contracted revenue figures</w:t>
      </w:r>
      <w:r>
        <w:t xml:space="preserve"> </w:t>
      </w:r>
      <w:r>
        <w:t xml:space="preserve">- Support political pressure</w:t>
      </w:r>
    </w:p>
    <w:p>
      <w:pPr>
        <w:pStyle w:val="BodyText"/>
      </w:pPr>
      <w:r>
        <w:t xml:space="preserve">Then MNI may:</w:t>
      </w:r>
      <w:r>
        <w:t xml:space="preserve"> </w:t>
      </w:r>
      <w:r>
        <w:t xml:space="preserve">- Withdraw Sussman from exclusivity</w:t>
      </w:r>
      <w:r>
        <w:t xml:space="preserve"> </w:t>
      </w:r>
      <w:r>
        <w:t xml:space="preserve">- Pursue legal action independently</w:t>
      </w:r>
      <w:r>
        <w:t xml:space="preserve"> </w:t>
      </w:r>
      <w:r>
        <w:t xml:space="preserve">- Use all outcomes for benefit of MNI (not shared with Sussman)</w:t>
      </w:r>
    </w:p>
    <w:p>
      <w:r>
        <w:pict>
          <v:rect style="width:0;height:1.5pt" o:hralign="center" o:hrstd="t" o:hr="t"/>
        </w:pict>
      </w:r>
    </w:p>
    <w:bookmarkEnd w:id="29"/>
    <w:bookmarkEnd w:id="30"/>
    <w:bookmarkStart w:id="38" w:name="existing-agreement-terms-unchanged"/>
    <w:p>
      <w:pPr>
        <w:pStyle w:val="Heading2"/>
      </w:pPr>
      <w:r>
        <w:t xml:space="preserve">6. EXISTING AGREEMENT TERMS (UNCHANGED)</w:t>
      </w:r>
    </w:p>
    <w:p>
      <w:pPr>
        <w:pStyle w:val="FirstParagraph"/>
      </w:pPr>
      <w:r>
        <w:t xml:space="preserve">The following provisions from the September 1, 2023 agreement remain in full force:</w:t>
      </w:r>
    </w:p>
    <w:bookmarkStart w:id="31" w:name="revenue-model"/>
    <w:p>
      <w:pPr>
        <w:pStyle w:val="Heading3"/>
      </w:pPr>
      <w:r>
        <w:t xml:space="preserve">6.1 Revenue Model</w:t>
      </w:r>
    </w:p>
    <w:p>
      <w:pPr>
        <w:pStyle w:val="Compact"/>
        <w:numPr>
          <w:ilvl w:val="0"/>
          <w:numId w:val="1017"/>
        </w:numPr>
      </w:pPr>
      <w:r>
        <w:rPr>
          <w:b/>
          <w:bCs/>
        </w:rPr>
        <w:t xml:space="preserve">$20 per MNTEST</w:t>
      </w:r>
      <w:r>
        <w:t xml:space="preserve"> </w:t>
      </w:r>
      <w:r>
        <w:t xml:space="preserve">(flat rate)</w:t>
      </w:r>
    </w:p>
    <w:p>
      <w:pPr>
        <w:pStyle w:val="Compact"/>
        <w:numPr>
          <w:ilvl w:val="0"/>
          <w:numId w:val="1017"/>
        </w:numPr>
      </w:pPr>
      <w:r>
        <w:rPr>
          <w:b/>
          <w:bCs/>
        </w:rPr>
        <w:t xml:space="preserve">$750 per attendee</w:t>
      </w:r>
      <w:r>
        <w:t xml:space="preserve"> </w:t>
      </w:r>
      <w:r>
        <w:t xml:space="preserve">for MN Practitioner Course</w:t>
      </w:r>
    </w:p>
    <w:p>
      <w:pPr>
        <w:pStyle w:val="Compact"/>
        <w:numPr>
          <w:ilvl w:val="0"/>
          <w:numId w:val="1017"/>
        </w:numPr>
      </w:pPr>
      <w:r>
        <w:t xml:space="preserve">Sussman may discount; MNI considers bulk discounts case-by-case</w:t>
      </w:r>
    </w:p>
    <w:p>
      <w:pPr>
        <w:pStyle w:val="Compact"/>
        <w:numPr>
          <w:ilvl w:val="0"/>
          <w:numId w:val="1017"/>
        </w:numPr>
      </w:pPr>
      <w:r>
        <w:t xml:space="preserve">Payments due within 14 days of Sussman receiving payment</w:t>
      </w:r>
    </w:p>
    <w:bookmarkEnd w:id="31"/>
    <w:bookmarkStart w:id="32" w:name="sales-targets"/>
    <w:p>
      <w:pPr>
        <w:pStyle w:val="Heading3"/>
      </w:pPr>
      <w:r>
        <w:t xml:space="preserve">6.2 Sales Targets</w:t>
      </w:r>
    </w:p>
    <w:p>
      <w:pPr>
        <w:pStyle w:val="Compact"/>
        <w:numPr>
          <w:ilvl w:val="0"/>
          <w:numId w:val="1018"/>
        </w:numPr>
      </w:pPr>
      <w:r>
        <w:rPr>
          <w:b/>
          <w:bCs/>
        </w:rPr>
        <w:t xml:space="preserve">Year 1</w:t>
      </w:r>
      <w:r>
        <w:t xml:space="preserve">: $125,000</w:t>
      </w:r>
    </w:p>
    <w:p>
      <w:pPr>
        <w:pStyle w:val="Compact"/>
        <w:numPr>
          <w:ilvl w:val="0"/>
          <w:numId w:val="1018"/>
        </w:numPr>
      </w:pPr>
      <w:r>
        <w:rPr>
          <w:b/>
          <w:bCs/>
        </w:rPr>
        <w:t xml:space="preserve">Year 2</w:t>
      </w:r>
      <w:r>
        <w:t xml:space="preserve">: $250,000</w:t>
      </w:r>
    </w:p>
    <w:p>
      <w:pPr>
        <w:pStyle w:val="Compact"/>
        <w:numPr>
          <w:ilvl w:val="0"/>
          <w:numId w:val="1018"/>
        </w:numPr>
      </w:pPr>
      <w:r>
        <w:rPr>
          <w:b/>
          <w:bCs/>
        </w:rPr>
        <w:t xml:space="preserve">Year 3</w:t>
      </w:r>
      <w:r>
        <w:t xml:space="preserve">: $350,000</w:t>
      </w:r>
    </w:p>
    <w:p>
      <w:pPr>
        <w:pStyle w:val="FirstParagraph"/>
      </w:pPr>
      <w:r>
        <w:rPr>
          <w:i/>
          <w:iCs/>
        </w:rPr>
        <w:t xml:space="preserve">(Note: If FAMIS approval delays extend Year 1, targets may be renegotiated with MNI written consent)</w:t>
      </w:r>
    </w:p>
    <w:bookmarkEnd w:id="32"/>
    <w:bookmarkStart w:id="33" w:name="mni-support"/>
    <w:p>
      <w:pPr>
        <w:pStyle w:val="Heading3"/>
      </w:pPr>
      <w:r>
        <w:t xml:space="preserve">6.3 MNI Support</w:t>
      </w:r>
    </w:p>
    <w:p>
      <w:pPr>
        <w:pStyle w:val="Compact"/>
        <w:numPr>
          <w:ilvl w:val="0"/>
          <w:numId w:val="1019"/>
        </w:numPr>
      </w:pPr>
      <w:r>
        <w:t xml:space="preserve">Steven Rudolph available for occasional high-level pitches</w:t>
      </w:r>
    </w:p>
    <w:p>
      <w:pPr>
        <w:pStyle w:val="Compact"/>
        <w:numPr>
          <w:ilvl w:val="0"/>
          <w:numId w:val="1019"/>
        </w:numPr>
      </w:pPr>
      <w:r>
        <w:t xml:space="preserve">Free MNTEST samples for marketing</w:t>
      </w:r>
    </w:p>
    <w:p>
      <w:pPr>
        <w:pStyle w:val="Compact"/>
        <w:numPr>
          <w:ilvl w:val="0"/>
          <w:numId w:val="1019"/>
        </w:numPr>
      </w:pPr>
      <w:r>
        <w:t xml:space="preserve">Free MN Dashboard account for marketing/demos</w:t>
      </w:r>
    </w:p>
    <w:p>
      <w:pPr>
        <w:pStyle w:val="Compact"/>
        <w:numPr>
          <w:ilvl w:val="0"/>
          <w:numId w:val="1019"/>
        </w:numPr>
      </w:pPr>
      <w:r>
        <w:t xml:space="preserve">Free training for Sussman staff (no charge)</w:t>
      </w:r>
    </w:p>
    <w:p>
      <w:pPr>
        <w:pStyle w:val="Compact"/>
        <w:numPr>
          <w:ilvl w:val="0"/>
          <w:numId w:val="1019"/>
        </w:numPr>
      </w:pPr>
      <w:r>
        <w:t xml:space="preserve">MNI performs Live Assessments through 12/31/2023; Sussman after</w:t>
      </w:r>
    </w:p>
    <w:bookmarkEnd w:id="33"/>
    <w:bookmarkStart w:id="34" w:name="sussman-obligations"/>
    <w:p>
      <w:pPr>
        <w:pStyle w:val="Heading3"/>
      </w:pPr>
      <w:r>
        <w:t xml:space="preserve">6.4 Sussman Obligations</w:t>
      </w:r>
    </w:p>
    <w:p>
      <w:pPr>
        <w:pStyle w:val="Compact"/>
        <w:numPr>
          <w:ilvl w:val="0"/>
          <w:numId w:val="1020"/>
        </w:numPr>
      </w:pPr>
      <w:r>
        <w:t xml:space="preserve">At least 1 employee certified in MN Practitioner Course by 11/1/2023 (free)</w:t>
      </w:r>
    </w:p>
    <w:p>
      <w:pPr>
        <w:pStyle w:val="Compact"/>
        <w:numPr>
          <w:ilvl w:val="0"/>
          <w:numId w:val="1020"/>
        </w:numPr>
      </w:pPr>
      <w:r>
        <w:t xml:space="preserve">3-hour admin training on MN Dashboard (free)</w:t>
      </w:r>
    </w:p>
    <w:p>
      <w:pPr>
        <w:pStyle w:val="Compact"/>
        <w:numPr>
          <w:ilvl w:val="0"/>
          <w:numId w:val="1020"/>
        </w:numPr>
      </w:pPr>
      <w:r>
        <w:t xml:space="preserve">Full customer support (non-technical issues)</w:t>
      </w:r>
    </w:p>
    <w:p>
      <w:pPr>
        <w:pStyle w:val="Compact"/>
        <w:numPr>
          <w:ilvl w:val="0"/>
          <w:numId w:val="1020"/>
        </w:numPr>
      </w:pPr>
      <w:r>
        <w:t xml:space="preserve">In-house practitioner(s) for majority of live assessments</w:t>
      </w:r>
    </w:p>
    <w:bookmarkEnd w:id="34"/>
    <w:bookmarkStart w:id="35" w:name="ip-brand"/>
    <w:p>
      <w:pPr>
        <w:pStyle w:val="Heading3"/>
      </w:pPr>
      <w:r>
        <w:t xml:space="preserve">6.5 IP &amp; Brand</w:t>
      </w:r>
    </w:p>
    <w:p>
      <w:pPr>
        <w:pStyle w:val="Compact"/>
        <w:numPr>
          <w:ilvl w:val="0"/>
          <w:numId w:val="1021"/>
        </w:numPr>
      </w:pPr>
      <w:r>
        <w:t xml:space="preserve">Cannot create/modify tests without written MNI approval</w:t>
      </w:r>
    </w:p>
    <w:p>
      <w:pPr>
        <w:pStyle w:val="Compact"/>
        <w:numPr>
          <w:ilvl w:val="0"/>
          <w:numId w:val="1021"/>
        </w:numPr>
      </w:pPr>
      <w:r>
        <w:t xml:space="preserve">Cannot register competing products</w:t>
      </w:r>
    </w:p>
    <w:p>
      <w:pPr>
        <w:pStyle w:val="Compact"/>
        <w:numPr>
          <w:ilvl w:val="0"/>
          <w:numId w:val="1021"/>
        </w:numPr>
      </w:pPr>
      <w:r>
        <w:t xml:space="preserve">All improvements to Property = MNI property (unless written exception)</w:t>
      </w:r>
    </w:p>
    <w:p>
      <w:pPr>
        <w:pStyle w:val="Compact"/>
        <w:numPr>
          <w:ilvl w:val="0"/>
          <w:numId w:val="1021"/>
        </w:numPr>
      </w:pPr>
      <w:r>
        <w:t xml:space="preserve">All translations = MNI property</w:t>
      </w:r>
    </w:p>
    <w:p>
      <w:pPr>
        <w:pStyle w:val="Compact"/>
        <w:numPr>
          <w:ilvl w:val="0"/>
          <w:numId w:val="1021"/>
        </w:numPr>
      </w:pPr>
      <w:r>
        <w:t xml:space="preserve">MNI creates/approves social media accounts using MNI IP</w:t>
      </w:r>
    </w:p>
    <w:p>
      <w:pPr>
        <w:pStyle w:val="Compact"/>
        <w:numPr>
          <w:ilvl w:val="0"/>
          <w:numId w:val="1021"/>
        </w:numPr>
      </w:pPr>
      <w:r>
        <w:t xml:space="preserve">30 days to fix branding violations after notice</w:t>
      </w:r>
    </w:p>
    <w:bookmarkEnd w:id="35"/>
    <w:bookmarkStart w:id="36" w:name="compliance"/>
    <w:p>
      <w:pPr>
        <w:pStyle w:val="Heading3"/>
      </w:pPr>
      <w:r>
        <w:t xml:space="preserve">6.6 Compliance</w:t>
      </w:r>
    </w:p>
    <w:p>
      <w:pPr>
        <w:pStyle w:val="Compact"/>
        <w:numPr>
          <w:ilvl w:val="0"/>
          <w:numId w:val="1022"/>
        </w:numPr>
      </w:pPr>
      <w:r>
        <w:t xml:space="preserve">MNI: FERPA, COPPA, NYS Chapter II compliance</w:t>
      </w:r>
    </w:p>
    <w:p>
      <w:pPr>
        <w:pStyle w:val="Compact"/>
        <w:numPr>
          <w:ilvl w:val="0"/>
          <w:numId w:val="1022"/>
        </w:numPr>
      </w:pPr>
      <w:r>
        <w:t xml:space="preserve">Sussman: customer support; check MNI systems for compliance (no charge)</w:t>
      </w:r>
    </w:p>
    <w:p>
      <w:pPr>
        <w:pStyle w:val="Compact"/>
        <w:numPr>
          <w:ilvl w:val="0"/>
          <w:numId w:val="1022"/>
        </w:numPr>
      </w:pPr>
      <w:r>
        <w:t xml:space="preserve">Follow MNI Branding Guidelines + Practitioner Code of Ethics</w:t>
      </w:r>
    </w:p>
    <w:bookmarkEnd w:id="36"/>
    <w:bookmarkStart w:id="37" w:name="termination-with-modifications-below"/>
    <w:p>
      <w:pPr>
        <w:pStyle w:val="Heading3"/>
      </w:pPr>
      <w:r>
        <w:t xml:space="preserve">6.7 Termination (with modifications below)</w:t>
      </w:r>
    </w:p>
    <w:p>
      <w:pPr>
        <w:pStyle w:val="Compact"/>
        <w:numPr>
          <w:ilvl w:val="0"/>
          <w:numId w:val="1023"/>
        </w:numPr>
      </w:pPr>
      <w:r>
        <w:t xml:space="preserve">Material breach uncured in 30 days → either party may terminate</w:t>
      </w:r>
    </w:p>
    <w:p>
      <w:pPr>
        <w:pStyle w:val="Compact"/>
        <w:numPr>
          <w:ilvl w:val="0"/>
          <w:numId w:val="1023"/>
        </w:numPr>
      </w:pPr>
      <w:r>
        <w:t xml:space="preserve">Sussman fails NYC DOE license within 6 months → MNI may terminate</w:t>
      </w:r>
      <w:r>
        <w:t xml:space="preserve"> </w:t>
      </w:r>
      <w:r>
        <w:rPr>
          <w:i/>
          <w:iCs/>
        </w:rPr>
        <w:t xml:space="preserve">(MODIFIED: see Section 5 above)</w:t>
      </w:r>
    </w:p>
    <w:p>
      <w:pPr>
        <w:pStyle w:val="Compact"/>
        <w:numPr>
          <w:ilvl w:val="0"/>
          <w:numId w:val="1023"/>
        </w:numPr>
      </w:pPr>
      <w:r>
        <w:t xml:space="preserve">Sussman misses sales targets → MNI may terminate</w:t>
      </w:r>
    </w:p>
    <w:p>
      <w:pPr>
        <w:pStyle w:val="Compact"/>
        <w:numPr>
          <w:ilvl w:val="0"/>
          <w:numId w:val="1023"/>
        </w:numPr>
      </w:pPr>
      <w:r>
        <w:t xml:space="preserve">No refunds if agreement ends</w:t>
      </w:r>
    </w:p>
    <w:p>
      <w:pPr>
        <w:pStyle w:val="Compact"/>
        <w:numPr>
          <w:ilvl w:val="0"/>
          <w:numId w:val="1023"/>
        </w:numPr>
      </w:pPr>
      <w:r>
        <w:t xml:space="preserve">Post-termination: zero rights to use Property</w:t>
      </w:r>
    </w:p>
    <w:p>
      <w:r>
        <w:pict>
          <v:rect style="width:0;height:1.5pt" o:hralign="center" o:hrstd="t" o:hr="t"/>
        </w:pict>
      </w:r>
    </w:p>
    <w:bookmarkEnd w:id="37"/>
    <w:bookmarkEnd w:id="38"/>
    <w:bookmarkStart w:id="42" w:name="term-renewal"/>
    <w:p>
      <w:pPr>
        <w:pStyle w:val="Heading2"/>
      </w:pPr>
      <w:r>
        <w:t xml:space="preserve">7. TERM &amp; RENEWAL</w:t>
      </w:r>
    </w:p>
    <w:bookmarkStart w:id="39" w:name="initial-term"/>
    <w:p>
      <w:pPr>
        <w:pStyle w:val="Heading3"/>
      </w:pPr>
      <w:r>
        <w:t xml:space="preserve">7.1 Initial Term</w:t>
      </w:r>
    </w:p>
    <w:p>
      <w:pPr>
        <w:pStyle w:val="Compact"/>
        <w:numPr>
          <w:ilvl w:val="0"/>
          <w:numId w:val="1024"/>
        </w:numPr>
      </w:pPr>
      <w:r>
        <w:rPr>
          <w:b/>
          <w:bCs/>
        </w:rPr>
        <w:t xml:space="preserve">3 years</w:t>
      </w:r>
      <w:r>
        <w:t xml:space="preserve"> </w:t>
      </w:r>
      <w:r>
        <w:t xml:space="preserve">from execution of this amendment (April 24, 2026 – April 24, 2029)</w:t>
      </w:r>
    </w:p>
    <w:bookmarkEnd w:id="39"/>
    <w:bookmarkStart w:id="40" w:name="exclusivity-window"/>
    <w:p>
      <w:pPr>
        <w:pStyle w:val="Heading3"/>
      </w:pPr>
      <w:r>
        <w:t xml:space="preserve">7.2 Exclusivity Window</w:t>
      </w:r>
    </w:p>
    <w:p>
      <w:pPr>
        <w:pStyle w:val="Compact"/>
        <w:numPr>
          <w:ilvl w:val="0"/>
          <w:numId w:val="1025"/>
        </w:numPr>
      </w:pPr>
      <w:r>
        <w:t xml:space="preserve">Conditional exclusivity valid only if all milestones (Section 2) are met by</w:t>
      </w:r>
      <w:r>
        <w:t xml:space="preserve"> </w:t>
      </w:r>
      <w:r>
        <w:rPr>
          <w:b/>
          <w:bCs/>
        </w:rPr>
        <w:t xml:space="preserve">Day 90</w:t>
      </w:r>
    </w:p>
    <w:p>
      <w:pPr>
        <w:pStyle w:val="Compact"/>
        <w:numPr>
          <w:ilvl w:val="0"/>
          <w:numId w:val="1025"/>
        </w:numPr>
      </w:pPr>
      <w:r>
        <w:t xml:space="preserve">If milestones not met, agreement continues at</w:t>
      </w:r>
      <w:r>
        <w:t xml:space="preserve"> </w:t>
      </w:r>
      <w:r>
        <w:rPr>
          <w:b/>
          <w:bCs/>
        </w:rPr>
        <w:t xml:space="preserve">non-exclusive terms</w:t>
      </w:r>
      <w:r>
        <w:t xml:space="preserve"> </w:t>
      </w:r>
      <w:r>
        <w:t xml:space="preserve">for remainder of initial term</w:t>
      </w:r>
    </w:p>
    <w:bookmarkEnd w:id="40"/>
    <w:bookmarkStart w:id="41" w:name="renewal"/>
    <w:p>
      <w:pPr>
        <w:pStyle w:val="Heading3"/>
      </w:pPr>
      <w:r>
        <w:t xml:space="preserve">7.3 Renewal</w:t>
      </w:r>
    </w:p>
    <w:p>
      <w:pPr>
        <w:pStyle w:val="Compact"/>
        <w:numPr>
          <w:ilvl w:val="0"/>
          <w:numId w:val="1026"/>
        </w:numPr>
      </w:pPr>
      <w:r>
        <w:t xml:space="preserve">Parties may negotiate renewal 90 days before expiration</w:t>
      </w:r>
    </w:p>
    <w:p>
      <w:pPr>
        <w:pStyle w:val="Compact"/>
        <w:numPr>
          <w:ilvl w:val="0"/>
          <w:numId w:val="1026"/>
        </w:numPr>
      </w:pPr>
      <w:r>
        <w:t xml:space="preserve">Renewal terms may require updated performance milestones based on current market conditions</w:t>
      </w:r>
    </w:p>
    <w:p>
      <w:r>
        <w:pict>
          <v:rect style="width:0;height:1.5pt" o:hralign="center" o:hrstd="t" o:hr="t"/>
        </w:pict>
      </w:r>
    </w:p>
    <w:bookmarkEnd w:id="41"/>
    <w:bookmarkEnd w:id="42"/>
    <w:bookmarkStart w:id="43" w:name="amendment-authority"/>
    <w:p>
      <w:pPr>
        <w:pStyle w:val="Heading2"/>
      </w:pPr>
      <w:r>
        <w:t xml:space="preserve">8. AMENDMENT AUTHORITY</w:t>
      </w:r>
    </w:p>
    <w:p>
      <w:pPr>
        <w:pStyle w:val="FirstParagraph"/>
      </w:pPr>
      <w:r>
        <w:t xml:space="preserve">This amendment supersedes conflicting provisions in the September 1, 2023 agreement.</w:t>
      </w:r>
    </w:p>
    <w:p>
      <w:pPr>
        <w:pStyle w:val="BodyText"/>
      </w:pPr>
      <w:r>
        <w:t xml:space="preserve">All other provisions of the original agreement remain in effect unless explicitly modified here.</w:t>
      </w:r>
    </w:p>
    <w:p>
      <w:pPr>
        <w:pStyle w:val="BodyText"/>
      </w:pPr>
      <w:r>
        <w:t xml:space="preserve">This amendment may only be amended in writing, signed by authorized representatives of both parties.</w:t>
      </w:r>
    </w:p>
    <w:p>
      <w:r>
        <w:pict>
          <v:rect style="width:0;height:1.5pt" o:hralign="center" o:hrstd="t" o:hr="t"/>
        </w:pict>
      </w:r>
    </w:p>
    <w:bookmarkEnd w:id="43"/>
    <w:bookmarkStart w:id="44" w:name="execution"/>
    <w:p>
      <w:pPr>
        <w:pStyle w:val="Heading2"/>
      </w:pPr>
      <w:r>
        <w:t xml:space="preserve">9. EXECUTION</w:t>
      </w:r>
    </w:p>
    <w:p>
      <w:pPr>
        <w:pStyle w:val="FirstParagraph"/>
      </w:pPr>
      <w:r>
        <w:rPr>
          <w:b/>
          <w:bCs/>
        </w:rPr>
        <w:t xml:space="preserve">For Multiple Natures International, LLC:</w:t>
      </w:r>
    </w:p>
    <w:p>
      <w:pPr>
        <w:pStyle w:val="BodyText"/>
      </w:pPr>
      <w:r>
        <w:t xml:space="preserve">Name: ___________________________</w:t>
      </w:r>
      <w:r>
        <w:br/>
      </w:r>
      <w:r>
        <w:t xml:space="preserve">Title: CEO</w:t>
      </w:r>
      <w:r>
        <w:br/>
      </w:r>
      <w:r>
        <w:t xml:space="preserve">Date: ___________________________</w:t>
      </w:r>
      <w:r>
        <w:br/>
      </w:r>
      <w:r>
        <w:t xml:space="preserve">Signature: ________________________</w:t>
      </w:r>
    </w:p>
    <w:p>
      <w:pPr>
        <w:pStyle w:val="BodyText"/>
      </w:pPr>
      <w:r>
        <w:rPr>
          <w:b/>
          <w:bCs/>
        </w:rPr>
        <w:t xml:space="preserve">For Sussman Education:</w:t>
      </w:r>
    </w:p>
    <w:p>
      <w:pPr>
        <w:pStyle w:val="BodyText"/>
      </w:pPr>
      <w:r>
        <w:t xml:space="preserve">Name: ___________________________</w:t>
      </w:r>
      <w:r>
        <w:br/>
      </w:r>
      <w:r>
        <w:t xml:space="preserve">Title: ___________________________</w:t>
      </w:r>
      <w:r>
        <w:br/>
      </w:r>
      <w:r>
        <w:t xml:space="preserve">Date: ___________________________</w:t>
      </w:r>
      <w:r>
        <w:br/>
      </w:r>
      <w:r>
        <w:t xml:space="preserve">Signature: ________________________</w:t>
      </w:r>
    </w:p>
    <w:p>
      <w:r>
        <w:pict>
          <v:rect style="width:0;height:1.5pt" o:hralign="center" o:hrstd="t" o:hr="t"/>
        </w:pict>
      </w:r>
    </w:p>
    <w:bookmarkEnd w:id="44"/>
    <w:bookmarkStart w:id="45" w:name="X6a5f69927a561d3b1cecc9aeef104e040a39c22"/>
    <w:p>
      <w:pPr>
        <w:pStyle w:val="Heading2"/>
      </w:pPr>
      <w:r>
        <w:t xml:space="preserve">APPENDIX A: SAMPLE SCHOOL DEMAND LETTER TEMPLATE</w:t>
      </w:r>
    </w:p>
    <w:p>
      <w:pPr>
        <w:pStyle w:val="FirstParagraph"/>
      </w:pPr>
      <w:r>
        <w:rPr>
          <w:i/>
          <w:iCs/>
        </w:rPr>
        <w:t xml:space="preserve">(To be drafted by Sussman, approved by MNI)</w:t>
      </w:r>
    </w:p>
    <w:p>
      <w:r>
        <w:pict>
          <v:rect style="width:0;height:1.5pt" o:hralign="center" o:hrstd="t" o:hr="t"/>
        </w:pict>
      </w:r>
    </w:p>
    <w:bookmarkEnd w:id="45"/>
    <w:bookmarkStart w:id="46" w:name="X7756fe7a501dd3d163b893df7a81a9d6aeaf683"/>
    <w:p>
      <w:pPr>
        <w:pStyle w:val="Heading2"/>
      </w:pPr>
      <w:r>
        <w:t xml:space="preserve">APPENDIX B: DOE ESCALATION CONTACT TRACKER</w:t>
      </w:r>
    </w:p>
    <w:p>
      <w:pPr>
        <w:pStyle w:val="FirstParagraph"/>
      </w:pPr>
      <w:r>
        <w:rPr>
          <w:i/>
          <w:iCs/>
        </w:rPr>
        <w:t xml:space="preserve">(To be completed by Sussman within Day 30)</w:t>
      </w:r>
    </w:p>
    <w:p>
      <w:r>
        <w:pict>
          <v:rect style="width:0;height:1.5pt" o:hralign="center" o:hrstd="t" o:hr="t"/>
        </w:pict>
      </w:r>
    </w:p>
    <w:bookmarkEnd w:id="46"/>
    <w:bookmarkStart w:id="47" w:name="X9592046541c10bc5ccb279f254ede7dc193f2ca"/>
    <w:p>
      <w:pPr>
        <w:pStyle w:val="Heading2"/>
      </w:pPr>
      <w:r>
        <w:t xml:space="preserve">APPENDIX C: MONTHLY STATUS REPORT TEMPLATE</w:t>
      </w:r>
    </w:p>
    <w:p>
      <w:pPr>
        <w:pStyle w:val="FirstParagraph"/>
      </w:pPr>
      <w:r>
        <w:rPr>
          <w:i/>
          <w:iCs/>
        </w:rPr>
        <w:t xml:space="preserve">(To be submitted by Sussman each month)</w:t>
      </w:r>
    </w:p>
    <w:p>
      <w:r>
        <w:pict>
          <v:rect style="width:0;height:1.5pt" o:hralign="center" o:hrstd="t" o:hr="t"/>
        </w:pict>
      </w:r>
    </w:p>
    <w:p>
      <w:pPr>
        <w:pStyle w:val="FirstParagraph"/>
      </w:pPr>
      <w:r>
        <w:rPr>
          <w:b/>
          <w:bCs/>
        </w:rPr>
        <w:t xml:space="preserve">END DOCUMENT</w:t>
      </w:r>
    </w:p>
    <w:p>
      <w:pPr>
        <w:pStyle w:val="BodyText"/>
      </w:pPr>
      <w:r>
        <w:rPr>
          <w:b/>
          <w:bCs/>
        </w:rPr>
        <w:t xml:space="preserve">Next Steps:</w:t>
      </w:r>
      <w:r>
        <w:t xml:space="preserve"> </w:t>
      </w:r>
      <w:r>
        <w:t xml:space="preserve">1. Jonathan Rudolph legal review</w:t>
      </w:r>
      <w:r>
        <w:t xml:space="preserve"> </w:t>
      </w:r>
      <w:r>
        <w:t xml:space="preserve">2. Discuss with Sussman (friendly framing, non-threatening)</w:t>
      </w:r>
      <w:r>
        <w:t xml:space="preserve"> </w:t>
      </w:r>
      <w:r>
        <w:t xml:space="preserve">3. Finalize language based on feedback</w:t>
      </w:r>
      <w:r>
        <w:t xml:space="preserve"> </w:t>
      </w:r>
      <w:r>
        <w:t xml:space="preserve">4. Convert to .docx + DocuSign</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2026-04-24T10:12:39Z</dcterms:created>
  <dcterms:modified xsi:type="dcterms:W3CDTF">2026-04-24T10:12:39Z</dcterms:modified>
</cp:coreProperties>
</file>

<file path=docProps/custom.xml><?xml version="1.0" encoding="utf-8"?>
<Properties xmlns="http://schemas.openxmlformats.org/officeDocument/2006/custom-properties" xmlns:vt="http://schemas.openxmlformats.org/officeDocument/2006/docPropsVTypes"/>
</file>