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ussman-education-action-plan"/>
    <w:p>
      <w:pPr>
        <w:pStyle w:val="Heading1"/>
      </w:pPr>
      <w:r>
        <w:t xml:space="preserve">SUSSMAN EDUCATION — ACTION PLAN</w:t>
      </w:r>
    </w:p>
    <w:bookmarkStart w:id="9" w:name="X494ddbb1275b4b8c7d10bc313bdef4f9d6cf689"/>
    <w:p>
      <w:pPr>
        <w:pStyle w:val="Heading2"/>
      </w:pPr>
      <w:r>
        <w:t xml:space="preserve">Expediting NYC DOE Cloud Audit &amp; Maintaining Exclusive Distribution Rights</w:t>
      </w:r>
    </w:p>
    <w:p>
      <w:pPr>
        <w:pStyle w:val="FirstParagraph"/>
      </w:pPr>
      <w:r>
        <w:rPr>
          <w:b/>
          <w:bCs/>
        </w:rPr>
        <w:t xml:space="preserve">Prepared by</w:t>
      </w:r>
      <w:r>
        <w:t xml:space="preserve">: Multiple Natures International, LLC</w:t>
      </w:r>
      <w:r>
        <w:br/>
      </w:r>
      <w:r>
        <w:rPr>
          <w:b/>
          <w:bCs/>
        </w:rPr>
        <w:t xml:space="preserve">Date</w:t>
      </w:r>
      <w:r>
        <w:t xml:space="preserve">: April 24, 2026</w:t>
      </w:r>
      <w:r>
        <w:br/>
      </w:r>
      <w:r>
        <w:rPr>
          <w:b/>
          <w:bCs/>
        </w:rPr>
        <w:t xml:space="preserve">Purpose</w:t>
      </w:r>
      <w:r>
        <w:t xml:space="preserve">: Shared action framework for Sussman Education</w:t>
      </w:r>
      <w:r>
        <w:br/>
      </w:r>
      <w:r>
        <w:rPr>
          <w:b/>
          <w:bCs/>
        </w:rPr>
        <w:t xml:space="preserve">Context</w:t>
      </w:r>
      <w:r>
        <w:t xml:space="preserve">: Exclusive Distribution Agreement (Sept 2023) + Amended Exclusivity Terms (Apr 2026)</w:t>
      </w:r>
    </w:p>
    <w:p>
      <w:r>
        <w:pict>
          <v:rect style="width:0;height:1.5pt" o:hralign="center" o:hrstd="t" o:hr="t"/>
        </w:pict>
      </w:r>
    </w:p>
    <w:bookmarkEnd w:id="9"/>
    <w:bookmarkStart w:id="10" w:name="overview"/>
    <w:p>
      <w:pPr>
        <w:pStyle w:val="Heading2"/>
      </w:pPr>
      <w:r>
        <w:t xml:space="preserve">OVERVIEW</w:t>
      </w:r>
    </w:p>
    <w:p>
      <w:pPr>
        <w:pStyle w:val="FirstParagraph"/>
      </w:pPr>
      <w:r>
        <w:t xml:space="preserve">Sussman Education holds</w:t>
      </w:r>
      <w:r>
        <w:t xml:space="preserve"> </w:t>
      </w:r>
      <w:r>
        <w:rPr>
          <w:b/>
          <w:bCs/>
        </w:rPr>
        <w:t xml:space="preserve">exclusive distribution rights</w:t>
      </w:r>
      <w:r>
        <w:t xml:space="preserve"> </w:t>
      </w:r>
      <w:r>
        <w:t xml:space="preserve">for the MNTEST platform and MNI books in NYC K-12 public schools. That exclusivity is contingent on active progress toward FAMIS listing and NYC DOE cloud review approval.</w:t>
      </w:r>
    </w:p>
    <w:p>
      <w:pPr>
        <w:pStyle w:val="BodyText"/>
      </w:pPr>
      <w:r>
        <w:t xml:space="preserve">As of April 2026,</w:t>
      </w:r>
      <w:r>
        <w:t xml:space="preserve"> </w:t>
      </w:r>
      <w:r>
        <w:rPr>
          <w:b/>
          <w:bCs/>
        </w:rPr>
        <w:t xml:space="preserve">18 months have passed</w:t>
      </w:r>
      <w:r>
        <w:t xml:space="preserve"> </w:t>
      </w:r>
      <w:r>
        <w:t xml:space="preserve">since initial contact with NYC DOE with no completed audit. This is our shared problem — and this document outlines what Sussman must do to unlock the pipeline and protect their exclusivity.</w:t>
      </w:r>
    </w:p>
    <w:p>
      <w:pPr>
        <w:pStyle w:val="BodyText"/>
      </w:pPr>
      <w:r>
        <w:t xml:space="preserve">The good news:</w:t>
      </w:r>
      <w:r>
        <w:t xml:space="preserve"> </w:t>
      </w:r>
      <w:r>
        <w:rPr>
          <w:b/>
          <w:bCs/>
        </w:rPr>
        <w:t xml:space="preserve">the path is clear.</w:t>
      </w:r>
      <w:r>
        <w:t xml:space="preserve"> </w:t>
      </w:r>
      <w:r>
        <w:t xml:space="preserve">The DOE responds to one thing reliably — school demand. The strategy below is built around that.</w:t>
      </w:r>
    </w:p>
    <w:p>
      <w:r>
        <w:pict>
          <v:rect style="width:0;height:1.5pt" o:hralign="center" o:hrstd="t" o:hr="t"/>
        </w:pict>
      </w:r>
    </w:p>
    <w:bookmarkEnd w:id="10"/>
    <w:bookmarkStart w:id="17" w:name="Xce07ea1061f1e057d96dc1b517109da2fd6e384"/>
    <w:p>
      <w:pPr>
        <w:pStyle w:val="Heading2"/>
      </w:pPr>
      <w:r>
        <w:t xml:space="preserve">PART 1: EXPEDITING THE NYC DOE CLOUD AUDIT</w:t>
      </w:r>
    </w:p>
    <w:bookmarkStart w:id="11" w:name="the-core-lever-school-demand-letters"/>
    <w:p>
      <w:pPr>
        <w:pStyle w:val="Heading3"/>
      </w:pPr>
      <w:r>
        <w:t xml:space="preserve">1.1 The Core Lever — School Demand Letters</w:t>
      </w:r>
    </w:p>
    <w:p>
      <w:pPr>
        <w:pStyle w:val="FirstParagraph"/>
      </w:pPr>
      <w:r>
        <w:t xml:space="preserve">The single most effective action Sussman can take is generating</w:t>
      </w:r>
      <w:r>
        <w:t xml:space="preserve"> </w:t>
      </w:r>
      <w:r>
        <w:rPr>
          <w:b/>
          <w:bCs/>
        </w:rPr>
        <w:t xml:space="preserve">formal, written purchase intent from schools</w:t>
      </w:r>
      <w:r>
        <w:t xml:space="preserve">.</w:t>
      </w:r>
    </w:p>
    <w:p>
      <w:pPr>
        <w:pStyle w:val="BodyText"/>
      </w:pPr>
      <w:r>
        <w:t xml:space="preserve">When a school or superintendent formally states</w:t>
      </w:r>
      <w:r>
        <w:t xml:space="preserve"> </w:t>
      </w:r>
      <w:r>
        <w:t xml:space="preserve">“we intend to purchase this tool pending DOE approval,”</w:t>
      </w:r>
      <w:r>
        <w:t xml:space="preserve"> </w:t>
      </w:r>
      <w:r>
        <w:t xml:space="preserve">it:</w:t>
      </w:r>
      <w:r>
        <w:t xml:space="preserve"> </w:t>
      </w:r>
      <w:r>
        <w:t xml:space="preserve">- Converts MNI from</w:t>
      </w:r>
      <w:r>
        <w:t xml:space="preserve"> </w:t>
      </w:r>
      <w:r>
        <w:t xml:space="preserve">“vendor seeking approval”</w:t>
      </w:r>
      <w:r>
        <w:t xml:space="preserve"> </w:t>
      </w:r>
      <w:r>
        <w:t xml:space="preserve">to</w:t>
      </w:r>
      <w:r>
        <w:t xml:space="preserve"> </w:t>
      </w:r>
      <w:r>
        <w:t xml:space="preserve">“vendor schools are waiting on”</w:t>
      </w:r>
      <w:r>
        <w:t xml:space="preserve"> </w:t>
      </w:r>
      <w:r>
        <w:t xml:space="preserve">- Creates internal DOE pressure to process the request</w:t>
      </w:r>
      <w:r>
        <w:t xml:space="preserve"> </w:t>
      </w:r>
      <w:r>
        <w:t xml:space="preserve">- Establishes documented, quantified commercial harm if DOE continues to delay</w:t>
      </w:r>
      <w:r>
        <w:t xml:space="preserve"> </w:t>
      </w:r>
      <w:r>
        <w:t xml:space="preserve">- Provides legal standing for escalation if necessary</w:t>
      </w:r>
    </w:p>
    <w:p>
      <w:pPr>
        <w:pStyle w:val="BodyText"/>
      </w:pPr>
      <w:r>
        <w:rPr>
          <w:b/>
          <w:bCs/>
        </w:rPr>
        <w:t xml:space="preserve">What Sussman must do:</w:t>
      </w:r>
    </w:p>
    <w:p>
      <w:pPr>
        <w:pStyle w:val="BodyText"/>
      </w:pPr>
      <w:r>
        <w:t xml:space="preserve">Obtain written statements from</w:t>
      </w:r>
      <w:r>
        <w:t xml:space="preserve"> </w:t>
      </w:r>
      <w:r>
        <w:rPr>
          <w:b/>
          <w:bCs/>
        </w:rPr>
        <w:t xml:space="preserve">at least 3–5 NYC public schools or districts</w:t>
      </w:r>
      <w:r>
        <w:t xml:space="preserve"> </w:t>
      </w:r>
      <w:r>
        <w:t xml:space="preserve">that include:</w:t>
      </w:r>
    </w:p>
    <w:p>
      <w:pPr>
        <w:pStyle w:val="Compact"/>
        <w:numPr>
          <w:ilvl w:val="0"/>
          <w:numId w:val="1001"/>
        </w:numPr>
      </w:pPr>
      <w:r>
        <w:t xml:space="preserve">School/district name and address</w:t>
      </w:r>
    </w:p>
    <w:p>
      <w:pPr>
        <w:pStyle w:val="Compact"/>
        <w:numPr>
          <w:ilvl w:val="0"/>
          <w:numId w:val="1001"/>
        </w:numPr>
      </w:pPr>
      <w:r>
        <w:t xml:space="preserve">Name and title of signatory (principal, assistant principal, department head, superintendent)</w:t>
      </w:r>
    </w:p>
    <w:p>
      <w:pPr>
        <w:pStyle w:val="Compact"/>
        <w:numPr>
          <w:ilvl w:val="0"/>
          <w:numId w:val="1001"/>
        </w:numPr>
      </w:pPr>
      <w:r>
        <w:t xml:space="preserve">Statement that the school intends to purchase MNTEST or MNI books</w:t>
      </w:r>
    </w:p>
    <w:p>
      <w:pPr>
        <w:pStyle w:val="Compact"/>
        <w:numPr>
          <w:ilvl w:val="0"/>
          <w:numId w:val="1001"/>
        </w:numPr>
      </w:pPr>
      <w:r>
        <w:t xml:space="preserve">Statement that purchase is contingent only on DOE/FAMIS approval</w:t>
      </w:r>
    </w:p>
    <w:p>
      <w:pPr>
        <w:pStyle w:val="Compact"/>
        <w:numPr>
          <w:ilvl w:val="0"/>
          <w:numId w:val="1001"/>
        </w:numPr>
      </w:pPr>
      <w:r>
        <w:t xml:space="preserve">Statement that delay is impacting the school’s ability to serve students</w:t>
      </w:r>
    </w:p>
    <w:p>
      <w:pPr>
        <w:pStyle w:val="FirstParagraph"/>
      </w:pPr>
      <w:r>
        <w:rPr>
          <w:b/>
          <w:bCs/>
        </w:rPr>
        <w:t xml:space="preserve">District 79 (Superintendent Esperance) is the natural first call.</w:t>
      </w:r>
      <w:r>
        <w:t xml:space="preserve"> </w:t>
      </w:r>
      <w:r>
        <w:t xml:space="preserve">She has already stated in writing that her schools are</w:t>
      </w:r>
      <w:r>
        <w:t xml:space="preserve"> </w:t>
      </w:r>
      <w:r>
        <w:t xml:space="preserve">“anxious to purchase”</w:t>
      </w:r>
      <w:r>
        <w:t xml:space="preserve"> </w:t>
      </w:r>
      <w:r>
        <w:t xml:space="preserve">and that students need the tool. A formal purchase intent letter from her office, on letterhead, is the highest-value action item on this list.</w:t>
      </w:r>
    </w:p>
    <w:p>
      <w:pPr>
        <w:pStyle w:val="BodyText"/>
      </w:pPr>
      <w:r>
        <w:rPr>
          <w:b/>
          <w:bCs/>
        </w:rPr>
        <w:t xml:space="preserve">Target</w:t>
      </w:r>
      <w:r>
        <w:t xml:space="preserve">: Letters from D79 + 2–4 additional schools within</w:t>
      </w:r>
      <w:r>
        <w:t xml:space="preserve"> </w:t>
      </w:r>
      <w:r>
        <w:rPr>
          <w:b/>
          <w:bCs/>
        </w:rPr>
        <w:t xml:space="preserve">30 days</w:t>
      </w:r>
      <w:r>
        <w:t xml:space="preserve">.</w:t>
      </w:r>
    </w:p>
    <w:p>
      <w:r>
        <w:pict>
          <v:rect style="width:0;height:1.5pt" o:hralign="center" o:hrstd="t" o:hr="t"/>
        </w:pict>
      </w:r>
    </w:p>
    <w:bookmarkEnd w:id="11"/>
    <w:bookmarkStart w:id="12" w:name="Xb583b280749d5fd9ed66690d06705e8d2e2cb7a"/>
    <w:p>
      <w:pPr>
        <w:pStyle w:val="Heading3"/>
      </w:pPr>
      <w:r>
        <w:t xml:space="preserve">1.2 Escalate Inside DOE — Named Contacts, Not Email Chains</w:t>
      </w:r>
    </w:p>
    <w:p>
      <w:pPr>
        <w:pStyle w:val="FirstParagraph"/>
      </w:pPr>
      <w:r>
        <w:t xml:space="preserve">The current approach — following up via email to Domion and Kay — is insufficient. After 18 months, this needs to move up.</w:t>
      </w:r>
    </w:p>
    <w:p>
      <w:pPr>
        <w:pStyle w:val="BodyText"/>
      </w:pPr>
      <w:r>
        <w:rPr>
          <w:b/>
          <w:bCs/>
        </w:rPr>
        <w:t xml:space="preserve">Sussman must:</w:t>
      </w:r>
    </w:p>
    <w:p>
      <w:pPr>
        <w:numPr>
          <w:ilvl w:val="0"/>
          <w:numId w:val="1002"/>
        </w:numPr>
      </w:pPr>
      <w:r>
        <w:rPr>
          <w:b/>
          <w:bCs/>
        </w:rPr>
        <w:t xml:space="preserve">Request a meeting (not an email) with Daphne Franklin</w:t>
      </w:r>
      <w:r>
        <w:t xml:space="preserve"> </w:t>
      </w:r>
      <w:r>
        <w:t xml:space="preserve">— Sr. Director, Purchasing &amp; Vendor Relations, Division of School Leadership. She was added to the thread in November 2025. She has authority above Domion and Kay. A 20-minute call with her, backed by school demand letters, is worth 6 months of email follow-up.</w:t>
      </w:r>
    </w:p>
    <w:p>
      <w:pPr>
        <w:numPr>
          <w:ilvl w:val="0"/>
          <w:numId w:val="1002"/>
        </w:numPr>
      </w:pPr>
      <w:r>
        <w:rPr>
          <w:b/>
          <w:bCs/>
        </w:rPr>
        <w:t xml:space="preserve">Engage Alfred Davis</w:t>
      </w:r>
      <w:r>
        <w:t xml:space="preserve"> </w:t>
      </w:r>
      <w:r>
        <w:t xml:space="preserve">— Chief of Staff, Division of School Leadership. He was also added in November 2025. His presence suggests this has some visibility at a senior level. Sussman should request his office confirm receipt and assign a dedicated point person.</w:t>
      </w:r>
    </w:p>
    <w:p>
      <w:pPr>
        <w:numPr>
          <w:ilvl w:val="0"/>
          <w:numId w:val="1002"/>
        </w:numPr>
      </w:pPr>
      <w:r>
        <w:rPr>
          <w:b/>
          <w:bCs/>
        </w:rPr>
        <w:t xml:space="preserve">Ask DOE in writing, this week</w:t>
      </w:r>
      <w:r>
        <w:t xml:space="preserve">:</w:t>
      </w:r>
    </w:p>
    <w:p>
      <w:pPr>
        <w:pStyle w:val="Compact"/>
        <w:numPr>
          <w:ilvl w:val="1"/>
          <w:numId w:val="1003"/>
        </w:numPr>
      </w:pPr>
      <w:r>
        <w:t xml:space="preserve">“Has the ERMA request been formally initiated for Multiple Natures?”</w:t>
      </w:r>
    </w:p>
    <w:p>
      <w:pPr>
        <w:pStyle w:val="Compact"/>
        <w:numPr>
          <w:ilvl w:val="1"/>
          <w:numId w:val="1003"/>
        </w:numPr>
      </w:pPr>
      <w:r>
        <w:t xml:space="preserve">“What is the current status?”</w:t>
      </w:r>
    </w:p>
    <w:p>
      <w:pPr>
        <w:pStyle w:val="Compact"/>
        <w:numPr>
          <w:ilvl w:val="1"/>
          <w:numId w:val="1003"/>
        </w:numPr>
      </w:pPr>
      <w:r>
        <w:t xml:space="preserve">“What are the specific outstanding requirements to proceed?”</w:t>
      </w:r>
    </w:p>
    <w:p>
      <w:pPr>
        <w:pStyle w:val="Compact"/>
        <w:numPr>
          <w:ilvl w:val="1"/>
          <w:numId w:val="1003"/>
        </w:numPr>
      </w:pPr>
      <w:r>
        <w:t xml:space="preserve">“Who is the assigned reviewer and what is their timeline?”</w:t>
      </w:r>
    </w:p>
    <w:p>
      <w:pPr>
        <w:numPr>
          <w:ilvl w:val="0"/>
          <w:numId w:val="1000"/>
        </w:numPr>
      </w:pPr>
      <w:r>
        <w:t xml:space="preserve">This creates a written record and forces DOE to confirm or deny progress.</w:t>
      </w:r>
    </w:p>
    <w:p>
      <w:pPr>
        <w:numPr>
          <w:ilvl w:val="0"/>
          <w:numId w:val="1002"/>
        </w:numPr>
      </w:pPr>
      <w:r>
        <w:rPr>
          <w:b/>
          <w:bCs/>
        </w:rPr>
        <w:t xml:space="preserve">Ask Kay Robbins directly</w:t>
      </w:r>
      <w:r>
        <w:t xml:space="preserve">:</w:t>
      </w:r>
      <w:r>
        <w:t xml:space="preserve"> </w:t>
      </w:r>
      <w:r>
        <w:t xml:space="preserve">“Was the item submitted to CMT? If not, what do we need to do to submit the batch?”</w:t>
      </w:r>
      <w:r>
        <w:t xml:space="preserve"> </w:t>
      </w:r>
      <w:r>
        <w:t xml:space="preserve">(Her Nov 4, 2025 question about CMT batch numbers suggests this may be an outstanding procedural step that no one communicated to Sussman.)</w:t>
      </w:r>
    </w:p>
    <w:p>
      <w:r>
        <w:pict>
          <v:rect style="width:0;height:1.5pt" o:hralign="center" o:hrstd="t" o:hr="t"/>
        </w:pict>
      </w:r>
    </w:p>
    <w:bookmarkEnd w:id="12"/>
    <w:bookmarkStart w:id="13" w:name="X0388a02c1e3670e0ea7bf325082691b8028a902"/>
    <w:p>
      <w:pPr>
        <w:pStyle w:val="Heading3"/>
      </w:pPr>
      <w:r>
        <w:t xml:space="preserve">1.3 Submit Any Outstanding DOE Forms Immediately</w:t>
      </w:r>
    </w:p>
    <w:p>
      <w:pPr>
        <w:pStyle w:val="FirstParagraph"/>
      </w:pPr>
      <w:r>
        <w:t xml:space="preserve">From the email thread, Kay Robbins asked whether items were submitted to CMT (Content Management Tool) with a batch number. Ron Sussman’s response was that he had not submitted batches because he believed prior approval was needed.</w:t>
      </w:r>
    </w:p>
    <w:p>
      <w:pPr>
        <w:pStyle w:val="BodyText"/>
      </w:pPr>
      <w:r>
        <w:rPr>
          <w:b/>
          <w:bCs/>
        </w:rPr>
        <w:t xml:space="preserve">Sussman must clarify immediately:</w:t>
      </w:r>
      <w:r>
        <w:t xml:space="preserve"> </w:t>
      </w:r>
      <w:r>
        <w:t xml:space="preserve">- Is there a CMT submission that needs to happen independently of or concurrently with cloud review?</w:t>
      </w:r>
      <w:r>
        <w:t xml:space="preserve"> </w:t>
      </w:r>
      <w:r>
        <w:t xml:space="preserve">- If yes, submit the batch for Multiple Natures immediately</w:t>
      </w:r>
      <w:r>
        <w:t xml:space="preserve"> </w:t>
      </w:r>
      <w:r>
        <w:t xml:space="preserve">- Confirm with Kay/Domion that this is done and get a batch number in writing</w:t>
      </w:r>
    </w:p>
    <w:p>
      <w:pPr>
        <w:pStyle w:val="BodyText"/>
      </w:pPr>
      <w:r>
        <w:t xml:space="preserve">This may be a simple procedural step that has been unknowingly blocking progress.</w:t>
      </w:r>
    </w:p>
    <w:p>
      <w:r>
        <w:pict>
          <v:rect style="width:0;height:1.5pt" o:hralign="center" o:hrstd="t" o:hr="t"/>
        </w:pict>
      </w:r>
    </w:p>
    <w:bookmarkEnd w:id="13"/>
    <w:bookmarkStart w:id="14" w:name="leverage-the-erma-process-correctly"/>
    <w:p>
      <w:pPr>
        <w:pStyle w:val="Heading3"/>
      </w:pPr>
      <w:r>
        <w:t xml:space="preserve">1.4 Leverage the ERMA Process Correctly</w:t>
      </w:r>
    </w:p>
    <w:p>
      <w:pPr>
        <w:pStyle w:val="FirstParagraph"/>
      </w:pPr>
      <w:r>
        <w:t xml:space="preserve">As of November 13, 2025, Kay Robbins confirmed she was waiting for the ERMA unit to advise whether a new ERMA is required or just a product review.</w:t>
      </w:r>
    </w:p>
    <w:p>
      <w:pPr>
        <w:pStyle w:val="BodyText"/>
      </w:pPr>
      <w:r>
        <w:rPr>
          <w:b/>
          <w:bCs/>
        </w:rPr>
        <w:t xml:space="preserve">Sussman must follow up on this specific question</w:t>
      </w:r>
      <w:r>
        <w:t xml:space="preserve"> </w:t>
      </w:r>
      <w:r>
        <w:t xml:space="preserve">— it’s been 5+ months with no update. Ask:</w:t>
      </w:r>
    </w:p>
    <w:p>
      <w:pPr>
        <w:pStyle w:val="Compact"/>
        <w:numPr>
          <w:ilvl w:val="0"/>
          <w:numId w:val="1004"/>
        </w:numPr>
      </w:pPr>
      <w:r>
        <w:t xml:space="preserve">Has the ERMA unit made their determination?</w:t>
      </w:r>
    </w:p>
    <w:p>
      <w:pPr>
        <w:pStyle w:val="Compact"/>
        <w:numPr>
          <w:ilvl w:val="0"/>
          <w:numId w:val="1004"/>
        </w:numPr>
      </w:pPr>
      <w:r>
        <w:t xml:space="preserve">Is it a new ERMA or a product review?</w:t>
      </w:r>
    </w:p>
    <w:p>
      <w:pPr>
        <w:pStyle w:val="Compact"/>
        <w:numPr>
          <w:ilvl w:val="0"/>
          <w:numId w:val="1004"/>
        </w:numPr>
      </w:pPr>
      <w:r>
        <w:t xml:space="preserve">If product review: who conducts it, what is the checklist, what is the timeline?</w:t>
      </w:r>
    </w:p>
    <w:p>
      <w:pPr>
        <w:pStyle w:val="Compact"/>
        <w:numPr>
          <w:ilvl w:val="0"/>
          <w:numId w:val="1004"/>
        </w:numPr>
      </w:pPr>
      <w:r>
        <w:t xml:space="preserve">If new ERMA: where do we submit it, what are the requirements, who is the reviewer?</w:t>
      </w:r>
    </w:p>
    <w:p>
      <w:pPr>
        <w:pStyle w:val="FirstParagraph"/>
      </w:pPr>
      <w:r>
        <w:t xml:space="preserve">MNI can support this with the iKeepSafe certification documents, data handling description, and any additional privacy questionnaire forms DOE requires.</w:t>
      </w:r>
    </w:p>
    <w:p>
      <w:r>
        <w:pict>
          <v:rect style="width:0;height:1.5pt" o:hralign="center" o:hrstd="t" o:hr="t"/>
        </w:pict>
      </w:r>
    </w:p>
    <w:bookmarkEnd w:id="14"/>
    <w:bookmarkStart w:id="15" w:name="use-the-office-of-multilingual-learners"/>
    <w:p>
      <w:pPr>
        <w:pStyle w:val="Heading3"/>
      </w:pPr>
      <w:r>
        <w:t xml:space="preserve">1.5 Use the Office of Multilingual Learners</w:t>
      </w:r>
    </w:p>
    <w:p>
      <w:pPr>
        <w:pStyle w:val="FirstParagraph"/>
      </w:pPr>
      <w:r>
        <w:t xml:space="preserve">The Office of Multilingual Learners was copied on the November 2025 email thread. They serve exactly the student population — ESL students in District 79 — that Superintendent Esperance identified as the primary use case.</w:t>
      </w:r>
    </w:p>
    <w:p>
      <w:pPr>
        <w:pStyle w:val="BodyText"/>
      </w:pPr>
      <w:r>
        <w:t xml:space="preserve">Sussman should engage the Office of Multilingual Learners directly to:</w:t>
      </w:r>
      <w:r>
        <w:t xml:space="preserve"> </w:t>
      </w:r>
      <w:r>
        <w:t xml:space="preserve">- Confirm their interest in the MNTEST platform</w:t>
      </w:r>
      <w:r>
        <w:t xml:space="preserve"> </w:t>
      </w:r>
      <w:r>
        <w:t xml:space="preserve">- Request their office formally endorse or support the ERMA/cloud review request</w:t>
      </w:r>
      <w:r>
        <w:t xml:space="preserve"> </w:t>
      </w:r>
      <w:r>
        <w:t xml:space="preserve">- Ask if they can file an internal DOE request to expedite the review on behalf of their schools</w:t>
      </w:r>
    </w:p>
    <w:p>
      <w:r>
        <w:pict>
          <v:rect style="width:0;height:1.5pt" o:hralign="center" o:hrstd="t" o:hr="t"/>
        </w:pict>
      </w:r>
    </w:p>
    <w:bookmarkEnd w:id="15"/>
    <w:bookmarkStart w:id="16" w:name="coordinate-mnis-role"/>
    <w:p>
      <w:pPr>
        <w:pStyle w:val="Heading3"/>
      </w:pPr>
      <w:r>
        <w:t xml:space="preserve">1.6 Coordinate MNI’s Role</w:t>
      </w:r>
    </w:p>
    <w:p>
      <w:pPr>
        <w:pStyle w:val="FirstParagraph"/>
      </w:pPr>
      <w:r>
        <w:t xml:space="preserve">MNI commits to supporting Sussman with:</w:t>
      </w:r>
    </w:p>
    <w:p>
      <w:pPr>
        <w:pStyle w:val="Compact"/>
        <w:numPr>
          <w:ilvl w:val="0"/>
          <w:numId w:val="1005"/>
        </w:numPr>
      </w:pPr>
      <w:r>
        <w:rPr>
          <w:b/>
          <w:bCs/>
        </w:rPr>
        <w:t xml:space="preserve">Steven Rudolph available for DOE meetings</w:t>
      </w:r>
      <w:r>
        <w:t xml:space="preserve"> </w:t>
      </w:r>
      <w:r>
        <w:t xml:space="preserve">— if Sussman secures a call or in-person meeting with DOE leadership, Steven will attend as founder/CEO to answer technical and compliance questions directly</w:t>
      </w:r>
    </w:p>
    <w:p>
      <w:pPr>
        <w:pStyle w:val="Compact"/>
        <w:numPr>
          <w:ilvl w:val="0"/>
          <w:numId w:val="1005"/>
        </w:numPr>
      </w:pPr>
      <w:r>
        <w:rPr>
          <w:b/>
          <w:bCs/>
        </w:rPr>
        <w:t xml:space="preserve">iKeepSafe certification documents</w:t>
      </w:r>
      <w:r>
        <w:t xml:space="preserve"> </w:t>
      </w:r>
      <w:r>
        <w:t xml:space="preserve">— ready to provide in any format DOE requires</w:t>
      </w:r>
    </w:p>
    <w:p>
      <w:pPr>
        <w:pStyle w:val="Compact"/>
        <w:numPr>
          <w:ilvl w:val="0"/>
          <w:numId w:val="1005"/>
        </w:numPr>
      </w:pPr>
      <w:r>
        <w:rPr>
          <w:b/>
          <w:bCs/>
        </w:rPr>
        <w:t xml:space="preserve">Data handling documentation</w:t>
      </w:r>
      <w:r>
        <w:t xml:space="preserve"> </w:t>
      </w:r>
      <w:r>
        <w:t xml:space="preserve">— full data inventory already provided (Nov 7, 2025 email); can be reformatted for any DOE form</w:t>
      </w:r>
    </w:p>
    <w:p>
      <w:pPr>
        <w:pStyle w:val="Compact"/>
        <w:numPr>
          <w:ilvl w:val="0"/>
          <w:numId w:val="1005"/>
        </w:numPr>
      </w:pPr>
      <w:r>
        <w:rPr>
          <w:b/>
          <w:bCs/>
        </w:rPr>
        <w:t xml:space="preserve">MNI is prepared to submit directly to DOE</w:t>
      </w:r>
      <w:r>
        <w:t xml:space="preserve"> </w:t>
      </w:r>
      <w:r>
        <w:t xml:space="preserve">if that simplifies the process — we will follow Sussman’s lead on whether this is helpful or creates confusion</w:t>
      </w:r>
    </w:p>
    <w:p>
      <w:r>
        <w:pict>
          <v:rect style="width:0;height:1.5pt" o:hralign="center" o:hrstd="t" o:hr="t"/>
        </w:pict>
      </w:r>
    </w:p>
    <w:bookmarkEnd w:id="16"/>
    <w:bookmarkEnd w:id="17"/>
    <w:bookmarkStart w:id="21" w:name="part-2-maintaining-exclusivity"/>
    <w:p>
      <w:pPr>
        <w:pStyle w:val="Heading2"/>
      </w:pPr>
      <w:r>
        <w:t xml:space="preserve">PART 2: MAINTAINING EXCLUSIVITY</w:t>
      </w:r>
    </w:p>
    <w:p>
      <w:pPr>
        <w:pStyle w:val="FirstParagraph"/>
      </w:pPr>
      <w:r>
        <w:t xml:space="preserve">Sussman’s exclusive distribution rights are real, but they are earned by active engagement. The following milestones are now tied to exclusivity.</w:t>
      </w:r>
    </w:p>
    <w:bookmarkStart w:id="18" w:name="milestone-timeline"/>
    <w:p>
      <w:pPr>
        <w:pStyle w:val="Heading3"/>
      </w:pPr>
      <w:r>
        <w:t xml:space="preserve">2.1 Milestone Timeline</w:t>
      </w:r>
    </w:p>
    <w:tbl>
      <w:tblPr>
        <w:tblStyle w:val="Table"/>
        <w:tblW w:type="pct" w:w="5000"/>
        <w:tblLayout w:type="fixed"/>
        <w:tblLook w:firstRow="1" w:lastRow="0" w:firstColumn="0" w:lastColumn="0" w:noHBand="0" w:noVBand="0" w:val="0020"/>
      </w:tblPr>
      <w:tblGrid>
        <w:gridCol w:w="2178"/>
        <w:gridCol w:w="1980"/>
        <w:gridCol w:w="3762"/>
      </w:tblGrid>
      <w:tr>
        <w:trPr>
          <w:tblHeader w:val="on"/>
        </w:trPr>
        <w:tc>
          <w:tcPr/>
          <w:p>
            <w:pPr>
              <w:pStyle w:val="Compact"/>
            </w:pPr>
            <w:r>
              <w:t xml:space="preserve">Milestone</w:t>
            </w:r>
          </w:p>
        </w:tc>
        <w:tc>
          <w:tcPr/>
          <w:p>
            <w:pPr>
              <w:pStyle w:val="Compact"/>
            </w:pPr>
            <w:r>
              <w:t xml:space="preserve">Deadline</w:t>
            </w:r>
          </w:p>
        </w:tc>
        <w:tc>
          <w:tcPr/>
          <w:p>
            <w:pPr>
              <w:pStyle w:val="Compact"/>
            </w:pPr>
            <w:r>
              <w:t xml:space="preserve">Deliverable to MNI</w:t>
            </w:r>
          </w:p>
        </w:tc>
      </w:tr>
      <w:tr>
        <w:tc>
          <w:tcPr/>
          <w:p>
            <w:pPr>
              <w:pStyle w:val="Compact"/>
            </w:pPr>
            <w:r>
              <w:t xml:space="preserve">Named DOE contacts + engagement plan</w:t>
            </w:r>
          </w:p>
        </w:tc>
        <w:tc>
          <w:tcPr/>
          <w:p>
            <w:pPr>
              <w:pStyle w:val="Compact"/>
            </w:pPr>
            <w:r>
              <w:t xml:space="preserve">Day 30</w:t>
            </w:r>
          </w:p>
        </w:tc>
        <w:tc>
          <w:tcPr/>
          <w:p>
            <w:pPr>
              <w:pStyle w:val="Compact"/>
            </w:pPr>
            <w:r>
              <w:t xml:space="preserve">Written contact list + plan</w:t>
            </w:r>
          </w:p>
        </w:tc>
      </w:tr>
      <w:tr>
        <w:tc>
          <w:tcPr/>
          <w:p>
            <w:pPr>
              <w:pStyle w:val="Compact"/>
            </w:pPr>
            <w:r>
              <w:t xml:space="preserve">CMT batch submission (if required)</w:t>
            </w:r>
          </w:p>
        </w:tc>
        <w:tc>
          <w:tcPr/>
          <w:p>
            <w:pPr>
              <w:pStyle w:val="Compact"/>
            </w:pPr>
            <w:r>
              <w:t xml:space="preserve">Day 30</w:t>
            </w:r>
          </w:p>
        </w:tc>
        <w:tc>
          <w:tcPr/>
          <w:p>
            <w:pPr>
              <w:pStyle w:val="Compact"/>
            </w:pPr>
            <w:r>
              <w:t xml:space="preserve">Batch number confirmation</w:t>
            </w:r>
          </w:p>
        </w:tc>
      </w:tr>
      <w:tr>
        <w:tc>
          <w:tcPr/>
          <w:p>
            <w:pPr>
              <w:pStyle w:val="Compact"/>
            </w:pPr>
            <w:r>
              <w:t xml:space="preserve">Meeting with Daphne Franklin or Alfred Davis</w:t>
            </w:r>
          </w:p>
        </w:tc>
        <w:tc>
          <w:tcPr/>
          <w:p>
            <w:pPr>
              <w:pStyle w:val="Compact"/>
            </w:pPr>
            <w:r>
              <w:t xml:space="preserve">Day 45</w:t>
            </w:r>
          </w:p>
        </w:tc>
        <w:tc>
          <w:tcPr/>
          <w:p>
            <w:pPr>
              <w:pStyle w:val="Compact"/>
            </w:pPr>
            <w:r>
              <w:t xml:space="preserve">Meeting notes or summary</w:t>
            </w:r>
          </w:p>
        </w:tc>
      </w:tr>
      <w:tr>
        <w:tc>
          <w:tcPr/>
          <w:p>
            <w:pPr>
              <w:pStyle w:val="Compact"/>
            </w:pPr>
            <w:r>
              <w:t xml:space="preserve">Written DOE response on ERMA status</w:t>
            </w:r>
          </w:p>
        </w:tc>
        <w:tc>
          <w:tcPr/>
          <w:p>
            <w:pPr>
              <w:pStyle w:val="Compact"/>
            </w:pPr>
            <w:r>
              <w:t xml:space="preserve">Day 45</w:t>
            </w:r>
          </w:p>
        </w:tc>
        <w:tc>
          <w:tcPr/>
          <w:p>
            <w:pPr>
              <w:pStyle w:val="Compact"/>
            </w:pPr>
            <w:r>
              <w:t xml:space="preserve">Email or letter</w:t>
            </w:r>
          </w:p>
        </w:tc>
      </w:tr>
      <w:tr>
        <w:tc>
          <w:tcPr/>
          <w:p>
            <w:pPr>
              <w:pStyle w:val="Compact"/>
            </w:pPr>
            <w:r>
              <w:t xml:space="preserve">School demand letters (3 minimum)</w:t>
            </w:r>
          </w:p>
        </w:tc>
        <w:tc>
          <w:tcPr/>
          <w:p>
            <w:pPr>
              <w:pStyle w:val="Compact"/>
            </w:pPr>
            <w:r>
              <w:t xml:space="preserve">Day 60</w:t>
            </w:r>
          </w:p>
        </w:tc>
        <w:tc>
          <w:tcPr/>
          <w:p>
            <w:pPr>
              <w:pStyle w:val="Compact"/>
            </w:pPr>
            <w:r>
              <w:t xml:space="preserve">Copies of signed letters</w:t>
            </w:r>
          </w:p>
        </w:tc>
      </w:tr>
      <w:tr>
        <w:tc>
          <w:tcPr/>
          <w:p>
            <w:pPr>
              <w:pStyle w:val="Compact"/>
            </w:pPr>
            <w:r>
              <w:t xml:space="preserve">District 79 purchase intent letter</w:t>
            </w:r>
          </w:p>
        </w:tc>
        <w:tc>
          <w:tcPr/>
          <w:p>
            <w:pPr>
              <w:pStyle w:val="Compact"/>
            </w:pPr>
            <w:r>
              <w:t xml:space="preserve">Day 60</w:t>
            </w:r>
          </w:p>
        </w:tc>
        <w:tc>
          <w:tcPr/>
          <w:p>
            <w:pPr>
              <w:pStyle w:val="Compact"/>
            </w:pPr>
            <w:r>
              <w:t xml:space="preserve">Letter from Superintendent Esperance</w:t>
            </w:r>
          </w:p>
        </w:tc>
      </w:tr>
      <w:tr>
        <w:tc>
          <w:tcPr/>
          <w:p>
            <w:pPr>
              <w:pStyle w:val="Compact"/>
            </w:pPr>
            <w:r>
              <w:t xml:space="preserve">DOE audit initiated (ERMA or product review)</w:t>
            </w:r>
          </w:p>
        </w:tc>
        <w:tc>
          <w:tcPr/>
          <w:p>
            <w:pPr>
              <w:pStyle w:val="Compact"/>
            </w:pPr>
            <w:r>
              <w:t xml:space="preserve">Day 90</w:t>
            </w:r>
          </w:p>
        </w:tc>
        <w:tc>
          <w:tcPr/>
          <w:p>
            <w:pPr>
              <w:pStyle w:val="Compact"/>
            </w:pPr>
            <w:r>
              <w:t xml:space="preserve">Written confirmation from DOE</w:t>
            </w:r>
          </w:p>
        </w:tc>
      </w:tr>
    </w:tbl>
    <w:bookmarkEnd w:id="18"/>
    <w:bookmarkStart w:id="19" w:name="what-happens-if-milestones-are-missed"/>
    <w:p>
      <w:pPr>
        <w:pStyle w:val="Heading3"/>
      </w:pPr>
      <w:r>
        <w:t xml:space="preserve">2.2 What Happens If Milestones Are Missed</w:t>
      </w:r>
    </w:p>
    <w:p>
      <w:pPr>
        <w:pStyle w:val="Compact"/>
        <w:numPr>
          <w:ilvl w:val="0"/>
          <w:numId w:val="1006"/>
        </w:numPr>
      </w:pPr>
      <w:r>
        <w:rPr>
          <w:b/>
          <w:bCs/>
        </w:rPr>
        <w:t xml:space="preserve">Day 90 — no audit initiated, fewer than 3 demand letters</w:t>
      </w:r>
      <w:r>
        <w:t xml:space="preserve">: Exclusivity converts to non-exclusive. MNI may engage additional distribution partners in NYC.</w:t>
      </w:r>
    </w:p>
    <w:p>
      <w:pPr>
        <w:pStyle w:val="Compact"/>
        <w:numPr>
          <w:ilvl w:val="0"/>
          <w:numId w:val="1006"/>
        </w:numPr>
      </w:pPr>
      <w:r>
        <w:rPr>
          <w:b/>
          <w:bCs/>
        </w:rPr>
        <w:t xml:space="preserve">Day 120 — no material progress</w:t>
      </w:r>
      <w:r>
        <w:t xml:space="preserve">: Exclusivity is suspended. MNI may negotiate with other partners including PowerLearning NY.</w:t>
      </w:r>
    </w:p>
    <w:p>
      <w:pPr>
        <w:pStyle w:val="Compact"/>
        <w:numPr>
          <w:ilvl w:val="0"/>
          <w:numId w:val="1006"/>
        </w:numPr>
      </w:pPr>
      <w:r>
        <w:rPr>
          <w:b/>
          <w:bCs/>
        </w:rPr>
        <w:t xml:space="preserve">No change in exclusivity status if Sussman is actively engaged</w:t>
      </w:r>
      <w:r>
        <w:t xml:space="preserve">: Milestones can be extended if Sussman provides written evidence of good-faith effort and specific DOE-caused delays.</w:t>
      </w:r>
    </w:p>
    <w:bookmarkEnd w:id="19"/>
    <w:bookmarkStart w:id="20" w:name="sales-minimums-books-agreement"/>
    <w:p>
      <w:pPr>
        <w:pStyle w:val="Heading3"/>
      </w:pPr>
      <w:r>
        <w:t xml:space="preserve">2.3 Sales Minimums (Books Agreement)</w:t>
      </w:r>
    </w:p>
    <w:p>
      <w:pPr>
        <w:pStyle w:val="FirstParagraph"/>
      </w:pPr>
      <w:r>
        <w:t xml:space="preserve">Sussman must also meet minimum annual sales for MNI books (separate agreement):</w:t>
      </w:r>
    </w:p>
    <w:p>
      <w:pPr>
        <w:pStyle w:val="Compact"/>
        <w:numPr>
          <w:ilvl w:val="0"/>
          <w:numId w:val="1007"/>
        </w:numPr>
      </w:pPr>
      <w:r>
        <w:t xml:space="preserve">Year 1: $30,000 net revenue</w:t>
      </w:r>
    </w:p>
    <w:p>
      <w:pPr>
        <w:pStyle w:val="Compact"/>
        <w:numPr>
          <w:ilvl w:val="0"/>
          <w:numId w:val="1007"/>
        </w:numPr>
      </w:pPr>
      <w:r>
        <w:t xml:space="preserve">Year 2: $50,000 net revenue</w:t>
      </w:r>
    </w:p>
    <w:p>
      <w:pPr>
        <w:pStyle w:val="Compact"/>
        <w:numPr>
          <w:ilvl w:val="0"/>
          <w:numId w:val="1007"/>
        </w:numPr>
      </w:pPr>
      <w:r>
        <w:t xml:space="preserve">Year 3: $75,000 net revenue</w:t>
      </w:r>
    </w:p>
    <w:p>
      <w:pPr>
        <w:pStyle w:val="FirstParagraph"/>
      </w:pPr>
      <w:r>
        <w:t xml:space="preserve">Missing 2 consecutive quarters triggers an exclusivity review.</w:t>
      </w:r>
    </w:p>
    <w:p>
      <w:r>
        <w:pict>
          <v:rect style="width:0;height:1.5pt" o:hralign="center" o:hrstd="t" o:hr="t"/>
        </w:pict>
      </w:r>
    </w:p>
    <w:bookmarkEnd w:id="20"/>
    <w:bookmarkEnd w:id="21"/>
    <w:bookmarkStart w:id="25" w:name="part-3-the-legal-escalation-path"/>
    <w:p>
      <w:pPr>
        <w:pStyle w:val="Heading2"/>
      </w:pPr>
      <w:r>
        <w:t xml:space="preserve">PART 3: THE LEGAL ESCALATION PATH</w:t>
      </w:r>
    </w:p>
    <w:p>
      <w:pPr>
        <w:pStyle w:val="FirstParagraph"/>
      </w:pPr>
      <w:r>
        <w:t xml:space="preserve">MNI is prepared to escalate legally if DOE does not act. Sussman’s cooperation is required.</w:t>
      </w:r>
    </w:p>
    <w:bookmarkStart w:id="22" w:name="what-legal-escalation-looks-like"/>
    <w:p>
      <w:pPr>
        <w:pStyle w:val="Heading3"/>
      </w:pPr>
      <w:r>
        <w:t xml:space="preserve">3.1 What Legal Escalation Looks Like</w:t>
      </w:r>
    </w:p>
    <w:p>
      <w:pPr>
        <w:pStyle w:val="FirstParagraph"/>
      </w:pPr>
      <w:r>
        <w:t xml:space="preserve">If the action plan above does not produce an audit initiation within 90 days, MNI’s legal team will:</w:t>
      </w:r>
    </w:p>
    <w:p>
      <w:pPr>
        <w:pStyle w:val="Compact"/>
        <w:numPr>
          <w:ilvl w:val="0"/>
          <w:numId w:val="1008"/>
        </w:numPr>
      </w:pPr>
      <w:r>
        <w:rPr>
          <w:b/>
          <w:bCs/>
        </w:rPr>
        <w:t xml:space="preserve">Send a formal demand letter</w:t>
      </w:r>
      <w:r>
        <w:t xml:space="preserve"> </w:t>
      </w:r>
      <w:r>
        <w:t xml:space="preserve">from counsel to DOE Purchasing, Legal, and School Leadership</w:t>
      </w:r>
    </w:p>
    <w:p>
      <w:pPr>
        <w:pStyle w:val="Compact"/>
        <w:numPr>
          <w:ilvl w:val="0"/>
          <w:numId w:val="1008"/>
        </w:numPr>
      </w:pPr>
      <w:r>
        <w:rPr>
          <w:b/>
          <w:bCs/>
        </w:rPr>
        <w:t xml:space="preserve">File a FOIL request</w:t>
      </w:r>
      <w:r>
        <w:t xml:space="preserve"> </w:t>
      </w:r>
      <w:r>
        <w:t xml:space="preserve">for all internal DOE records on the cloud review request</w:t>
      </w:r>
    </w:p>
    <w:p>
      <w:pPr>
        <w:pStyle w:val="Compact"/>
        <w:numPr>
          <w:ilvl w:val="0"/>
          <w:numId w:val="1008"/>
        </w:numPr>
      </w:pPr>
      <w:r>
        <w:rPr>
          <w:b/>
          <w:bCs/>
        </w:rPr>
        <w:t xml:space="preserve">Pursue an Article 78 proceeding</w:t>
      </w:r>
      <w:r>
        <w:t xml:space="preserve"> </w:t>
      </w:r>
      <w:r>
        <w:t xml:space="preserve">if necessary — compelling DOE to complete the review or explain the basis for delay</w:t>
      </w:r>
    </w:p>
    <w:bookmarkEnd w:id="22"/>
    <w:bookmarkStart w:id="23" w:name="Xb4d795d4c81a5750252eb4488f772b80089b09a"/>
    <w:p>
      <w:pPr>
        <w:pStyle w:val="Heading3"/>
      </w:pPr>
      <w:r>
        <w:t xml:space="preserve">3.2 What We Need from Sussman for Legal Escalation</w:t>
      </w:r>
    </w:p>
    <w:p>
      <w:pPr>
        <w:pStyle w:val="Compact"/>
        <w:numPr>
          <w:ilvl w:val="0"/>
          <w:numId w:val="1009"/>
        </w:numPr>
      </w:pPr>
      <w:r>
        <w:rPr>
          <w:b/>
          <w:bCs/>
        </w:rPr>
        <w:t xml:space="preserve">Purchase intent letters from schools</w:t>
      </w:r>
      <w:r>
        <w:t xml:space="preserve"> </w:t>
      </w:r>
      <w:r>
        <w:t xml:space="preserve">— these are the foundation of any damages claim</w:t>
      </w:r>
    </w:p>
    <w:p>
      <w:pPr>
        <w:pStyle w:val="Compact"/>
        <w:numPr>
          <w:ilvl w:val="0"/>
          <w:numId w:val="1009"/>
        </w:numPr>
      </w:pPr>
      <w:r>
        <w:rPr>
          <w:b/>
          <w:bCs/>
        </w:rPr>
        <w:t xml:space="preserve">Authorization to reference Sussman’s contracted revenue projections</w:t>
      </w:r>
      <w:r>
        <w:t xml:space="preserve"> </w:t>
      </w:r>
      <w:r>
        <w:t xml:space="preserve">in legal filings ($125K Year 1, $250K Year 2, $350K Year 3)</w:t>
      </w:r>
    </w:p>
    <w:p>
      <w:pPr>
        <w:pStyle w:val="Compact"/>
        <w:numPr>
          <w:ilvl w:val="0"/>
          <w:numId w:val="1009"/>
        </w:numPr>
      </w:pPr>
      <w:r>
        <w:rPr>
          <w:b/>
          <w:bCs/>
        </w:rPr>
        <w:t xml:space="preserve">Participation in political escalation</w:t>
      </w:r>
      <w:r>
        <w:t xml:space="preserve"> </w:t>
      </w:r>
      <w:r>
        <w:t xml:space="preserve">— emails or calls to DOE contacts from Sussman’s own network</w:t>
      </w:r>
    </w:p>
    <w:p>
      <w:pPr>
        <w:pStyle w:val="Compact"/>
        <w:numPr>
          <w:ilvl w:val="0"/>
          <w:numId w:val="1009"/>
        </w:numPr>
      </w:pPr>
      <w:r>
        <w:rPr>
          <w:b/>
          <w:bCs/>
        </w:rPr>
        <w:t xml:space="preserve">Support for, not resistance to, formal legal demand</w:t>
      </w:r>
      <w:r>
        <w:t xml:space="preserve"> </w:t>
      </w:r>
      <w:r>
        <w:t xml:space="preserve">— Sussman should be a partner in this process, not a bystander</w:t>
      </w:r>
    </w:p>
    <w:bookmarkEnd w:id="23"/>
    <w:bookmarkStart w:id="24" w:name="the-framing-for-schools-and-doe"/>
    <w:p>
      <w:pPr>
        <w:pStyle w:val="Heading3"/>
      </w:pPr>
      <w:r>
        <w:t xml:space="preserve">3.3 The Framing for Schools and DOE</w:t>
      </w:r>
    </w:p>
    <w:p>
      <w:pPr>
        <w:pStyle w:val="FirstParagraph"/>
      </w:pPr>
      <w:r>
        <w:t xml:space="preserve">When Sussman communicates to schools and DOE about expediting, the right framing is:</w:t>
      </w:r>
    </w:p>
    <w:p>
      <w:pPr>
        <w:pStyle w:val="BlockText"/>
      </w:pPr>
      <w:r>
        <w:t xml:space="preserve">“District 79 and other schools have told us they want this tool. The only barrier is the cloud review process. We are committed to making this available before the next school year. We need your help to move this forward.”</w:t>
      </w:r>
    </w:p>
    <w:p>
      <w:pPr>
        <w:pStyle w:val="FirstParagraph"/>
      </w:pPr>
      <w:r>
        <w:t xml:space="preserve">Not:</w:t>
      </w:r>
      <w:r>
        <w:t xml:space="preserve"> </w:t>
      </w:r>
      <w:r>
        <w:t xml:space="preserve">“our vendor is pressuring us.”</w:t>
      </w:r>
      <w:r>
        <w:t xml:space="preserve"> </w:t>
      </w:r>
      <w:r>
        <w:t xml:space="preserve">Not:</w:t>
      </w:r>
      <w:r>
        <w:t xml:space="preserve"> </w:t>
      </w:r>
      <w:r>
        <w:t xml:space="preserve">“we are being threatened.”</w:t>
      </w:r>
      <w:r>
        <w:t xml:space="preserve"> </w:t>
      </w:r>
      <w:r>
        <w:t xml:space="preserve">Just:</w:t>
      </w:r>
      <w:r>
        <w:t xml:space="preserve"> </w:t>
      </w:r>
      <w:r>
        <w:t xml:space="preserve">“schools want this, we want to deliver it, help us get it done.”</w:t>
      </w:r>
    </w:p>
    <w:p>
      <w:r>
        <w:pict>
          <v:rect style="width:0;height:1.5pt" o:hralign="center" o:hrstd="t" o:hr="t"/>
        </w:pict>
      </w:r>
    </w:p>
    <w:bookmarkEnd w:id="24"/>
    <w:bookmarkEnd w:id="25"/>
    <w:bookmarkStart w:id="26" w:name="summary-sussmans-top-10-actions"/>
    <w:p>
      <w:pPr>
        <w:pStyle w:val="Heading2"/>
      </w:pPr>
      <w:r>
        <w:t xml:space="preserve">SUMMARY: SUSSMAN’S TOP 10 ACTIONS</w:t>
      </w:r>
    </w:p>
    <w:tbl>
      <w:tblPr>
        <w:tblStyle w:val="Table"/>
        <w:tblW w:type="pct" w:w="5000"/>
        <w:tblLayout w:type="fixed"/>
        <w:tblLook w:firstRow="1" w:lastRow="0" w:firstColumn="0" w:lastColumn="0" w:noHBand="0" w:noVBand="0" w:val="0020"/>
      </w:tblPr>
      <w:tblGrid>
        <w:gridCol w:w="848"/>
        <w:gridCol w:w="2262"/>
        <w:gridCol w:w="1980"/>
        <w:gridCol w:w="2828"/>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Deadline</w:t>
            </w:r>
          </w:p>
        </w:tc>
      </w:tr>
      <w:tr>
        <w:tc>
          <w:tcPr/>
          <w:p>
            <w:pPr>
              <w:pStyle w:val="Compact"/>
            </w:pPr>
            <w:r>
              <w:t xml:space="preserve">1</w:t>
            </w:r>
          </w:p>
        </w:tc>
        <w:tc>
          <w:tcPr/>
          <w:p>
            <w:pPr>
              <w:pStyle w:val="Compact"/>
            </w:pPr>
            <w:r>
              <w:t xml:space="preserve">Call Superintendent Esperance — request formal purchase intent letter on D79 letterhead</w:t>
            </w:r>
          </w:p>
        </w:tc>
        <w:tc>
          <w:tcPr/>
          <w:p>
            <w:pPr>
              <w:pStyle w:val="Compact"/>
            </w:pPr>
            <w:r>
              <w:t xml:space="preserve">Ron Sussman</w:t>
            </w:r>
          </w:p>
        </w:tc>
        <w:tc>
          <w:tcPr/>
          <w:p>
            <w:pPr>
              <w:pStyle w:val="Compact"/>
            </w:pPr>
            <w:r>
              <w:t xml:space="preserve">This week</w:t>
            </w:r>
          </w:p>
        </w:tc>
      </w:tr>
      <w:tr>
        <w:tc>
          <w:tcPr/>
          <w:p>
            <w:pPr>
              <w:pStyle w:val="Compact"/>
            </w:pPr>
            <w:r>
              <w:t xml:space="preserve">2</w:t>
            </w:r>
          </w:p>
        </w:tc>
        <w:tc>
          <w:tcPr/>
          <w:p>
            <w:pPr>
              <w:pStyle w:val="Compact"/>
            </w:pPr>
            <w:r>
              <w:t xml:space="preserve">Identify and contact 2–4 additional schools with purchase intent</w:t>
            </w:r>
          </w:p>
        </w:tc>
        <w:tc>
          <w:tcPr/>
          <w:p>
            <w:pPr>
              <w:pStyle w:val="Compact"/>
            </w:pPr>
            <w:r>
              <w:t xml:space="preserve">Ron Sussman</w:t>
            </w:r>
          </w:p>
        </w:tc>
        <w:tc>
          <w:tcPr/>
          <w:p>
            <w:pPr>
              <w:pStyle w:val="Compact"/>
            </w:pPr>
            <w:r>
              <w:t xml:space="preserve">2 weeks</w:t>
            </w:r>
          </w:p>
        </w:tc>
      </w:tr>
      <w:tr>
        <w:tc>
          <w:tcPr/>
          <w:p>
            <w:pPr>
              <w:pStyle w:val="Compact"/>
            </w:pPr>
            <w:r>
              <w:t xml:space="preserve">3</w:t>
            </w:r>
          </w:p>
        </w:tc>
        <w:tc>
          <w:tcPr/>
          <w:p>
            <w:pPr>
              <w:pStyle w:val="Compact"/>
            </w:pPr>
            <w:r>
              <w:t xml:space="preserve">Ask Kay/Domion in writing: is there a CMT batch to submit? Submit if yes</w:t>
            </w:r>
          </w:p>
        </w:tc>
        <w:tc>
          <w:tcPr/>
          <w:p>
            <w:pPr>
              <w:pStyle w:val="Compact"/>
            </w:pPr>
            <w:r>
              <w:t xml:space="preserve">Annie Lee / Ron</w:t>
            </w:r>
          </w:p>
        </w:tc>
        <w:tc>
          <w:tcPr/>
          <w:p>
            <w:pPr>
              <w:pStyle w:val="Compact"/>
            </w:pPr>
            <w:r>
              <w:t xml:space="preserve">This week</w:t>
            </w:r>
          </w:p>
        </w:tc>
      </w:tr>
      <w:tr>
        <w:tc>
          <w:tcPr/>
          <w:p>
            <w:pPr>
              <w:pStyle w:val="Compact"/>
            </w:pPr>
            <w:r>
              <w:t xml:space="preserve">4</w:t>
            </w:r>
          </w:p>
        </w:tc>
        <w:tc>
          <w:tcPr/>
          <w:p>
            <w:pPr>
              <w:pStyle w:val="Compact"/>
            </w:pPr>
            <w:r>
              <w:t xml:space="preserve">Request a meeting with Daphne Franklin or Alfred Davis</w:t>
            </w:r>
          </w:p>
        </w:tc>
        <w:tc>
          <w:tcPr/>
          <w:p>
            <w:pPr>
              <w:pStyle w:val="Compact"/>
            </w:pPr>
            <w:r>
              <w:t xml:space="preserve">Ron Sussman</w:t>
            </w:r>
          </w:p>
        </w:tc>
        <w:tc>
          <w:tcPr/>
          <w:p>
            <w:pPr>
              <w:pStyle w:val="Compact"/>
            </w:pPr>
            <w:r>
              <w:t xml:space="preserve">2 weeks</w:t>
            </w:r>
          </w:p>
        </w:tc>
      </w:tr>
      <w:tr>
        <w:tc>
          <w:tcPr/>
          <w:p>
            <w:pPr>
              <w:pStyle w:val="Compact"/>
            </w:pPr>
            <w:r>
              <w:t xml:space="preserve">5</w:t>
            </w:r>
          </w:p>
        </w:tc>
        <w:tc>
          <w:tcPr/>
          <w:p>
            <w:pPr>
              <w:pStyle w:val="Compact"/>
            </w:pPr>
            <w:r>
              <w:t xml:space="preserve">Follow up on ERMA determination: new ERMA or product review? Get answer in writing</w:t>
            </w:r>
          </w:p>
        </w:tc>
        <w:tc>
          <w:tcPr/>
          <w:p>
            <w:pPr>
              <w:pStyle w:val="Compact"/>
            </w:pPr>
            <w:r>
              <w:t xml:space="preserve">Annie Lee</w:t>
            </w:r>
          </w:p>
        </w:tc>
        <w:tc>
          <w:tcPr/>
          <w:p>
            <w:pPr>
              <w:pStyle w:val="Compact"/>
            </w:pPr>
            <w:r>
              <w:t xml:space="preserve">This week</w:t>
            </w:r>
          </w:p>
        </w:tc>
      </w:tr>
      <w:tr>
        <w:tc>
          <w:tcPr/>
          <w:p>
            <w:pPr>
              <w:pStyle w:val="Compact"/>
            </w:pPr>
            <w:r>
              <w:t xml:space="preserve">6</w:t>
            </w:r>
          </w:p>
        </w:tc>
        <w:tc>
          <w:tcPr/>
          <w:p>
            <w:pPr>
              <w:pStyle w:val="Compact"/>
            </w:pPr>
            <w:r>
              <w:t xml:space="preserve">Provide MNI with named DOE contacts and engagement plan</w:t>
            </w:r>
          </w:p>
        </w:tc>
        <w:tc>
          <w:tcPr/>
          <w:p>
            <w:pPr>
              <w:pStyle w:val="Compact"/>
            </w:pPr>
            <w:r>
              <w:t xml:space="preserve">Sussman</w:t>
            </w:r>
          </w:p>
        </w:tc>
        <w:tc>
          <w:tcPr/>
          <w:p>
            <w:pPr>
              <w:pStyle w:val="Compact"/>
            </w:pPr>
            <w:r>
              <w:t xml:space="preserve">Day 30</w:t>
            </w:r>
          </w:p>
        </w:tc>
      </w:tr>
      <w:tr>
        <w:tc>
          <w:tcPr/>
          <w:p>
            <w:pPr>
              <w:pStyle w:val="Compact"/>
            </w:pPr>
            <w:r>
              <w:t xml:space="preserve">7</w:t>
            </w:r>
          </w:p>
        </w:tc>
        <w:tc>
          <w:tcPr/>
          <w:p>
            <w:pPr>
              <w:pStyle w:val="Compact"/>
            </w:pPr>
            <w:r>
              <w:t xml:space="preserve">Engage Office of Multilingual Learners for endorsement</w:t>
            </w:r>
          </w:p>
        </w:tc>
        <w:tc>
          <w:tcPr/>
          <w:p>
            <w:pPr>
              <w:pStyle w:val="Compact"/>
            </w:pPr>
            <w:r>
              <w:t xml:space="preserve">Ron Sussman</w:t>
            </w:r>
          </w:p>
        </w:tc>
        <w:tc>
          <w:tcPr/>
          <w:p>
            <w:pPr>
              <w:pStyle w:val="Compact"/>
            </w:pPr>
            <w:r>
              <w:t xml:space="preserve">3 weeks</w:t>
            </w:r>
          </w:p>
        </w:tc>
      </w:tr>
      <w:tr>
        <w:tc>
          <w:tcPr/>
          <w:p>
            <w:pPr>
              <w:pStyle w:val="Compact"/>
            </w:pPr>
            <w:r>
              <w:t xml:space="preserve">8</w:t>
            </w:r>
          </w:p>
        </w:tc>
        <w:tc>
          <w:tcPr/>
          <w:p>
            <w:pPr>
              <w:pStyle w:val="Compact"/>
            </w:pPr>
            <w:r>
              <w:t xml:space="preserve">Provide MNI with copies of all demand letters as received</w:t>
            </w:r>
          </w:p>
        </w:tc>
        <w:tc>
          <w:tcPr/>
          <w:p>
            <w:pPr>
              <w:pStyle w:val="Compact"/>
            </w:pPr>
            <w:r>
              <w:t xml:space="preserve">Sussman</w:t>
            </w:r>
          </w:p>
        </w:tc>
        <w:tc>
          <w:tcPr/>
          <w:p>
            <w:pPr>
              <w:pStyle w:val="Compact"/>
            </w:pPr>
            <w:r>
              <w:t xml:space="preserve">Rolling</w:t>
            </w:r>
          </w:p>
        </w:tc>
      </w:tr>
      <w:tr>
        <w:tc>
          <w:tcPr/>
          <w:p>
            <w:pPr>
              <w:pStyle w:val="Compact"/>
            </w:pPr>
            <w:r>
              <w:t xml:space="preserve">9</w:t>
            </w:r>
          </w:p>
        </w:tc>
        <w:tc>
          <w:tcPr/>
          <w:p>
            <w:pPr>
              <w:pStyle w:val="Compact"/>
            </w:pPr>
            <w:r>
              <w:t xml:space="preserve">Confirm Sussman’s support for legal escalation if needed</w:t>
            </w:r>
          </w:p>
        </w:tc>
        <w:tc>
          <w:tcPr/>
          <w:p>
            <w:pPr>
              <w:pStyle w:val="Compact"/>
            </w:pPr>
            <w:r>
              <w:t xml:space="preserve">Ron Sussman</w:t>
            </w:r>
          </w:p>
        </w:tc>
        <w:tc>
          <w:tcPr/>
          <w:p>
            <w:pPr>
              <w:pStyle w:val="Compact"/>
            </w:pPr>
            <w:r>
              <w:t xml:space="preserve">Day 45</w:t>
            </w:r>
          </w:p>
        </w:tc>
      </w:tr>
      <w:tr>
        <w:tc>
          <w:tcPr/>
          <w:p>
            <w:pPr>
              <w:pStyle w:val="Compact"/>
            </w:pPr>
            <w:r>
              <w:t xml:space="preserve">10</w:t>
            </w:r>
          </w:p>
        </w:tc>
        <w:tc>
          <w:tcPr/>
          <w:p>
            <w:pPr>
              <w:pStyle w:val="Compact"/>
            </w:pPr>
            <w:r>
              <w:t xml:space="preserve">Submit monthly status reports to MNI on DOE engagement</w:t>
            </w:r>
          </w:p>
        </w:tc>
        <w:tc>
          <w:tcPr/>
          <w:p>
            <w:pPr>
              <w:pStyle w:val="Compact"/>
            </w:pPr>
            <w:r>
              <w:t xml:space="preserve">Sussman</w:t>
            </w:r>
          </w:p>
        </w:tc>
        <w:tc>
          <w:tcPr/>
          <w:p>
            <w:pPr>
              <w:pStyle w:val="Compact"/>
            </w:pPr>
            <w:r>
              <w:t xml:space="preserve">Monthly</w:t>
            </w:r>
          </w:p>
        </w:tc>
      </w:tr>
    </w:tbl>
    <w:p>
      <w:r>
        <w:pict>
          <v:rect style="width:0;height:1.5pt" o:hralign="center" o:hrstd="t" o:hr="t"/>
        </w:pict>
      </w:r>
    </w:p>
    <w:p>
      <w:pPr>
        <w:pStyle w:val="FirstParagraph"/>
      </w:pPr>
      <w:r>
        <w:rPr>
          <w:b/>
          <w:bCs/>
        </w:rPr>
        <w:t xml:space="preserve">Next Step</w:t>
      </w:r>
      <w:r>
        <w:t xml:space="preserve">: Review this plan with Ron Sussman. Confirm agreement on milestones. Sign amended exclusivity terms.</w:t>
      </w:r>
    </w:p>
    <w:p>
      <w:pPr>
        <w:pStyle w:val="BodyText"/>
      </w:pPr>
      <w:r>
        <w:rPr>
          <w:b/>
          <w:bCs/>
        </w:rPr>
        <w:t xml:space="preserve">Contact for questions</w:t>
      </w:r>
      <w:r>
        <w:t xml:space="preserve">: Steven Rudolph | steven@multiplenatures.com | (201) 917-0086</w:t>
      </w:r>
    </w:p>
    <w:p>
      <w:r>
        <w:pict>
          <v:rect style="width:0;height:1.5pt" o:hralign="center" o:hrstd="t" o:hr="t"/>
        </w:pict>
      </w:r>
    </w:p>
    <w:p>
      <w:pPr>
        <w:pStyle w:val="FirstParagraph"/>
      </w:pPr>
      <w:r>
        <w:rPr>
          <w:i/>
          <w:iCs/>
        </w:rPr>
        <w:t xml:space="preserve">This document is a working partnership framework. It is intended to be reviewed and agreed upon by both parties, then incorporated into the amended distribution agreement.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2026-04-24T10:32:48Z</dcterms:created>
  <dcterms:modified xsi:type="dcterms:W3CDTF">2026-04-24T10:32:48Z</dcterms:modified>
</cp:coreProperties>
</file>

<file path=docProps/custom.xml><?xml version="1.0" encoding="utf-8"?>
<Properties xmlns="http://schemas.openxmlformats.org/officeDocument/2006/custom-properties" xmlns:vt="http://schemas.openxmlformats.org/officeDocument/2006/docPropsVTypes"/>
</file>