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0"/>
        </w:rPr>
        <w:t>FAQ — AI Model Implementation, Reproducibility, and Experimental Design</w:t>
      </w:r>
    </w:p>
    <w:p>
      <w:pPr>
        <w:jc w:val="center"/>
      </w:pPr>
      <w:r>
        <w:rPr>
          <w:i/>
          <w:sz w:val="21"/>
        </w:rPr>
        <w:t>Revised for final code submission</w:t>
      </w:r>
    </w:p>
    <w:p>
      <w:r>
        <w:rPr>
          <w:b/>
        </w:rPr>
        <w:t xml:space="preserve">Purpose. </w:t>
      </w:r>
      <w:r>
        <w:t>This FAQ summarizes the final modeling pipeline, key design choices, unit conventions, and reproducibility instructions used in the submitted codebase.</w:t>
      </w:r>
    </w:p>
    <w:p>
      <w:r>
        <w:rPr>
          <w:b/>
          <w:sz w:val="22"/>
        </w:rPr>
        <w:t>1. What is the purpose of the AI model in this project?</w:t>
      </w:r>
    </w:p>
    <w:p>
      <w:pPr>
        <w:spacing w:after="120"/>
      </w:pPr>
      <w:r>
        <w:t>The AI modeling pipeline provides a data-driven comparison to the physics-based Cell Transmission Model (CTM) and, in its final form, also supports a hybrid CTM-ridge residual-learning model. The key research questions are whether temporal statistical learning can forecast short-term traffic dynamics effectively, and whether a residual-correction model can improve on CTM forecasts.</w:t>
      </w:r>
    </w:p>
    <w:p>
      <w:r>
        <w:rPr>
          <w:b/>
          <w:sz w:val="22"/>
        </w:rPr>
        <w:t>2. What models are included in the final code submission?</w:t>
      </w:r>
    </w:p>
    <w:p>
      <w:pPr>
        <w:spacing w:after="120"/>
      </w:pPr>
      <w:r>
        <w:t>The final submission supports three model configurations: (1) a calibrated CTM, (2) a baseline Temporal Ridge Regression (TRR) model, and (3) a hybrid CTM-ridge model that learns residual corrections to CTM outputs.</w:t>
      </w:r>
    </w:p>
    <w:p>
      <w:r>
        <w:rPr>
          <w:b/>
          <w:sz w:val="22"/>
        </w:rPr>
        <w:t>3. Why use Ridge Regression?</w:t>
      </w:r>
    </w:p>
    <w:p>
      <w:pPr>
        <w:spacing w:after="120"/>
      </w:pPr>
      <w:r>
        <w:t>Ridge regression was selected because traffic lag features are highly collinear. Ordinary least squares would be unstable under this level of temporal correlation. Ridge regularization improves numerical stability, preserves interpretability, and provides a clear linear benchmark before moving to more complex nonlinear models.</w:t>
      </w:r>
    </w:p>
    <w:p>
      <w:r>
        <w:rPr>
          <w:b/>
          <w:sz w:val="22"/>
        </w:rPr>
        <w:t>4. Why are there separate models for flow and speed?</w:t>
      </w:r>
    </w:p>
    <w:p>
      <w:pPr>
        <w:spacing w:after="120"/>
      </w:pPr>
      <w:r>
        <w:t>Separate models are trained for flow and speed because they have different scales, noise levels, and congestion behavior. Tuning the regularization parameter separately for each target improves stability and makes the model behavior easier to interpret.</w:t>
      </w:r>
    </w:p>
    <w:p>
      <w:r>
        <w:rPr>
          <w:b/>
          <w:sz w:val="22"/>
        </w:rPr>
        <w:t>5. Why are the 11 days treated as one continuous time series?</w:t>
      </w:r>
    </w:p>
    <w:p>
      <w:pPr>
        <w:spacing w:after="120"/>
      </w:pPr>
      <w:r>
        <w:t>The data are treated as continuous because traffic dynamics do not reset at midnight. A continuous series better reflects real traffic evolution, avoids artificial discontinuities, and is consistent with the way the CTM evolves over time.</w:t>
      </w:r>
    </w:p>
    <w:p>
      <w:r>
        <w:rPr>
          <w:b/>
          <w:sz w:val="22"/>
        </w:rPr>
        <w:t>6. How is the final TRR feature representation constructed?</w:t>
      </w:r>
    </w:p>
    <w:p>
      <w:pPr>
        <w:spacing w:after="120"/>
      </w:pPr>
      <w:r>
        <w:t>The final implementation uses a wide spatiotemporal feature matrix indexed by time. For each time step, the model includes 30 minutes of lagged flow and speed history from all five stations. This differs from the earlier midterm same-station one-hot formulation and preserves multi-station temporal context directly in the feature vector.</w:t>
      </w:r>
    </w:p>
    <w:p>
      <w:r>
        <w:rPr>
          <w:b/>
          <w:sz w:val="22"/>
        </w:rPr>
        <w:t>7. Why use k = 6 lag steps and evaluate horizons Δ = 1, 3, and 6?</w:t>
      </w:r>
    </w:p>
    <w:p>
      <w:pPr>
        <w:spacing w:after="120"/>
      </w:pPr>
      <w:r>
        <w:t>The data are sampled every 5 minutes. Using k = 6 provides 30 minutes of historical context, which is long enough to capture congestion buildup while keeping the model simple and interpretable. Forecast horizons Δ = 1, 3, and 6 correspond to 5, 15, and 30 minutes ahead, allowing comparison of short-horizon inertia versus medium-horizon predictive structure.</w:t>
      </w:r>
    </w:p>
    <w:p>
      <w:r>
        <w:rPr>
          <w:b/>
          <w:sz w:val="22"/>
        </w:rPr>
        <w:t>8. Why use rolling time-series cross-validation?</w:t>
      </w:r>
    </w:p>
    <w:p>
      <w:pPr>
        <w:spacing w:after="120"/>
      </w:pPr>
      <w:r>
        <w:t>Traffic data are sequential, so random cross-validation would cause temporal leakage. The final pipeline uses expanding-window rolling validation: train on earlier days and validate on the next day. This preserves chronology and provides a realistic estimate of forecasting performance.</w:t>
      </w:r>
    </w:p>
    <w:p>
      <w:r>
        <w:rPr>
          <w:b/>
          <w:sz w:val="22"/>
        </w:rPr>
        <w:t>9. What are the speed units used in the final results?</w:t>
      </w:r>
    </w:p>
    <w:p>
      <w:pPr>
        <w:spacing w:after="120"/>
      </w:pPr>
      <w:r>
        <w:t>The raw detector speed data are originally recorded in mph. Before TRR training and evaluation, the notebook converts speed to km/h by multiplying by 1.6. The CTM outputs used for hybrid residual learning are also in km/h. Therefore, all final TRR and hybrid speed predictions and RMSE values are reported in km/h.</w:t>
      </w:r>
    </w:p>
    <w:p>
      <w:r>
        <w:rPr>
          <w:b/>
          <w:sz w:val="22"/>
        </w:rPr>
        <w:t>10. What is the objective function for the baseline TRR model?</w:t>
      </w:r>
    </w:p>
    <w:p>
      <w:pPr>
        <w:spacing w:after="120"/>
      </w:pPr>
      <w:r>
        <w:t>The baseline TRR model minimizes squared prediction error with L2 regularization. In matrix form, the objective is to minimize the sum of squared errors between the future target and the ridge prediction, plus a regularization term λ||W||². The regularization term helps control multicollinearity and overfitting.</w:t>
      </w:r>
    </w:p>
    <w:p>
      <w:r>
        <w:rPr>
          <w:b/>
          <w:sz w:val="22"/>
        </w:rPr>
        <w:t>11. How does the hybrid CTM-ridge model work?</w:t>
      </w:r>
    </w:p>
    <w:p>
      <w:pPr>
        <w:spacing w:after="120"/>
      </w:pPr>
      <w:r>
        <w:t>The hybrid model uses the CTM forecast as a baseline and learns a residual correction. If y_t is the true target and y_hat_CTM,t is the CTM prediction, then the residual is r_t = y_t - y_hat_CTM,t. Ridge regression then predicts the residual from the same lagged traffic features, and the final hybrid forecast is CTM + learned residual.</w:t>
      </w:r>
    </w:p>
    <w:p>
      <w:r>
        <w:rPr>
          <w:b/>
          <w:sz w:val="22"/>
        </w:rPr>
        <w:t>12. Why is common-timestamp alignment required in the hybrid pipeline?</w:t>
      </w:r>
    </w:p>
    <w:p>
      <w:pPr>
        <w:spacing w:after="120"/>
      </w:pPr>
      <w:r>
        <w:t>After lag construction and target shifting, the ridge feature matrix and the CTM forecast files do not always cover exactly the same timestamps. To prevent indexing errors and ensure a fair comparison, the hybrid model is trained and evaluated only on timestamps common to both datasets.</w:t>
      </w:r>
    </w:p>
    <w:p>
      <w:r>
        <w:rPr>
          <w:b/>
          <w:sz w:val="22"/>
        </w:rPr>
        <w:t>13. What are the key final findings?</w:t>
      </w:r>
    </w:p>
    <w:p>
      <w:pPr>
        <w:spacing w:after="120"/>
      </w:pPr>
      <w:r>
        <w:t>At the 30-minute horizon, the baseline TRR model achieves strong performance and improves over the earlier midterm implementation. The hybrid model further improves flow forecasting but degrades speed forecasting relative to standalone TRR. In other words, the hybrid model is beneficial for flow but not for speed in the current linear residual formulation.</w:t>
      </w:r>
    </w:p>
    <w:p>
      <w:r>
        <w:rPr>
          <w:b/>
          <w:sz w:val="22"/>
        </w:rPr>
        <w:t>14. Where does the model struggle most?</w:t>
      </w:r>
    </w:p>
    <w:p>
      <w:pPr>
        <w:spacing w:after="120"/>
      </w:pPr>
      <w:r>
        <w:t>The largest errors occur at the congestion-dominated downstream stations, especially the stations associated with stronger bottleneck and shockwave behavior. These regimes remain challenging for both the linear temporal model and the hybrid residual model.</w:t>
      </w:r>
    </w:p>
    <w:p>
      <w:r>
        <w:rPr>
          <w:b/>
          <w:sz w:val="22"/>
        </w:rPr>
        <w:t>15. What is included for reproducibility in the code submission?</w:t>
      </w:r>
    </w:p>
    <w:p>
      <w:pPr>
        <w:spacing w:after="120"/>
      </w:pPr>
      <w:r>
        <w:t>The code submission includes a README with environment setup and execution instructions, a requirements.txt file for recreating the Python virtual environment, the final notebook-based pipeline, and the required detector and CTM forecast CSV files. The README documents how to build the environment, launch the notebook, and reproduce the main TRR and hybrid results.</w:t>
      </w:r>
    </w:p>
    <w:p>
      <w:r>
        <w:rPr>
          <w:b/>
        </w:rPr>
        <w:t xml:space="preserve">Note. </w:t>
      </w:r>
      <w:r>
        <w:t>If older midterm documents or slides describe same-station one-hot encoding, persistence-only comparisons, or speed values in mph, the final notebook and README should be treated as authoritative for the submitted code package.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