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4589563</wp:posOffset>
            </wp:positionH>
            <wp:positionV relativeFrom="page">
              <wp:posOffset>1002910</wp:posOffset>
            </wp:positionV>
            <wp:extent cx="2535137" cy="802077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137" cy="802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-1290634</wp:posOffset>
            </wp:positionH>
            <wp:positionV relativeFrom="page">
              <wp:posOffset>839410</wp:posOffset>
            </wp:positionV>
            <wp:extent cx="4816665" cy="4716318"/>
            <wp:effectExtent b="775487" l="750752" r="750752" t="775487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439456">
                      <a:off x="0" y="0"/>
                      <a:ext cx="4816665" cy="4716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-168500</wp:posOffset>
            </wp:positionH>
            <wp:positionV relativeFrom="page">
              <wp:posOffset>2566988</wp:posOffset>
            </wp:positionV>
            <wp:extent cx="6959830" cy="312198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9830" cy="31219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447675</wp:posOffset>
            </wp:positionH>
            <wp:positionV relativeFrom="page">
              <wp:posOffset>9144000</wp:posOffset>
            </wp:positionV>
            <wp:extent cx="1394299" cy="163375"/>
            <wp:effectExtent b="0" l="0" r="0" t="0"/>
            <wp:wrapNone/>
            <wp:docPr descr="Recurso 3.png" id="4" name="image7.png"/>
            <a:graphic>
              <a:graphicData uri="http://schemas.openxmlformats.org/drawingml/2006/picture">
                <pic:pic>
                  <pic:nvPicPr>
                    <pic:cNvPr descr="Recurso 3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299" cy="16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80.0" w:type="dxa"/>
        <w:jc w:val="left"/>
        <w:tblInd w:w="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"/>
        <w:gridCol w:w="9540"/>
        <w:tblGridChange w:id="0">
          <w:tblGrid>
            <w:gridCol w:w="240"/>
            <w:gridCol w:w="9540"/>
          </w:tblGrid>
        </w:tblGridChange>
      </w:tblGrid>
      <w:tr>
        <w:trPr>
          <w:cantSplit w:val="0"/>
          <w:trHeight w:val="3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82d68" w:val="clea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fcc74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efef" w:val="clear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ind w:left="425.19685039370086" w:firstLine="0"/>
              <w:rPr>
                <w:rFonts w:ascii="Google Sans" w:cs="Google Sans" w:eastAsia="Google Sans" w:hAnsi="Google Sans"/>
                <w:color w:val="0084d5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084d5"/>
                <w:sz w:val="52"/>
                <w:szCs w:val="52"/>
                <w:rtl w:val="0"/>
              </w:rPr>
              <w:t xml:space="preserve">Metodología AI-DLC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Subtitle"/>
              <w:spacing w:after="0" w:line="240" w:lineRule="auto"/>
              <w:ind w:left="425.19685039370086" w:firstLine="0"/>
              <w:rPr>
                <w:rFonts w:ascii="Google Sans" w:cs="Google Sans" w:eastAsia="Google Sans" w:hAnsi="Google Sans"/>
                <w:color w:val="0084d5"/>
                <w:sz w:val="28"/>
                <w:szCs w:val="28"/>
              </w:rPr>
            </w:pPr>
            <w:bookmarkStart w:colFirst="0" w:colLast="0" w:name="_nz9yb0kztxfb" w:id="0"/>
            <w:bookmarkEnd w:id="0"/>
            <w:r w:rsidDel="00000000" w:rsidR="00000000" w:rsidRPr="00000000">
              <w:rPr>
                <w:rFonts w:ascii="Google Sans" w:cs="Google Sans" w:eastAsia="Google Sans" w:hAnsi="Google Sans"/>
                <w:color w:val="0084d5"/>
                <w:sz w:val="28"/>
                <w:szCs w:val="28"/>
                <w:rtl w:val="0"/>
              </w:rPr>
              <w:t xml:space="preserve">Cómo construimos software con IA generativa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Google Sans" w:cs="Google Sans" w:eastAsia="Google Sans" w:hAnsi="Google Sans"/>
                <w:color w:val="0084d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425.19685039370086" w:firstLine="0"/>
              <w:jc w:val="both"/>
              <w:rPr>
                <w:rFonts w:ascii="Google Sans SemiBold" w:cs="Google Sans SemiBold" w:eastAsia="Google Sans SemiBold" w:hAnsi="Google Sans SemiBold"/>
                <w:color w:val="0084d5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0084d5"/>
                <w:sz w:val="20"/>
                <w:szCs w:val="20"/>
                <w:rtl w:val="0"/>
              </w:rPr>
              <w:t xml:space="preserve">Elaborado por: Equipo de IA Generativa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spacing w:after="120" w:before="240" w:line="240" w:lineRule="auto"/>
        <w:ind w:left="720" w:firstLine="0"/>
        <w:jc w:val="left"/>
        <w:rPr>
          <w:rFonts w:ascii="Google Sans SemiBold" w:cs="Google Sans SemiBold" w:eastAsia="Google Sans SemiBold" w:hAnsi="Google Sans SemiBold"/>
          <w:color w:val="0084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360" w:lineRule="auto"/>
        <w:ind w:left="720" w:firstLine="0"/>
        <w:jc w:val="left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282d68"/>
          <w:sz w:val="28"/>
          <w:szCs w:val="28"/>
          <w:rtl w:val="0"/>
        </w:rPr>
        <w:t xml:space="preserve">Contenido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7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1. El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Qué es AI-DLC y en qué se apoya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2.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Qué trabajo recorre el ciclo completo y qué queda fuera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3. Artefactos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Las seis piezas con las que trabaja el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4. Fases y rituales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Cómo se ordena el trabajo y cómo trabaja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5. 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Los nueve pasos, del Intent al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6. Herramientas 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Qué capacidad cubre cada fase y con qué se resuelve hoy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7. Gobernanza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Qué controla el proceso y qué evidencia queda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8. Adopción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Cómo se incorpora el equipo al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Fuentes del método y políticas aplicables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1. EL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AI-DLC es la metodología de AWS para construir software con IA generativa, publicada en julio de 2025. El proceso coloca a la IA en el centro del desarrollo: en cada actividad, la IA analiza el contexto, propone un plan y pregunta lo que no sabe. El equipo corrige y aprueba; con esa aprobación, la IA implementa. El mismo ciclo gobierna los requisitos, el diseño, el código, las pruebas y el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4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0" distT="0" distL="0" distR="0">
            <wp:extent cx="3840480" cy="384048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sz w:val="18"/>
          <w:szCs w:val="18"/>
          <w:rtl w:val="0"/>
        </w:rPr>
        <w:t xml:space="preserve">Figura 1. La IA propone, el equipo decide.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método nace de un límite que a menudo afecta al equipo de desarrollo: el asistente que autocompleta hace tareas sueltas sin contexto del sistema, y la IA que construye solo entrega software que nadie puede defender ante un cliente. AI-DLC evita los dos extremos: la IA hace el trabajo, una persona toma cada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2. ALCANCE: CUÁNDO APLICA Y CUÁNDO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ciclo completo está pensado para sistemas con complejidad de arquitectura, decisiones de diseño que negociar y exigencias de escala, integración o cumplimiento. El trabajo simple no lo necesita.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alcance se decide por cambio, no por proyecto. Un cambio recorre el ciclo completo si cumple al menos una de estas condiciones: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cambia un flujo de negocio;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toca más de un componente;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lleva más de dos días de trabajo;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automatiza una decisión que afecta a una persona.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Si no cumple ninguna, entra directo a la construcción con el ticket como única especificación.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3. ARTEFACTOS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trabajo no avanza solo con decisiones sueltas. Cada paso deja algo concreto: una definición de lo que se quiere conseguir, una parte del sistema que se va a construir, un diseño o un paquete listo para desplegar.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Esos resultados son los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1"/>
          <w:szCs w:val="21"/>
          <w:rtl w:val="0"/>
        </w:rPr>
        <w:t xml:space="preserve">artefactos</w:t>
      </w: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. Hay seis y acompañan al trabajo de principio a fin. Tres sirven para organizar qué se va a construir y cómo se va a dividir el trabajo; los otros tres son los resultados que produce la construcción.</w:t>
      </w:r>
    </w:p>
    <w:p w:rsidR="00000000" w:rsidDel="00000000" w:rsidP="00000000" w:rsidRDefault="00000000" w:rsidRPr="00000000" w14:paraId="00000044">
      <w:pPr>
        <w:pStyle w:val="Heading2"/>
        <w:spacing w:after="120" w:before="360" w:lineRule="auto"/>
        <w:ind w:left="720" w:firstLine="0"/>
        <w:jc w:val="left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282d68"/>
          <w:sz w:val="28"/>
          <w:szCs w:val="28"/>
          <w:rtl w:val="0"/>
        </w:rPr>
        <w:t xml:space="preserve">Organizan el trabajo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7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Lo que se quiere lograr, dicho en términos de negocio. El equipo define el destino y la IA propone el camino.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Una parte del sistema que se construye y se entrega por sí sola. Un Intent se descompone en Units; equivalen a los subdominios del diseño guiado por el dominio o a las épicas de Scrum.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El ciclo en que se construye un Unit. Es lo que en Scrum era el sprint, pero de horas o días en lugar de semanas. Un Unit puede necesitar varios Bolts.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spacing w:after="120" w:before="360" w:lineRule="auto"/>
        <w:ind w:left="720" w:firstLine="0"/>
        <w:jc w:val="left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282d68"/>
          <w:sz w:val="28"/>
          <w:szCs w:val="28"/>
          <w:rtl w:val="0"/>
        </w:rPr>
        <w:t xml:space="preserve">Produce la construcción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7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Domain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La lógica de negocio de un Unit, sin decidir todavía la tecnología. La IA modela con diseño guiado por el dominio: agregados, entidades, objetos de valor, eventos, repositorios.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Logical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El mismo diseño, ya resuelto para los requisitos no funcionales y con los patrones de arquitectura que correspondan. Cada decisión queda registrada en un ADR que una persona valida.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Deployment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El paquete listo para desplegar: el código ejecutable, su configuración y su infraestructura.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before="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Un requisito no funcional describe qué tan bien hace el sistema lo que hace: cuánto tarda, cuánto aguanta, qué registra, qué protege.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Ninguno de los seis se descarta al cerrar la fase. Todos quedan guardados y la IA los usa como memoria de contexto durante el resto del ciclo: el diseño recuerda lo que se decidió en los requisitos, y el despliegue recuerda lo que se decidió en el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4. FASES Y RITUALES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metodología ordena el trabajo en tres fases y define cómo trabaja el equipo dentro de cada una. Los rituales son esas sesiones de trabajo: el equipo revisa en vivo lo que la IA propuso y decide sobre la marcha.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4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0" distT="0" distL="0" distR="0">
            <wp:extent cx="5394960" cy="327701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77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sz w:val="18"/>
          <w:szCs w:val="18"/>
          <w:rtl w:val="0"/>
        </w:rPr>
        <w:t xml:space="preserve">Figura 2. El ciclo completo: roles, fases y artefactos.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280" w:lineRule="auto"/>
        <w:ind w:left="72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0084d5"/>
          <w:sz w:val="22"/>
          <w:szCs w:val="22"/>
          <w:rtl w:val="0"/>
        </w:rPr>
        <w:t xml:space="preserve">Inception: qué construir y por qué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IA propone las historias de usuario, los criterios de aceptación, los requisitos no funcionales, los riesgos y la descomposición del Intent en Units. El equipo revisa esa propuesta en vivo y corrige lo que está sobre-diseñado o lo que quedó corto. Ese ritual es la Mob Elaboration, y en él participan el Product Owner, los desarrolladores y la IA. La fase cierra con los Units aprobados y los Bolts sugeridos para construirlos.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before="280" w:lineRule="auto"/>
        <w:ind w:left="72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0084d5"/>
          <w:sz w:val="22"/>
          <w:szCs w:val="22"/>
          <w:rtl w:val="0"/>
        </w:rPr>
        <w:t xml:space="preserve">Construction: 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Cada Unit se construye en uno o más Bolts. La IA modela el dominio, resuelve los requisitos no funcionales y genera el código con sus pruebas. Los equipos intercambian las especificaciones de integración y deciden los patrones de arquitectura: es la Mob Construction. Para validar el resultado contra lo que se pidió, el Product Owner vuelve a la mesa en la Mob Testing. La fase cierra con Deployment Units probados.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80" w:before="280" w:lineRule="auto"/>
        <w:ind w:left="72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0084d5"/>
          <w:sz w:val="22"/>
          <w:szCs w:val="22"/>
          <w:rtl w:val="0"/>
        </w:rPr>
        <w:t xml:space="preserve">Operations: mantenerlo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Despliegue, observabilidad e incidentes, con la IA analizando métricas, registros y trazas para anticipar anomalías. No tiene un ritual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80" w:before="280" w:lineRule="auto"/>
        <w:ind w:left="72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0084d5"/>
          <w:sz w:val="22"/>
          <w:szCs w:val="22"/>
          <w:rtl w:val="0"/>
        </w:rPr>
        <w:t xml:space="preserve">Los puntos de validación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Ninguna fase avanza sola. En cada paso la IA presenta su propuesta y espera; el trabajo continúa cuando una persona la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5. EL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ciclo se recorre en nueve pasos, del Intent al sistema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4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0" distT="0" distL="0" distR="0">
            <wp:extent cx="5394960" cy="32207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2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0" w:lineRule="auto"/>
        <w:ind w:left="72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666666"/>
          <w:sz w:val="18"/>
          <w:szCs w:val="18"/>
          <w:rtl w:val="0"/>
        </w:rPr>
        <w:t xml:space="preserve">Figura 3. Los nueve pasos, agrupados en tres fases.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recorrido empieza con un plan. La IA lee la intención de negocio y propone los pasos necesarios para llevarla a cabo; el equipo lo revisa, lo corrige y lo aprueba. Después la IA descompone cada paso en tareas más finas, bajo la misma revisión. Cada paso deja artefactos que el siguiente usa como contexto, y por eso el orden importa.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360" w:lineRule="auto"/>
        <w:ind w:left="720" w:firstLine="0"/>
        <w:jc w:val="left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282d68"/>
          <w:sz w:val="28"/>
          <w:szCs w:val="28"/>
          <w:rtl w:val="0"/>
        </w:rPr>
        <w:t xml:space="preserve">Sistema nuevo y sistema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Los nueve pasos son los mismos en los dos casos. La diferencia está al principio de Construction: cuando el sistema ya existe, antes de modelar el dominio hay que elevar el código a un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IA lee el código y produce dos representaciones. El modelo estático muestra los componentes del dominio, sus responsabilidades y sus relaciones. El modelo dinámico muestra cómo esos componentes interactúan para resolver los casos de uso principales. Los desarrolladores y el Product Owner revisan y corrigen ambos modelos antes de continuar; con eso resuelto, el resto del recorrido es igual al de un sistema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6. HERRAMIENTAS Y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método no depende de una plataforma. Define qué capacidad hace falta en cada fase; cada proyecto la cubre con la herramienta que tenga.</w:t>
      </w: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Ind w:w="54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575"/>
        <w:gridCol w:w="3105"/>
        <w:gridCol w:w="3465"/>
        <w:gridCol w:w="1395"/>
        <w:tblGridChange w:id="0">
          <w:tblGrid>
            <w:gridCol w:w="1575"/>
            <w:gridCol w:w="3105"/>
            <w:gridCol w:w="3465"/>
            <w:gridCol w:w="1395"/>
          </w:tblGrid>
        </w:tblGridChange>
      </w:tblGrid>
      <w:tr>
        <w:trPr>
          <w:cantSplit w:val="0"/>
          <w:tblHeader w:val="1"/>
        </w:trPr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Qué capacidad hace falta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Con qué se cubre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82d68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 SemiBold" w:cs="Google Sans SemiBold" w:eastAsia="Google Sans SemiBold" w:hAnsi="Google Sans SemiBold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Inception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Producir la spec en tres artefactos, cada uno con aprobación explícita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Kiro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Un asistente que cargue las reglas del repositorio, y una revisión con veredicto antes de integrar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Claude Code; Forge, orquestación de corridas autónomas con revisores y veredicto PASS/DENY/DENYSPEC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Verificaciones automáticas en cada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El CI de cada proyecto, con definiciones por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="240" w:lineRule="auto"/>
              <w:ind w:left="60" w:right="6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8"/>
                <w:szCs w:val="18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herramienta importa menos que lo que se le carga. Una skill es un paquete de estándares e instrucciones que la herramienta levanta sola cuando la tarea coincide, y con eso todos recorren el mismo camino sin tener que acordarse de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Cada herramienta mantiene su propia documentación. Pero documentar una regla no es suficiente: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 de verdad importa, debe salir de la documentación y bajar al CI o a un hook de Git, donde pueda hacerse cumplir automáticamente. </w:t>
      </w:r>
    </w:p>
    <w:p w:rsidR="00000000" w:rsidDel="00000000" w:rsidP="00000000" w:rsidRDefault="00000000" w:rsidRPr="00000000" w14:paraId="00000082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7. GOBERNANZA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El proceso deja constancia de quién decidió qué. Esa constancia es lo que responde a un auditor o al oficial de cumplimiento de un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política de gobernanza de IA del grupo fija la regla que gobierna todo lo demás: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0084d5" w:space="10" w:sz="18" w:val="single"/>
        </w:pBdr>
        <w:spacing w:after="200" w:before="200" w:lineRule="auto"/>
        <w:ind w:left="1080" w:right="72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 SemiBold" w:cs="Google Sans SemiBold" w:eastAsia="Google Sans SemiBold" w:hAnsi="Google Sans SemiBold"/>
          <w:color w:val="282d68"/>
          <w:sz w:val="22"/>
          <w:szCs w:val="22"/>
          <w:rtl w:val="0"/>
        </w:rPr>
        <w:t xml:space="preserve">Todo código generado por IA pasa revisión humana antes de integrarse. El merge lo ejecuta siempre una persona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responsabilidad de cada cambio recae siempre en una persona con nombre; ningún agente es Accountable de nada, nunca.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Esa regla se sostiene sobre lo que el ciclo va dejando escrito. Los artefactos no se descartan al cerrar cada fase: la prueba lleva al código, el código al requisito y el requisito a la historia de usuario que lo originó. AWS señala esa trazabilidad de punta a punta como el requisito crítico para la revisión regulatoria, y es lo que permite reconstruir después por qué el sistema hace lo que hace.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Lo que no salió bien también queda registrado. Toda escalación, incidente o sorpresa relevante produce un post-mortem corto con número correlativo. No es burocracia: sus conclusiones se convierten en cambios concretos, sea una regla, una skill o una verificación del 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8. ADOPCIÓN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inducción al método es la misma para todo el equipo, sin importar el proyecto en el que esté. El método no se estudia, se practica: los rituales se aprenden ejecutándose sobre trabajo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inducción tiene cuatro piezas: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 w:rsidDel="00000000" w:rsidR="00000000" w:rsidRPr="00000000">
        <w:rPr>
          <w:rFonts w:ascii="Google Sans SemiBold" w:cs="Google Sans SemiBold" w:eastAsia="Google Sans SemiBold" w:hAnsi="Google Sans SemiBold"/>
          <w:sz w:val="21"/>
          <w:szCs w:val="21"/>
          <w:rtl w:val="0"/>
        </w:rPr>
        <w:t xml:space="preserve">Este documento</w:t>
      </w: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 — el vocabulario, el ciclo completo y por qué el método importa.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 w:rsidDel="00000000" w:rsidR="00000000" w:rsidRPr="00000000">
        <w:rPr>
          <w:rFonts w:ascii="Google Sans SemiBold" w:cs="Google Sans SemiBold" w:eastAsia="Google Sans SemiBold" w:hAnsi="Google Sans SemiBold"/>
          <w:sz w:val="21"/>
          <w:szCs w:val="21"/>
          <w:rtl w:val="0"/>
        </w:rPr>
        <w:t xml:space="preserve">Las herramientas del proyecto</w:t>
      </w: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 — instaladas y configuradas, con las reglas del repositorio cargadas.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 w:rsidDel="00000000" w:rsidR="00000000" w:rsidRPr="00000000">
        <w:rPr>
          <w:rFonts w:ascii="Google Sans SemiBold" w:cs="Google Sans SemiBold" w:eastAsia="Google Sans SemiBold" w:hAnsi="Google Sans SemiBold"/>
          <w:sz w:val="21"/>
          <w:szCs w:val="21"/>
          <w:rtl w:val="0"/>
        </w:rPr>
        <w:t xml:space="preserve">El flujo de un cambio</w:t>
      </w: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 — un caso recorrido de principio a fin, del Intent al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80" w:before="0" w:lineRule="auto"/>
        <w:ind w:left="1080" w:hanging="360"/>
        <w:jc w:val="left"/>
        <w:rPr/>
      </w:pPr>
      <w:r w:rsidDel="00000000" w:rsidR="00000000" w:rsidRPr="00000000">
        <w:rPr>
          <w:rFonts w:ascii="Google Sans SemiBold" w:cs="Google Sans SemiBold" w:eastAsia="Google Sans SemiBold" w:hAnsi="Google Sans SemiBold"/>
          <w:sz w:val="21"/>
          <w:szCs w:val="21"/>
          <w:rtl w:val="0"/>
        </w:rPr>
        <w:t xml:space="preserve">El primer trabajo acompañado</w:t>
      </w: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 — un cambio real, no un ejercicio, junto a alguien que ya recorrió el ciclo.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La inducción termina cuando ese primer cambio llega a producción.</w:t>
      </w:r>
    </w:p>
    <w:p w:rsidR="00000000" w:rsidDel="00000000" w:rsidP="00000000" w:rsidRDefault="00000000" w:rsidRPr="00000000" w14:paraId="00000092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0" w:lineRule="auto"/>
        <w:ind w:left="720" w:firstLine="0"/>
        <w:jc w:val="both"/>
        <w:rPr>
          <w:rFonts w:ascii="Google Sans" w:cs="Google Sans" w:eastAsia="Google Sans" w:hAnsi="Google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120" w:before="240" w:line="240" w:lineRule="auto"/>
        <w:ind w:left="720" w:firstLine="0"/>
        <w:jc w:val="left"/>
        <w:rPr>
          <w:rFonts w:ascii="Google Sans" w:cs="Google Sans" w:eastAsia="Google Sans" w:hAnsi="Google Sans"/>
          <w:color w:val="0084d5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84d5"/>
          <w:sz w:val="42"/>
          <w:szCs w:val="42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AWS, Method Definition Paper de AI-DLC, julio de 2025: fases, artefactos, rituales y los nueve pasos del flujo.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AWS, blog «AI-Driven Development Life Cycle: Reimagining Software Engineering», 31 de julio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AWS, blog «Building with AI-DLC using Amazon Q Developer», 29 de noviembre de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AWS, blog «AI-Driven Development Lifecycle for Financial Services», 26 de mayo de 2026: trazabilidad y controles en entornos regulados.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80" w:before="0" w:lineRule="auto"/>
        <w:ind w:left="1080" w:hanging="36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1"/>
          <w:szCs w:val="21"/>
          <w:rtl w:val="0"/>
        </w:rPr>
        <w:t xml:space="preserve">AWS, repositorio awslabs/aidlc-workflows, licencia MIT-0. La implementación 2.0 reorganiza el ciclo en más fases y etapas que las descritas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0" w:lineRule="auto"/>
        <w:ind w:left="144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.0000000000002" w:top="1440.0000000000002" w:left="1440.000000000000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right"/>
      <w:rPr>
        <w:rFonts w:ascii="Poppins" w:cs="Poppins" w:eastAsia="Poppins" w:hAnsi="Poppins"/>
        <w:b w:val="1"/>
        <w:bCs w:val="1"/>
        <w:color w:val="0084d5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-238122</wp:posOffset>
          </wp:positionH>
          <wp:positionV relativeFrom="paragraph">
            <wp:posOffset>209550</wp:posOffset>
          </wp:positionV>
          <wp:extent cx="1490663" cy="200666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0663" cy="20066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F">
    <w:pPr>
      <w:jc w:val="right"/>
      <w:rPr>
        <w:rFonts w:ascii="Poppins" w:cs="Poppins" w:eastAsia="Poppins" w:hAnsi="Poppins"/>
        <w:b w:val="1"/>
        <w:bCs w:val="1"/>
        <w:color w:val="0084d5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84d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right"/>
      <w:rPr>
        <w:color w:val="0084d5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84d5"/>
        <w:sz w:val="24"/>
        <w:szCs w:val="24"/>
        <w:rtl w:val="0"/>
      </w:rPr>
      <w:t xml:space="preserve">WWW.TXINTELLIGENCE.IO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-466721</wp:posOffset>
          </wp:positionH>
          <wp:positionV relativeFrom="margin">
            <wp:posOffset>-571497</wp:posOffset>
          </wp:positionV>
          <wp:extent cx="1338263" cy="334566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41" l="0" r="0" t="2941"/>
                  <a:stretch>
                    <a:fillRect/>
                  </a:stretch>
                </pic:blipFill>
                <pic:spPr>
                  <a:xfrm>
                    <a:off x="0" y="0"/>
                    <a:ext cx="1338263" cy="33456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4067175</wp:posOffset>
          </wp:positionH>
          <wp:positionV relativeFrom="page">
            <wp:posOffset>533400</wp:posOffset>
          </wp:positionV>
          <wp:extent cx="3841024" cy="50775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41024" cy="50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spacing w:line="240" w:lineRule="auto"/>
      <w:ind w:right="-702.9921259842507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1"/>
        <w:bCs w:val="1"/>
        <w:color w:val="fcc743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SemiBold-regular.ttf"/><Relationship Id="rId2" Type="http://schemas.openxmlformats.org/officeDocument/2006/relationships/font" Target="fonts/GoogleSansSemiBold-bold.ttf"/><Relationship Id="rId3" Type="http://schemas.openxmlformats.org/officeDocument/2006/relationships/font" Target="fonts/GoogleSansSemiBold-italic.ttf"/><Relationship Id="rId4" Type="http://schemas.openxmlformats.org/officeDocument/2006/relationships/font" Target="fonts/GoogleSansSemiBold-boldItalic.ttf"/><Relationship Id="rId11" Type="http://schemas.openxmlformats.org/officeDocument/2006/relationships/font" Target="fonts/GoogleSans-italic.ttf"/><Relationship Id="rId10" Type="http://schemas.openxmlformats.org/officeDocument/2006/relationships/font" Target="fonts/GoogleSans-bold.ttf"/><Relationship Id="rId12" Type="http://schemas.openxmlformats.org/officeDocument/2006/relationships/font" Target="fonts/GoogleSans-boldItalic.ttf"/><Relationship Id="rId9" Type="http://schemas.openxmlformats.org/officeDocument/2006/relationships/font" Target="fonts/GoogleSan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