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rPr>
          <w:rFonts w:ascii="Google Sans" w:cs="Google Sans" w:eastAsia="Google Sans" w:hAnsi="Google Sans"/>
        </w:rPr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4589563</wp:posOffset>
            </wp:positionH>
            <wp:positionV relativeFrom="page">
              <wp:posOffset>1002910</wp:posOffset>
            </wp:positionV>
            <wp:extent cx="2535137" cy="802077"/>
            <wp:effectExtent b="0" l="0" r="0" t="0"/>
            <wp:wrapNone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35137" cy="80207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-1290634</wp:posOffset>
            </wp:positionH>
            <wp:positionV relativeFrom="page">
              <wp:posOffset>839410</wp:posOffset>
            </wp:positionV>
            <wp:extent cx="4816665" cy="4716318"/>
            <wp:effectExtent b="775487" l="750752" r="750752" t="775487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 rot="1439456">
                      <a:off x="0" y="0"/>
                      <a:ext cx="4816665" cy="47163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-168500</wp:posOffset>
            </wp:positionH>
            <wp:positionV relativeFrom="page">
              <wp:posOffset>2566988</wp:posOffset>
            </wp:positionV>
            <wp:extent cx="6959830" cy="3121981"/>
            <wp:effectExtent b="0" l="0" r="0" t="0"/>
            <wp:wrapNone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59830" cy="312198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</w:t>
      </w:r>
    </w:p>
    <w:p w:rsidR="00000000" w:rsidDel="00000000" w:rsidP="00000000" w:rsidRDefault="00000000" w:rsidRPr="00000000" w14:paraId="0000000A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447675</wp:posOffset>
            </wp:positionH>
            <wp:positionV relativeFrom="page">
              <wp:posOffset>9144000</wp:posOffset>
            </wp:positionV>
            <wp:extent cx="1394299" cy="163375"/>
            <wp:effectExtent b="0" l="0" r="0" t="0"/>
            <wp:wrapNone/>
            <wp:docPr descr="Recurso 3.png" id="4" name="image7.png"/>
            <a:graphic>
              <a:graphicData uri="http://schemas.openxmlformats.org/drawingml/2006/picture">
                <pic:pic>
                  <pic:nvPicPr>
                    <pic:cNvPr descr="Recurso 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94299" cy="163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 </w:t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780.0" w:type="dxa"/>
        <w:jc w:val="left"/>
        <w:tblInd w:w="8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"/>
        <w:gridCol w:w="9540"/>
        <w:tblGridChange w:id="0">
          <w:tblGrid>
            <w:gridCol w:w="240"/>
            <w:gridCol w:w="9540"/>
          </w:tblGrid>
        </w:tblGridChange>
      </w:tblGrid>
      <w:tr>
        <w:trPr>
          <w:cantSplit w:val="0"/>
          <w:trHeight w:val="37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282d68" w:val="clea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color w:val="fcc743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</w:tcPr>
          <w:p w:rsidR="00000000" w:rsidDel="00000000" w:rsidP="00000000" w:rsidRDefault="00000000" w:rsidRPr="00000000" w14:paraId="00000013">
            <w:pPr>
              <w:spacing w:after="240" w:before="240" w:line="240" w:lineRule="auto"/>
              <w:ind w:left="425.19685039370086" w:firstLine="0"/>
              <w:rPr>
                <w:rFonts w:ascii="Google Sans" w:cs="Google Sans" w:eastAsia="Google Sans" w:hAnsi="Google Sans"/>
                <w:color w:val="0084d5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0084d5"/>
                <w:sz w:val="52"/>
                <w:szCs w:val="52"/>
                <w:rtl w:val="0"/>
              </w:rPr>
              <w:t xml:space="preserve">Metodología AI-DLC</w:t>
            </w: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Subtitle"/>
              <w:spacing w:after="0" w:line="240" w:lineRule="auto"/>
              <w:ind w:left="425.19685039370086" w:firstLine="0"/>
              <w:rPr>
                <w:rFonts w:ascii="Google Sans" w:cs="Google Sans" w:eastAsia="Google Sans" w:hAnsi="Google Sans"/>
                <w:color w:val="0084d5"/>
                <w:sz w:val="28"/>
                <w:szCs w:val="28"/>
              </w:rPr>
            </w:pPr>
            <w:bookmarkStart w:colFirst="0" w:colLast="0" w:name="_nz9yb0kztxfb" w:id="0"/>
            <w:bookmarkEnd w:id="0"/>
            <w:r w:rsidDel="00000000" w:rsidR="00000000" w:rsidRPr="00000000">
              <w:rPr>
                <w:rFonts w:ascii="Google Sans" w:cs="Google Sans" w:eastAsia="Google Sans" w:hAnsi="Google Sans"/>
                <w:color w:val="0084d5"/>
                <w:sz w:val="28"/>
                <w:szCs w:val="28"/>
                <w:rtl w:val="0"/>
              </w:rPr>
              <w:t xml:space="preserve">Cómo construimos software con IA generativa</w:t>
            </w:r>
          </w:p>
          <w:p w:rsidR="00000000" w:rsidDel="00000000" w:rsidP="00000000" w:rsidRDefault="00000000" w:rsidRPr="00000000" w14:paraId="00000015">
            <w:pPr>
              <w:spacing w:line="240" w:lineRule="auto"/>
              <w:rPr>
                <w:rFonts w:ascii="Google Sans" w:cs="Google Sans" w:eastAsia="Google Sans" w:hAnsi="Google Sans"/>
                <w:color w:val="0084d5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240" w:lineRule="auto"/>
              <w:ind w:left="425.19685039370086" w:firstLine="0"/>
              <w:jc w:val="both"/>
              <w:rPr>
                <w:rFonts w:ascii="Google Sans SemiBold" w:cs="Google Sans SemiBold" w:eastAsia="Google Sans SemiBold" w:hAnsi="Google Sans SemiBold"/>
                <w:color w:val="0084d5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0084d5"/>
                <w:sz w:val="20"/>
                <w:szCs w:val="20"/>
                <w:rtl w:val="0"/>
              </w:rPr>
              <w:t xml:space="preserve">Elaborado por: Equipo de IA Generativa</w:t>
            </w:r>
            <w:r w:rsidDel="00000000" w:rsidR="00000000" w:rsidRPr="00000000">
              <w:rPr>
                <w:rtl w:val="0"/>
              </w:rPr>
            </w:r>
          </w:p>
        </w:tc>
      </w:tr>
    </w:tbl>
    <w:p>
      <w:pPr>
        <w:pStyle w:val="Heading2"/>
        <w:spacing w:after="120" w:before="360" w:lineRule="auto"/>
        <w:ind w:left="720" w:firstLine="0"/>
        <w:jc w:val="left"/>
        <w:rPr>
          <w:sz w:val="28"/>
          <w:szCs w:val="28"/>
        </w:rPr>
      </w:pPr>
      <w:r>
        <w:rPr>
          <w:rFonts w:ascii="Open Sans SemiBold" w:cs="Open Sans SemiBold" w:eastAsia="Open Sans SemiBold" w:hAnsi="Open Sans SemiBold"/>
          <w:color w:val="282d68"/>
          <w:sz w:val="28"/>
          <w:szCs w:val="28"/>
          <w:rtl w:val="0"/>
        </w:rPr>
        <w:t xml:space="preserve">Contenido</w:t>
      </w:r>
    </w:p>
    <w:tbl>
      <w:tblPr>
        <w:tblStyle w:val="Table2"/>
        <w:tblW w:w="9360" w:type="dxa"/>
        <w:jc w:val="left"/>
        <w:tblInd w:w="72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2800"/>
        <w:gridCol w:w="6560"/>
      </w:tblGrid>
      <w:tr>
        <w:trPr>
          <w:cantSplit w:val="0"/>
          <w:tblHeader w:val="1"/>
        </w:trPr>
        <w:tc>
          <w:tcPr>
            <w:tcW w:w="280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Sección</w:t>
            </w:r>
          </w:p>
        </w:tc>
        <w:tc>
          <w:tcPr>
            <w:tcW w:w="656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Contenido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1. El método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Qué es AI-DLC y en qué se apoya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2. Alcance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Qué trabajo recorre el ciclo completo y qué queda fuera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3. Artefactos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Las seis piezas con las que trabaja el método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4. Fases y rituales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Cómo se ordena el trabajo y cómo trabaja el equipo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5. El flujo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Los nueve pasos, del Intent al despliegue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6. Herramientas y skills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Qué capacidad cubre cada fase y con qué se resuelve hoy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7. Gobernanza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Qué controla el proceso y qué evidencia queda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8. Adopción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Cómo se incorpora el equipo al método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Referencias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Fuentes del método y políticas aplicables</w:t>
            </w:r>
          </w:p>
        </w:tc>
      </w:tr>
    </w:tbl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1. EL MÉTODO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AI-DLC es la metodología de AWS para construir software con IA generativa, publicada en julio de 2025. El proceso coloca a la IA en el centro del desarrollo: en cada actividad, la IA analiza el contexto, propone un plan y pregunta lo que no sabe. El equipo corrige y aprueba; con esa aprobación, la IA implementa. El mismo ciclo gobierna los requisitos, el diseño, el código, las pruebas y el despliegue.</w:t>
      </w:r>
    </w:p>
    <w:p>
      <w:pPr>
        <w:spacing w:after="80" w:before="240" w:lineRule="auto"/>
        <w:ind w:left="720" w:firstLine="0"/>
        <w:jc w:val="center"/>
        <w:rPr/>
      </w:pPr>
      <w:r>
        <w:rPr>
          <w:rtl w:val="0"/>
        </w:rPr>
        <w:drawing>
          <wp:inline distB="0" distT="0" distL="0" distR="0">
            <wp:extent cx="3840480" cy="3840480"/>
            <wp:effectExtent b="0" l="0" r="0" t="0"/>
            <wp:docPr id="163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Rule="auto"/>
        <w:ind w:left="720" w:firstLine="0"/>
        <w:jc w:val="center"/>
        <w:rPr/>
      </w:pPr>
      <w:r>
        <w:rPr>
          <w:rFonts w:ascii="Open Sans" w:cs="Open Sans" w:eastAsia="Open Sans" w:hAnsi="Open Sans"/>
          <w:i w:val="1"/>
          <w:iCs w:val="1"/>
          <w:color w:val="666666"/>
          <w:sz w:val="18"/>
          <w:szCs w:val="18"/>
          <w:rtl w:val="0"/>
        </w:rPr>
        <w:t xml:space="preserve">Figura 1. La IA propone, el equipo decide.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método nace de un límite que a menudo afecta al equipo de desarrollo: el asistente que autocompleta hace tareas sueltas sin contexto del sistema, y la IA que construye solo entrega software que nadie puede defender ante un cliente. AI-DLC evita los dos extremos: la IA hace el trabajo, una persona toma cada decisión.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2. ALCANCE: CUÁNDO APLICA Y CUÁNDO NO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ciclo completo está pensado para sistemas con complejidad de arquitectura, decisiones de diseño que negociar y exigencias de escala, integración o cumplimiento. El trabajo simple no lo necesita.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alcance se decide por cambio, no por proyecto. Un cambio recorre el ciclo completo si cumple al menos una de estas condiciones: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cambia un flujo de negocio;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toca más de un componente;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lleva más de dos días de trabajo;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automatiza una decisión que afecta a una persona.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Si no cumple ninguna, entra directo a la construcción con el ticket como única especificación.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3. ARTEFACTOS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trabajo no avanza solo con decisiones sueltas. Cada paso deja algo concreto: una definición de lo que se quiere conseguir, una parte del sistema que se va a construir, un diseño o un paquete listo para desplegar.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Esos resultados son los </w:t>
      </w:r>
      <w:r>
        <w:rPr>
          <w:rFonts w:ascii="Open Sans SemiBold" w:cs="Open Sans SemiBold" w:eastAsia="Open Sans SemiBold" w:hAnsi="Open Sans SemiBold"/>
          <w:sz w:val="21"/>
          <w:szCs w:val="21"/>
          <w:rtl w:val="0"/>
        </w:rPr>
        <w:t xml:space="preserve">artefactos</w:t>
      </w:r>
      <w:r>
        <w:rPr>
          <w:rFonts w:ascii="Open Sans" w:cs="Open Sans" w:eastAsia="Open Sans" w:hAnsi="Open Sans"/>
          <w:sz w:val="21"/>
          <w:szCs w:val="21"/>
          <w:rtl w:val="0"/>
        </w:rPr>
        <w:t xml:space="preserve">. Hay seis y acompañan al trabajo de principio a fin. Tres sirven para organizar qué se va a construir y cómo se va a dividir el trabajo; los otros tres son los resultados que produce la construcción.</w:t>
      </w:r>
    </w:p>
    <w:p>
      <w:pPr>
        <w:pStyle w:val="Heading2"/>
        <w:spacing w:after="120" w:before="360" w:lineRule="auto"/>
        <w:ind w:left="720" w:firstLine="0"/>
        <w:jc w:val="left"/>
        <w:rPr>
          <w:sz w:val="28"/>
          <w:szCs w:val="28"/>
        </w:rPr>
      </w:pPr>
      <w:r>
        <w:rPr>
          <w:rFonts w:ascii="Open Sans SemiBold" w:cs="Open Sans SemiBold" w:eastAsia="Open Sans SemiBold" w:hAnsi="Open Sans SemiBold"/>
          <w:color w:val="282d68"/>
          <w:sz w:val="28"/>
          <w:szCs w:val="28"/>
          <w:rtl w:val="0"/>
        </w:rPr>
        <w:t xml:space="preserve">Organizan el trabajo</w:t>
      </w:r>
    </w:p>
    <w:tbl>
      <w:tblPr>
        <w:tblStyle w:val="Table2"/>
        <w:tblW w:w="9360" w:type="dxa"/>
        <w:jc w:val="left"/>
        <w:tblInd w:w="72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2200"/>
        <w:gridCol w:w="7160"/>
      </w:tblGrid>
      <w:tr>
        <w:trPr>
          <w:cantSplit w:val="0"/>
          <w:tblHeader w:val="1"/>
        </w:trPr>
        <w:tc>
          <w:tcPr>
            <w:tcW w:w="220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Artefacto</w:t>
            </w:r>
          </w:p>
        </w:tc>
        <w:tc>
          <w:tcPr>
            <w:tcW w:w="716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Qué es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Intent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Lo que se quiere lograr, dicho en términos de negocio. El equipo define el destino y la IA propone el camino.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Unit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Una parte del sistema que se construye y se entrega por sí sola. Un Intent se descompone en Units; equivalen a los subdominios del diseño guiado por el dominio o a las épicas de Scrum.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Bolt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El ciclo en que se construye un Unit. Es lo que en Scrum era el sprint, pero de horas o días en lugar de semanas. Un Unit puede necesitar varios Bolts.</w:t>
            </w:r>
          </w:p>
        </w:tc>
      </w:tr>
    </w:tbl>
    <w:p>
      <w:pPr>
        <w:pStyle w:val="Heading2"/>
        <w:spacing w:after="120" w:before="360" w:lineRule="auto"/>
        <w:ind w:left="720" w:firstLine="0"/>
        <w:jc w:val="left"/>
        <w:rPr>
          <w:sz w:val="28"/>
          <w:szCs w:val="28"/>
        </w:rPr>
      </w:pPr>
      <w:r>
        <w:rPr>
          <w:rFonts w:ascii="Open Sans SemiBold" w:cs="Open Sans SemiBold" w:eastAsia="Open Sans SemiBold" w:hAnsi="Open Sans SemiBold"/>
          <w:color w:val="282d68"/>
          <w:sz w:val="28"/>
          <w:szCs w:val="28"/>
          <w:rtl w:val="0"/>
        </w:rPr>
        <w:t xml:space="preserve">Produce la construcción</w:t>
      </w:r>
    </w:p>
    <w:tbl>
      <w:tblPr>
        <w:tblStyle w:val="Table2"/>
        <w:tblW w:w="9360" w:type="dxa"/>
        <w:jc w:val="left"/>
        <w:tblInd w:w="72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2200"/>
        <w:gridCol w:w="7160"/>
      </w:tblGrid>
      <w:tr>
        <w:trPr>
          <w:cantSplit w:val="0"/>
          <w:tblHeader w:val="1"/>
        </w:trPr>
        <w:tc>
          <w:tcPr>
            <w:tcW w:w="220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Artefacto</w:t>
            </w:r>
          </w:p>
        </w:tc>
        <w:tc>
          <w:tcPr>
            <w:tcW w:w="716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Qué es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Domain Design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La lógica de negocio de un Unit, sin decidir todavía la tecnología. La IA modela con diseño guiado por el dominio: agregados, entidades, objetos de valor, eventos, repositorios.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Logical Design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El mismo diseño, ya resuelto para los requisitos no funcionales y con los patrones de arquitectura que correspondan. Cada decisión queda registrada en un ADR que una persona valida.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Deployment Units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El paquete listo para desplegar: el código ejecutable, su configuración y su infraestructura.</w:t>
            </w:r>
          </w:p>
        </w:tc>
      </w:tr>
    </w:tbl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Un requisito no funcional describe qué tan bien hace el sistema lo que hace: cuánto tarda, cuánto aguanta, qué registra, qué protege.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Ninguno de los seis se descarta al cerrar la fase. Todos quedan guardados y la IA los usa como memoria de contexto durante el resto del ciclo: el diseño recuerda lo que se decidió en los requisitos, y el despliegue recuerda lo que se decidió en el diseño.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4. FASES Y RITUALES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metodología ordena el trabajo en tres fases y define cómo trabaja el equipo dentro de cada una. Los rituales son esas sesiones de trabajo: el equipo revisa en vivo lo que la IA propuso y decide sobre la marcha.</w:t>
      </w:r>
    </w:p>
    <w:p>
      <w:pPr>
        <w:spacing w:after="80" w:before="240" w:lineRule="auto"/>
        <w:ind w:left="720" w:firstLine="0"/>
        <w:jc w:val="center"/>
        <w:rPr/>
      </w:pPr>
      <w:r>
        <w:rPr>
          <w:rtl w:val="0"/>
        </w:rPr>
        <w:drawing>
          <wp:inline distB="0" distT="0" distL="0" distR="0">
            <wp:extent cx="5394960" cy="3277016"/>
            <wp:effectExtent b="0" l="0" r="0" t="0"/>
            <wp:docPr id="124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Rule="auto"/>
        <w:ind w:left="720" w:firstLine="0"/>
        <w:jc w:val="center"/>
        <w:rPr/>
      </w:pPr>
      <w:r>
        <w:rPr>
          <w:rFonts w:ascii="Open Sans" w:cs="Open Sans" w:eastAsia="Open Sans" w:hAnsi="Open Sans"/>
          <w:i w:val="1"/>
          <w:iCs w:val="1"/>
          <w:color w:val="666666"/>
          <w:sz w:val="18"/>
          <w:szCs w:val="18"/>
          <w:rtl w:val="0"/>
        </w:rPr>
        <w:t xml:space="preserve">Figura 2. El ciclo completo: roles, fases y artefactos.</w:t>
      </w:r>
    </w:p>
    <w:p>
      <w:pPr>
        <w:pStyle w:val="Heading3"/>
        <w:spacing w:after="80" w:before="280" w:lineRule="auto"/>
        <w:ind w:left="720" w:firstLine="0"/>
        <w:jc w:val="left"/>
        <w:rPr/>
      </w:pPr>
      <w:r>
        <w:rPr>
          <w:rFonts w:ascii="Open Sans SemiBold" w:cs="Open Sans SemiBold" w:eastAsia="Open Sans SemiBold" w:hAnsi="Open Sans SemiBold"/>
          <w:color w:val="0084d5"/>
          <w:sz w:val="22"/>
          <w:szCs w:val="22"/>
          <w:rtl w:val="0"/>
        </w:rPr>
        <w:t xml:space="preserve">Inception: qué construir y por qué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IA propone las historias de usuario, los criterios de aceptación, los requisitos no funcionales, los riesgos y la descomposición del Intent en Units. El equipo revisa esa propuesta en vivo y corrige lo que está sobre-diseñado o lo que quedó corto. Ese ritual es la Mob Elaboration, y en él participan el Product Owner, los desarrolladores y la IA. La fase cierra con los Units aprobados y los Bolts sugeridos para construirlos.</w:t>
      </w:r>
    </w:p>
    <w:p>
      <w:pPr>
        <w:pStyle w:val="Heading3"/>
        <w:spacing w:after="80" w:before="280" w:lineRule="auto"/>
        <w:ind w:left="720" w:firstLine="0"/>
        <w:jc w:val="left"/>
        <w:rPr/>
      </w:pPr>
      <w:r>
        <w:rPr>
          <w:rFonts w:ascii="Open Sans SemiBold" w:cs="Open Sans SemiBold" w:eastAsia="Open Sans SemiBold" w:hAnsi="Open Sans SemiBold"/>
          <w:color w:val="0084d5"/>
          <w:sz w:val="22"/>
          <w:szCs w:val="22"/>
          <w:rtl w:val="0"/>
        </w:rPr>
        <w:t xml:space="preserve">Construction: cómo construirlo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Cada Unit se construye en uno o más Bolts. La IA modela el dominio, resuelve los requisitos no funcionales y genera el código con sus pruebas. Los equipos intercambian las especificaciones de integración y deciden los patrones de arquitectura: es la Mob Construction. Para validar el resultado contra lo que se pidió, el Product Owner vuelve a la mesa en la Mob Testing. La fase cierra con Deployment Units probados.</w:t>
      </w:r>
    </w:p>
    <w:p>
      <w:pPr>
        <w:pStyle w:val="Heading3"/>
        <w:spacing w:after="80" w:before="280" w:lineRule="auto"/>
        <w:ind w:left="720" w:firstLine="0"/>
        <w:jc w:val="left"/>
        <w:rPr/>
      </w:pPr>
      <w:r>
        <w:rPr>
          <w:rFonts w:ascii="Open Sans SemiBold" w:cs="Open Sans SemiBold" w:eastAsia="Open Sans SemiBold" w:hAnsi="Open Sans SemiBold"/>
          <w:color w:val="0084d5"/>
          <w:sz w:val="22"/>
          <w:szCs w:val="22"/>
          <w:rtl w:val="0"/>
        </w:rPr>
        <w:t xml:space="preserve">Operations: mantenerlo vivo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Despliegue, observabilidad e incidentes, con la IA analizando métricas, registros y trazas para anticipar anomalías. No tiene un ritual propio.</w:t>
      </w:r>
    </w:p>
    <w:p>
      <w:pPr>
        <w:pStyle w:val="Heading3"/>
        <w:spacing w:after="80" w:before="280" w:lineRule="auto"/>
        <w:ind w:left="720" w:firstLine="0"/>
        <w:jc w:val="left"/>
        <w:rPr/>
      </w:pPr>
      <w:r>
        <w:rPr>
          <w:rFonts w:ascii="Open Sans SemiBold" w:cs="Open Sans SemiBold" w:eastAsia="Open Sans SemiBold" w:hAnsi="Open Sans SemiBold"/>
          <w:color w:val="0084d5"/>
          <w:sz w:val="22"/>
          <w:szCs w:val="22"/>
          <w:rtl w:val="0"/>
        </w:rPr>
        <w:t xml:space="preserve">Los puntos de validación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Ninguna fase avanza sola. En cada paso la IA presenta su propuesta y espera; el trabajo continúa cuando una persona la aprueba.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5. EL FLUJO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ciclo se recorre en nueve pasos, del Intent al sistema en producción.</w:t>
      </w:r>
    </w:p>
    <w:p>
      <w:pPr>
        <w:spacing w:after="80" w:before="240" w:lineRule="auto"/>
        <w:ind w:left="720" w:firstLine="0"/>
        <w:jc w:val="center"/>
        <w:rPr/>
      </w:pPr>
      <w:r>
        <w:rPr>
          <w:rtl w:val="0"/>
        </w:rPr>
        <w:drawing>
          <wp:inline distB="0" distT="0" distL="0" distR="0">
            <wp:extent cx="5394960" cy="3220713"/>
            <wp:effectExtent b="0" l="0" r="0" t="0"/>
            <wp:docPr id="360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20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Rule="auto"/>
        <w:ind w:left="720" w:firstLine="0"/>
        <w:jc w:val="center"/>
        <w:rPr/>
      </w:pPr>
      <w:r>
        <w:rPr>
          <w:rFonts w:ascii="Open Sans" w:cs="Open Sans" w:eastAsia="Open Sans" w:hAnsi="Open Sans"/>
          <w:i w:val="1"/>
          <w:iCs w:val="1"/>
          <w:color w:val="666666"/>
          <w:sz w:val="18"/>
          <w:szCs w:val="18"/>
          <w:rtl w:val="0"/>
        </w:rPr>
        <w:t xml:space="preserve">Figura 3. Los nueve pasos, agrupados en tres fases.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recorrido empieza con un plan. La IA lee la intención de negocio y propone los pasos necesarios para llevarla a cabo; el equipo lo revisa, lo corrige y lo aprueba. Después la IA descompone cada paso en tareas más finas, bajo la misma revisión. Cada paso deja artefactos que el siguiente usa como contexto, y por eso el orden importa.</w:t>
      </w:r>
    </w:p>
    <w:p>
      <w:pPr>
        <w:pStyle w:val="Heading2"/>
        <w:spacing w:after="120" w:before="360" w:lineRule="auto"/>
        <w:ind w:left="720" w:firstLine="0"/>
        <w:jc w:val="left"/>
        <w:rPr>
          <w:sz w:val="28"/>
          <w:szCs w:val="28"/>
        </w:rPr>
      </w:pPr>
      <w:r>
        <w:rPr>
          <w:rFonts w:ascii="Open Sans SemiBold" w:cs="Open Sans SemiBold" w:eastAsia="Open Sans SemiBold" w:hAnsi="Open Sans SemiBold"/>
          <w:color w:val="282d68"/>
          <w:sz w:val="28"/>
          <w:szCs w:val="28"/>
          <w:rtl w:val="0"/>
        </w:rPr>
        <w:t xml:space="preserve">Sistema nuevo y sistema existente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Los nueve pasos son los mismos en los dos casos. La diferencia está al principio de Construction: cuando el sistema ya existe, antes de modelar el dominio hay que elevar el código a un modelo.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IA lee el código y produce dos representaciones. El modelo estático muestra los componentes del dominio, sus responsabilidades y sus relaciones. El modelo dinámico muestra cómo esos componentes interactúan para resolver los casos de uso principales. Los desarrolladores y el Product Owner revisan y corrigen ambos modelos antes de continuar; con eso resuelto, el resto del recorrido es igual al de un sistema nuevo.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6. HERRAMIENTAS Y SKILLS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método no depende de una plataforma. Define qué capacidad hace falta en cada fase; cada proyecto la cubre con la herramienta que tenga.</w:t>
      </w:r>
    </w:p>
    <w:tbl>
      <w:tblPr>
        <w:tblStyle w:val="Table2"/>
        <w:tblW w:w="9360" w:type="dxa"/>
        <w:jc w:val="left"/>
        <w:tblInd w:w="72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575"/>
        <w:gridCol w:w="3105"/>
        <w:gridCol w:w="3465"/>
        <w:gridCol w:w="1395"/>
      </w:tblGrid>
      <w:tr>
        <w:trPr>
          <w:cantSplit w:val="0"/>
          <w:tblHeader w:val="1"/>
        </w:trPr>
        <w:tc>
          <w:tcPr>
            <w:tcW w:w="1575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Fase</w:t>
            </w:r>
          </w:p>
        </w:tc>
        <w:tc>
          <w:tcPr>
            <w:tcW w:w="3105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Qué capacidad hace falta</w:t>
            </w:r>
          </w:p>
        </w:tc>
        <w:tc>
          <w:tcPr>
            <w:tcW w:w="3465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Con qué se cubre hoy</w:t>
            </w:r>
          </w:p>
        </w:tc>
        <w:tc>
          <w:tcPr>
            <w:tcW w:w="1395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Estado</w:t>
            </w:r>
          </w:p>
        </w:tc>
      </w:tr>
      <w:tr>
        <w:trPr>
          <w:cantSplit w:val="0"/>
        </w:trPr>
        <w:tc>
          <w:tcPr>
            <w:tcW w:w="157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Inception</w:t>
            </w:r>
          </w:p>
        </w:tc>
        <w:tc>
          <w:tcPr>
            <w:tcW w:w="310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Producir la spec en tres artefactos, cada uno con aprobación explícita</w:t>
            </w:r>
          </w:p>
        </w:tc>
        <w:tc>
          <w:tcPr>
            <w:tcW w:w="346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Kiro</w:t>
            </w:r>
          </w:p>
        </w:tc>
        <w:tc>
          <w:tcPr>
            <w:tcW w:w="139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Real</w:t>
            </w:r>
          </w:p>
        </w:tc>
      </w:tr>
      <w:tr>
        <w:trPr>
          <w:cantSplit w:val="0"/>
        </w:trPr>
        <w:tc>
          <w:tcPr>
            <w:tcW w:w="157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Construction</w:t>
            </w:r>
          </w:p>
        </w:tc>
        <w:tc>
          <w:tcPr>
            <w:tcW w:w="310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Un asistente que cargue las reglas del repositorio, y una revisión con veredicto antes de integrar</w:t>
            </w:r>
          </w:p>
        </w:tc>
        <w:tc>
          <w:tcPr>
            <w:tcW w:w="346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Claude Code; Forge, orquestación de corridas autónomas con revisores y veredicto PASS/DENY/DENYSPEC</w:t>
            </w:r>
          </w:p>
        </w:tc>
        <w:tc>
          <w:tcPr>
            <w:tcW w:w="139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Real</w:t>
            </w:r>
          </w:p>
        </w:tc>
      </w:tr>
      <w:tr>
        <w:trPr>
          <w:cantSplit w:val="0"/>
        </w:trPr>
        <w:tc>
          <w:tcPr>
            <w:tcW w:w="157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Operations</w:t>
            </w:r>
          </w:p>
        </w:tc>
        <w:tc>
          <w:tcPr>
            <w:tcW w:w="310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Verificaciones automáticas en cada cambio</w:t>
            </w:r>
          </w:p>
        </w:tc>
        <w:tc>
          <w:tcPr>
            <w:tcW w:w="346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El CI de cada proyecto, con definiciones por stack</w:t>
            </w:r>
          </w:p>
        </w:tc>
        <w:tc>
          <w:tcPr>
            <w:tcW w:w="1395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Real</w:t>
            </w:r>
          </w:p>
        </w:tc>
      </w:tr>
    </w:tbl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herramienta importa menos que lo que se le carga. Una skill es un paquete de estándares e instrucciones que la herramienta levanta sola cuando la tarea coincide, y con eso todos recorren el mismo camino sin tener que acordarse de nada.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 SemiBold" w:cs="Open Sans SemiBold" w:eastAsia="Open Sans SemiBold" w:hAnsi="Open Sans SemiBold"/>
          <w:sz w:val="21"/>
          <w:szCs w:val="21"/>
          <w:rtl w:val="0"/>
        </w:rPr>
        <w:t xml:space="preserve">Cada herramienta mantiene su propia documentación. Pero documentar una regla no es suficiente:</w:t>
      </w:r>
      <w:r>
        <w:rPr>
          <w:rFonts w:ascii="Open Sans" w:cs="Open Sans" w:eastAsia="Open Sans" w:hAnsi="Open Sans"/>
          <w:sz w:val="21"/>
          <w:szCs w:val="21"/>
          <w:rtl w:val="0"/>
        </w:rPr>
        <w:t xml:space="preserve"> si de verdad importa, debe salir de la documentación y bajar al CI o a un hook de Git, donde pueda hacerse cumplir automáticamente.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7. GOBERNANZA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proceso deja constancia de quién decidió qué. Esa constancia es lo que responde a un auditor o al oficial de cumplimiento de un cliente.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política de gobernanza de IA del grupo fija la regla que gobierna todo lo demás:</w:t>
      </w:r>
    </w:p>
    <w:p>
      <w:pPr>
        <w:pBdr>
          <w:left w:val="single" w:sz="18" w:space="10" w:color="0084d5"/>
        </w:pBdr>
        <w:spacing w:after="200" w:before="200" w:lineRule="auto"/>
        <w:ind w:left="1080" w:right="720" w:firstLine="0"/>
        <w:jc w:val="left"/>
        <w:rPr/>
      </w:pPr>
      <w:r>
        <w:rPr>
          <w:rFonts w:ascii="Open Sans SemiBold" w:cs="Open Sans SemiBold" w:eastAsia="Open Sans SemiBold" w:hAnsi="Open Sans SemiBold"/>
          <w:color w:val="282d68"/>
          <w:sz w:val="22"/>
          <w:szCs w:val="22"/>
          <w:rtl w:val="0"/>
        </w:rPr>
        <w:t xml:space="preserve">Todo código generado por IA pasa revisión humana antes de integrarse. El merge lo ejecuta siempre una persona identificable.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responsabilidad de cada cambio recae siempre en una persona con nombre; ningún agente es Accountable de nada, nunca.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Esa regla se sostiene sobre lo que el ciclo va dejando escrito. Los artefactos no se descartan al cerrar cada fase: la prueba lleva al código, el código al requisito y el requisito a la historia de usuario que lo originó. AWS señala esa trazabilidad de punta a punta como el requisito crítico para la revisión regulatoria, y es lo que permite reconstruir después por qué el sistema hace lo que hace.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Lo que no salió bien también queda registrado. Toda escalación, incidente o sorpresa relevante produce un post-mortem corto con número correlativo. No es burocracia: sus conclusiones se convierten en cambios concretos, sea una regla, una skill o una verificación del CI.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8. ADOPCIÓN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inducción al método es la misma para todo el equipo, sin importar el proyecto en el que esté. El método no se estudia, se practica: los rituales se aprenden ejecutándose sobre trabajo real.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inducción tiene cuatro piezas: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 SemiBold" w:cs="Open Sans SemiBold" w:eastAsia="Open Sans SemiBold" w:hAnsi="Open Sans SemiBold"/>
          <w:sz w:val="21"/>
          <w:szCs w:val="21"/>
          <w:rtl w:val="0"/>
        </w:rPr>
        <w:t xml:space="preserve">Este documento</w:t>
      </w:r>
      <w:r>
        <w:rPr>
          <w:rFonts w:ascii="Open Sans" w:cs="Open Sans" w:eastAsia="Open Sans" w:hAnsi="Open Sans"/>
          <w:sz w:val="21"/>
          <w:szCs w:val="21"/>
          <w:rtl w:val="0"/>
        </w:rPr>
        <w:t xml:space="preserve"> — el vocabulario, el ciclo completo y por qué el método importa.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 SemiBold" w:cs="Open Sans SemiBold" w:eastAsia="Open Sans SemiBold" w:hAnsi="Open Sans SemiBold"/>
          <w:sz w:val="21"/>
          <w:szCs w:val="21"/>
          <w:rtl w:val="0"/>
        </w:rPr>
        <w:t xml:space="preserve">Las herramientas del proyecto</w:t>
      </w:r>
      <w:r>
        <w:rPr>
          <w:rFonts w:ascii="Open Sans" w:cs="Open Sans" w:eastAsia="Open Sans" w:hAnsi="Open Sans"/>
          <w:sz w:val="21"/>
          <w:szCs w:val="21"/>
          <w:rtl w:val="0"/>
        </w:rPr>
        <w:t xml:space="preserve"> — instaladas y configuradas, con las reglas del repositorio cargadas.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 SemiBold" w:cs="Open Sans SemiBold" w:eastAsia="Open Sans SemiBold" w:hAnsi="Open Sans SemiBold"/>
          <w:sz w:val="21"/>
          <w:szCs w:val="21"/>
          <w:rtl w:val="0"/>
        </w:rPr>
        <w:t xml:space="preserve">El flujo de un cambio</w:t>
      </w:r>
      <w:r>
        <w:rPr>
          <w:rFonts w:ascii="Open Sans" w:cs="Open Sans" w:eastAsia="Open Sans" w:hAnsi="Open Sans"/>
          <w:sz w:val="21"/>
          <w:szCs w:val="21"/>
          <w:rtl w:val="0"/>
        </w:rPr>
        <w:t xml:space="preserve"> — un caso recorrido de principio a fin, del Intent al despliegue.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 SemiBold" w:cs="Open Sans SemiBold" w:eastAsia="Open Sans SemiBold" w:hAnsi="Open Sans SemiBold"/>
          <w:sz w:val="21"/>
          <w:szCs w:val="21"/>
          <w:rtl w:val="0"/>
        </w:rPr>
        <w:t xml:space="preserve">El primer trabajo acompañado</w:t>
      </w:r>
      <w:r>
        <w:rPr>
          <w:rFonts w:ascii="Open Sans" w:cs="Open Sans" w:eastAsia="Open Sans" w:hAnsi="Open Sans"/>
          <w:sz w:val="21"/>
          <w:szCs w:val="21"/>
          <w:rtl w:val="0"/>
        </w:rPr>
        <w:t xml:space="preserve"> — un cambio real, no un ejercicio, junto a alguien que ya recorrió el ciclo.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inducción termina cuando ese primer cambio llega a producción.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REFERENCIAS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AWS, Method Definition Paper de AI-DLC, julio de 2025: fases, artefactos, rituales y los nueve pasos del flujo.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AWS, blog «AI-Driven Development Life Cycle: Reimagining Software Engineering», 31 de julio de 2025.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AWS, blog «Building with AI-DLC using Amazon Q Developer», 29 de noviembre de 2025.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AWS, blog «AI-Driven Development Lifecycle for Financial Services», 26 de mayo de 2026: trazabilidad y controles en entornos regulados.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AWS, repositorio awslabs/aidlc-workflows, licencia MIT-0. La implementación 2.0 reorganiza el ciclo en más fases y etapas que las descritas aquí.</w:t>
      </w:r>
    </w:p>
    <w:sectPr>
      <w:headerReference r:id="rId13" w:type="default"/>
      <w:headerReference r:id="rId14" w:type="first"/>
      <w:footerReference r:id="rId15" w:type="default"/>
      <w:footerReference r:id="rId16" w:type="first"/>
      <w:pgSz w:h="15840" w:w="12240" w:orient="portrait"/>
      <w:pgMar w:bottom="1440.0000000000002" w:top="1440.0000000000002" w:left="1440.0000000000002" w:right="1440.0000000000002" w:header="720.0000000000001" w:footer="720.000000000000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oogle Sans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oppi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Google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jc w:val="right"/>
      <w:rPr>
        <w:rFonts w:ascii="Poppins" w:cs="Poppins" w:eastAsia="Poppins" w:hAnsi="Poppins"/>
        <w:b w:val="1"/>
        <w:bCs w:val="1"/>
        <w:color w:val="0084d5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-238122</wp:posOffset>
          </wp:positionH>
          <wp:positionV relativeFrom="paragraph">
            <wp:posOffset>209550</wp:posOffset>
          </wp:positionV>
          <wp:extent cx="1490663" cy="200666"/>
          <wp:effectExtent b="0" l="0" r="0" t="0"/>
          <wp:wrapNone/>
          <wp:docPr id="6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20066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9F">
    <w:pPr>
      <w:jc w:val="right"/>
      <w:rPr>
        <w:rFonts w:ascii="Poppins" w:cs="Poppins" w:eastAsia="Poppins" w:hAnsi="Poppins"/>
        <w:b w:val="1"/>
        <w:bCs w:val="1"/>
        <w:color w:val="0084d5"/>
      </w:rPr>
    </w:pPr>
    <w:r w:rsidDel="00000000" w:rsidR="00000000" w:rsidRPr="00000000">
      <w:rPr>
        <w:rFonts w:ascii="Poppins" w:cs="Poppins" w:eastAsia="Poppins" w:hAnsi="Poppins"/>
        <w:b w:val="1"/>
        <w:bCs w:val="1"/>
        <w:color w:val="0084d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jc w:val="right"/>
      <w:rPr>
        <w:color w:val="0084d5"/>
      </w:rPr>
    </w:pPr>
    <w:r w:rsidDel="00000000" w:rsidR="00000000" w:rsidRPr="00000000">
      <w:rPr>
        <w:rFonts w:ascii="Poppins" w:cs="Poppins" w:eastAsia="Poppins" w:hAnsi="Poppins"/>
        <w:b w:val="1"/>
        <w:bCs w:val="1"/>
        <w:color w:val="0084d5"/>
        <w:sz w:val="24"/>
        <w:szCs w:val="24"/>
        <w:rtl w:val="0"/>
      </w:rPr>
      <w:t xml:space="preserve">WWW.TXINTELLIGENCE.IO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1">
    <w:pPr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rPr/>
    </w:pP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-466721</wp:posOffset>
          </wp:positionH>
          <wp:positionV relativeFrom="margin">
            <wp:posOffset>-571497</wp:posOffset>
          </wp:positionV>
          <wp:extent cx="1338263" cy="334566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2941" l="0" r="0" t="2941"/>
                  <a:stretch>
                    <a:fillRect/>
                  </a:stretch>
                </pic:blipFill>
                <pic:spPr>
                  <a:xfrm>
                    <a:off x="0" y="0"/>
                    <a:ext cx="1338263" cy="33456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9050" distT="19050" distL="19050" distR="19050" hidden="0" layoutInCell="1" locked="0" relativeHeight="0" simplePos="0">
          <wp:simplePos x="0" y="0"/>
          <wp:positionH relativeFrom="page">
            <wp:posOffset>4067175</wp:posOffset>
          </wp:positionH>
          <wp:positionV relativeFrom="page">
            <wp:posOffset>533400</wp:posOffset>
          </wp:positionV>
          <wp:extent cx="3841024" cy="50775"/>
          <wp:effectExtent b="0" l="0" r="0" t="0"/>
          <wp:wrapNone/>
          <wp:docPr id="7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41024" cy="507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  <w:t xml:space="preserve"> 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D">
    <w:pPr>
      <w:spacing w:line="240" w:lineRule="auto"/>
      <w:ind w:right="-702.9921259842507"/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1"/>
        <w:bCs w:val="1"/>
        <w:color w:val="fcc743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header" Target="header1.xml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footer" Target="footer1.xml"/><Relationship Id="rId14" Type="http://schemas.openxmlformats.org/officeDocument/2006/relationships/header" Target="header2.xml"/><Relationship Id="rId16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SemiBold-regular.ttf"/><Relationship Id="rId2" Type="http://schemas.openxmlformats.org/officeDocument/2006/relationships/font" Target="fonts/GoogleSansSemiBold-bold.ttf"/><Relationship Id="rId3" Type="http://schemas.openxmlformats.org/officeDocument/2006/relationships/font" Target="fonts/GoogleSansSemiBold-italic.ttf"/><Relationship Id="rId4" Type="http://schemas.openxmlformats.org/officeDocument/2006/relationships/font" Target="fonts/GoogleSansSemiBold-boldItalic.ttf"/><Relationship Id="rId11" Type="http://schemas.openxmlformats.org/officeDocument/2006/relationships/font" Target="fonts/GoogleSans-italic.ttf"/><Relationship Id="rId10" Type="http://schemas.openxmlformats.org/officeDocument/2006/relationships/font" Target="fonts/GoogleSans-bold.ttf"/><Relationship Id="rId12" Type="http://schemas.openxmlformats.org/officeDocument/2006/relationships/font" Target="fonts/GoogleSans-boldItalic.ttf"/><Relationship Id="rId9" Type="http://schemas.openxmlformats.org/officeDocument/2006/relationships/font" Target="fonts/GoogleSans-regular.ttf"/><Relationship Id="rId5" Type="http://schemas.openxmlformats.org/officeDocument/2006/relationships/font" Target="fonts/Poppins-regular.ttf"/><Relationship Id="rId6" Type="http://schemas.openxmlformats.org/officeDocument/2006/relationships/font" Target="fonts/Poppins-bold.ttf"/><Relationship Id="rId7" Type="http://schemas.openxmlformats.org/officeDocument/2006/relationships/font" Target="fonts/Poppins-italic.ttf"/><Relationship Id="rId8" Type="http://schemas.openxmlformats.org/officeDocument/2006/relationships/font" Target="fonts/Poppins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