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b2a5b"/>
          <w:sz w:val="54"/>
          <w:szCs w:val="54"/>
          <w:rtl w:val="0"/>
        </w:rPr>
        <w:t xml:space="preserve">Metodología de desarrollo</w:t>
        <w:br w:type="textWrapping"/>
        <w:t xml:space="preserve">con IA generativa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016"/>
        <w:gridCol w:w="6624"/>
        <w:tblGridChange w:id="0">
          <w:tblGrid>
            <w:gridCol w:w="2016"/>
            <w:gridCol w:w="6624"/>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19"/>
                <w:szCs w:val="19"/>
                <w:rtl w:val="0"/>
              </w:rPr>
              <w:t xml:space="preserve">Estado</w:t>
            </w:r>
            <w:r w:rsidDel="00000000" w:rsidR="00000000" w:rsidRPr="00000000">
              <w:rPr>
                <w:rtl w:val="0"/>
              </w:rPr>
            </w:r>
          </w:p>
        </w:tc>
        <w:tc>
          <w:tcPr/>
          <w:p w:rsidR="00000000" w:rsidDel="00000000" w:rsidP="00000000" w:rsidRDefault="00000000" w:rsidRPr="00000000" w14:paraId="00000005">
            <w:pPr>
              <w:rPr/>
            </w:pPr>
            <w:r w:rsidDel="00000000" w:rsidR="00000000" w:rsidRPr="00000000">
              <w:rPr>
                <w:sz w:val="19"/>
                <w:szCs w:val="19"/>
                <w:rtl w:val="0"/>
              </w:rPr>
              <w:t xml:space="preserve">Borrador para discusión</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1"/>
                <w:bCs w:val="1"/>
                <w:sz w:val="19"/>
                <w:szCs w:val="19"/>
                <w:rtl w:val="0"/>
              </w:rPr>
              <w:t xml:space="preserve">Qué contiene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19"/>
                <w:szCs w:val="19"/>
                <w:rtl w:val="0"/>
              </w:rPr>
              <w:t xml:space="preserve">El Contexto desarrollado; las demás secciones, con su descripción y contenido previsto.</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b w:val="1"/>
                <w:bCs w:val="1"/>
                <w:sz w:val="19"/>
                <w:szCs w:val="19"/>
                <w:rtl w:val="0"/>
              </w:rPr>
              <w:t xml:space="preserve">Base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19"/>
                <w:szCs w:val="19"/>
                <w:rtl w:val="0"/>
              </w:rPr>
              <w:t xml:space="preserve">AI-DLC (AWS): white paper de julio de 2025, repositorio aidlc-workflows v2.0 y artículo para servicios financieros de mayo de 2026.</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88" w:lineRule="auto"/>
        <w:ind w:left="0" w:right="0" w:firstLine="0"/>
        <w:jc w:val="left"/>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I. Contexto</w:t>
      </w:r>
    </w:p>
    <w:sdt>
      <w:sdtPr>
        <w:id w:val="-1086602703"/>
        <w:tag w:val="goog_rdk_1"/>
      </w:sdtPr>
      <w:sdtContent>
        <w:p w:rsidR="00000000" w:rsidDel="00000000" w:rsidP="00000000" w:rsidRDefault="00000000" w:rsidRPr="00000000" w14:paraId="0000001A">
          <w:pPr>
            <w:pStyle w:val="Heading2"/>
            <w:rPr>
              <w:highlight w:val="red"/>
              <w:rPrChange w:author="Eduardo Javier Serra" w:id="0" w:date="2026-08-12T15:52:08Z">
                <w:rPr/>
              </w:rPrChange>
            </w:rPr>
          </w:pPr>
          <w:sdt>
            <w:sdtPr>
              <w:id w:val="439084026"/>
              <w:tag w:val="goog_rdk_0"/>
            </w:sdtPr>
            <w:sdtContent>
              <w:r w:rsidDel="00000000" w:rsidR="00000000" w:rsidRPr="00000000">
                <w:rPr>
                  <w:highlight w:val="red"/>
                  <w:rtl w:val="0"/>
                  <w:rPrChange w:author="Eduardo Javier Serra" w:id="0" w:date="2026-08-12T15:52:08Z">
                    <w:rPr/>
                  </w:rPrChange>
                </w:rPr>
                <w:t xml:space="preserve">1. Quiénes somos y qué construimos</w:t>
              </w:r>
            </w:sdtContent>
          </w:sdt>
        </w:p>
      </w:sdtContent>
    </w:sdt>
    <w:sdt>
      <w:sdtPr>
        <w:id w:val="826801707"/>
        <w:tag w:val="goog_rdk_4"/>
      </w:sdtPr>
      <w:sdtContent>
        <w:p w:rsidR="00000000" w:rsidDel="00000000" w:rsidP="00000000" w:rsidRDefault="00000000" w:rsidRPr="00000000" w14:paraId="0000001B">
          <w:pPr>
            <w:rPr>
              <w:highlight w:val="red"/>
              <w:rPrChange w:author="Eduardo Javier Serra" w:id="0" w:date="2026-08-12T15:52:08Z">
                <w:rPr/>
              </w:rPrChange>
            </w:rPr>
          </w:pPr>
          <w:sdt>
            <w:sdtPr>
              <w:id w:val="-1063596615"/>
              <w:tag w:val="goog_rdk_2"/>
            </w:sdtPr>
            <w:sdtContent>
              <w:r w:rsidDel="00000000" w:rsidR="00000000" w:rsidRPr="00000000">
                <w:rPr>
                  <w:b w:val="0"/>
                  <w:bCs w:val="0"/>
                  <w:i w:val="0"/>
                  <w:iCs w:val="0"/>
                  <w:highlight w:val="red"/>
                  <w:rtl w:val="0"/>
                  <w:rPrChange w:author="Eduardo Javier Serra" w:id="0" w:date="2026-08-12T15:52:08Z">
                    <w:rPr>
                      <w:b w:val="0"/>
                      <w:bCs w:val="0"/>
                      <w:i w:val="0"/>
                      <w:iCs w:val="0"/>
                    </w:rPr>
                  </w:rPrChange>
                </w:rPr>
                <w:t xml:space="preserve">Grupo TX es un grupo empresarial panameño con sede en Ciudad de Panamá y oficinas en Venezuela, República Dominicana, Nicaragua, Honduras, Colombia y Paraguay. Nació hace más de cuarenta años en la construcción y la consultoría fiscal. Hoy su negocio digital se concentra en el sector público latinoamericano y en banca: municipios, institutos autónomos, gobiernos y entidades financieras. TX Intelligence, la empresa del grupo dedicada a la transformación digital, es socia de AWS desde 2017 y mantiene las competencias de Government y Smart Cities.</w:t>
              </w:r>
            </w:sdtContent>
          </w:sdt>
          <w:sdt>
            <w:sdtPr>
              <w:id w:val="120027614"/>
              <w:tag w:val="goog_rdk_3"/>
            </w:sdtPr>
            <w:sdtContent>
              <w:r w:rsidDel="00000000" w:rsidR="00000000" w:rsidRPr="00000000">
                <w:rPr>
                  <w:rtl w:val="0"/>
                </w:rPr>
              </w:r>
            </w:sdtContent>
          </w:sdt>
        </w:p>
      </w:sdtContent>
    </w:sdt>
    <w:sdt>
      <w:sdtPr>
        <w:id w:val="1006511293"/>
        <w:tag w:val="goog_rdk_7"/>
      </w:sdtPr>
      <w:sdtContent>
        <w:p w:rsidR="00000000" w:rsidDel="00000000" w:rsidP="00000000" w:rsidRDefault="00000000" w:rsidRPr="00000000" w14:paraId="0000001C">
          <w:pPr>
            <w:rPr>
              <w:highlight w:val="red"/>
              <w:rPrChange w:author="Eduardo Javier Serra" w:id="0" w:date="2026-08-12T15:52:08Z">
                <w:rPr/>
              </w:rPrChange>
            </w:rPr>
          </w:pPr>
          <w:sdt>
            <w:sdtPr>
              <w:id w:val="-2135329767"/>
              <w:tag w:val="goog_rdk_5"/>
            </w:sdtPr>
            <w:sdtContent>
              <w:r w:rsidDel="00000000" w:rsidR="00000000" w:rsidRPr="00000000">
                <w:rPr>
                  <w:b w:val="0"/>
                  <w:bCs w:val="0"/>
                  <w:i w:val="0"/>
                  <w:iCs w:val="0"/>
                  <w:highlight w:val="red"/>
                  <w:rtl w:val="0"/>
                  <w:rPrChange w:author="Eduardo Javier Serra" w:id="0" w:date="2026-08-12T15:52:08Z">
                    <w:rPr>
                      <w:b w:val="0"/>
                      <w:bCs w:val="0"/>
                      <w:i w:val="0"/>
                      <w:iCs w:val="0"/>
                    </w:rPr>
                  </w:rPrChange>
                </w:rPr>
                <w:t xml:space="preserve">El grupo opera sistemas con IA generativa en producción. Para la Municipalidad de Panamá construyó un asistente conversacional sobre la normativa de obras y construcciones, con arquitectura RAG en español sobre Amazon Bedrock y Amazon Lex; según el caso publicado, el tiempo de recuperación de información pasó de unos quince minutos a menos de tres. Para el Banco Nacional de Panamá levantó un data lake y un contact center omnicanal con los que se verificaron los datos de 250.000 clientes por exigencia regulatoria.</w:t>
              </w:r>
            </w:sdtContent>
          </w:sdt>
          <w:sdt>
            <w:sdtPr>
              <w:id w:val="-562210564"/>
              <w:tag w:val="goog_rdk_6"/>
            </w:sdtPr>
            <w:sdtContent>
              <w:r w:rsidDel="00000000" w:rsidR="00000000" w:rsidRPr="00000000">
                <w:rPr>
                  <w:rtl w:val="0"/>
                </w:rPr>
              </w:r>
            </w:sdtContent>
          </w:sdt>
        </w:p>
      </w:sdtContent>
    </w:sdt>
    <w:sdt>
      <w:sdtPr>
        <w:id w:val="-324590848"/>
        <w:tag w:val="goog_rdk_10"/>
      </w:sdtPr>
      <w:sdtContent>
        <w:p w:rsidR="00000000" w:rsidDel="00000000" w:rsidP="00000000" w:rsidRDefault="00000000" w:rsidRPr="00000000" w14:paraId="0000001D">
          <w:pPr>
            <w:rPr>
              <w:highlight w:val="red"/>
              <w:rPrChange w:author="Eduardo Javier Serra" w:id="0" w:date="2026-08-12T15:52:08Z">
                <w:rPr/>
              </w:rPrChange>
            </w:rPr>
          </w:pPr>
          <w:sdt>
            <w:sdtPr>
              <w:id w:val="478682279"/>
              <w:tag w:val="goog_rdk_8"/>
            </w:sdtPr>
            <w:sdtContent>
              <w:r w:rsidDel="00000000" w:rsidR="00000000" w:rsidRPr="00000000">
                <w:rPr>
                  <w:b w:val="0"/>
                  <w:bCs w:val="0"/>
                  <w:i w:val="0"/>
                  <w:iCs w:val="0"/>
                  <w:highlight w:val="red"/>
                  <w:rtl w:val="0"/>
                  <w:rPrChange w:author="Eduardo Javier Serra" w:id="0" w:date="2026-08-12T15:52:08Z">
                    <w:rPr>
                      <w:b w:val="0"/>
                      <w:bCs w:val="0"/>
                      <w:i w:val="0"/>
                      <w:iCs w:val="0"/>
                    </w:rPr>
                  </w:rPrChange>
                </w:rPr>
                <w:t xml:space="preserve">Dentro del grupo, el equipo de IA Generativa hace investigación y desarrollo. Trabaja fullstack sobre AWS, de la interfaz a la capa de modelos, y construye soluciones con y sin IA. La herramienta principal de desarrollo es Kiro.</w:t>
              </w:r>
            </w:sdtContent>
          </w:sdt>
          <w:sdt>
            <w:sdtPr>
              <w:id w:val="-596478673"/>
              <w:tag w:val="goog_rdk_9"/>
            </w:sdtPr>
            <w:sdtContent>
              <w:r w:rsidDel="00000000" w:rsidR="00000000" w:rsidRPr="00000000">
                <w:rPr>
                  <w:rtl w:val="0"/>
                </w:rPr>
              </w:r>
            </w:sdtContent>
          </w:sdt>
        </w:p>
      </w:sdtContent>
    </w:sdt>
    <w:sdt>
      <w:sdtPr>
        <w:id w:val="-1163293083"/>
        <w:tag w:val="goog_rdk_13"/>
      </w:sdtPr>
      <w:sdtContent>
        <w:p w:rsidR="00000000" w:rsidDel="00000000" w:rsidP="00000000" w:rsidRDefault="00000000" w:rsidRPr="00000000" w14:paraId="0000001E">
          <w:pPr>
            <w:rPr>
              <w:highlight w:val="red"/>
              <w:rPrChange w:author="Eduardo Javier Serra" w:id="0" w:date="2026-08-12T15:52:08Z">
                <w:rPr/>
              </w:rPrChange>
            </w:rPr>
          </w:pPr>
          <w:sdt>
            <w:sdtPr>
              <w:id w:val="-1834312419"/>
              <w:tag w:val="goog_rdk_11"/>
            </w:sdtPr>
            <w:sdtContent>
              <w:r w:rsidDel="00000000" w:rsidR="00000000" w:rsidRPr="00000000">
                <w:rPr>
                  <w:b w:val="0"/>
                  <w:bCs w:val="0"/>
                  <w:i w:val="0"/>
                  <w:iCs w:val="0"/>
                  <w:highlight w:val="red"/>
                  <w:rtl w:val="0"/>
                  <w:rPrChange w:author="Eduardo Javier Serra" w:id="0" w:date="2026-08-12T15:52:08Z">
                    <w:rPr>
                      <w:b w:val="0"/>
                      <w:bCs w:val="0"/>
                      <w:i w:val="0"/>
                      <w:iCs w:val="0"/>
                    </w:rPr>
                  </w:rPrChange>
                </w:rPr>
                <w:t xml:space="preserve">AI-DLC es la metodología que AWS publicó para desarrollar software con IA generativa. Raja SP definió el método en un white paper en julio de 2025. AWS lo presentó en re:Invent en diciembre de ese año, liberó la implementación como código abierto (awslabs/aidlc-workflows, versión 2.0, licencia MIT-0) y en mayo de 2026 publicó una adaptación para servicios financieros. Este documento describe cómo Grupo TX aplica ese método: conserva las fases y el vocabulario de AWS, y desarrolla lo que su material deja abierto.</w:t>
              </w:r>
            </w:sdtContent>
          </w:sdt>
          <w:sdt>
            <w:sdtPr>
              <w:id w:val="-1569837326"/>
              <w:tag w:val="goog_rdk_12"/>
            </w:sdtPr>
            <w:sdtContent>
              <w:r w:rsidDel="00000000" w:rsidR="00000000" w:rsidRPr="00000000">
                <w:rPr>
                  <w:rtl w:val="0"/>
                </w:rPr>
              </w:r>
            </w:sdtContent>
          </w:sdt>
        </w:p>
      </w:sdtContent>
    </w:sdt>
    <w:sdt>
      <w:sdtPr>
        <w:id w:val="-1554305961"/>
        <w:tag w:val="goog_rdk_16"/>
      </w:sdtPr>
      <w:sdtContent>
        <w:p w:rsidR="00000000" w:rsidDel="00000000" w:rsidP="00000000" w:rsidRDefault="00000000" w:rsidRPr="00000000" w14:paraId="0000001F">
          <w:pPr>
            <w:rPr>
              <w:highlight w:val="red"/>
              <w:rPrChange w:author="Eduardo Javier Serra" w:id="0" w:date="2026-08-12T15:52:08Z">
                <w:rPr/>
              </w:rPrChange>
            </w:rPr>
          </w:pPr>
          <w:sdt>
            <w:sdtPr>
              <w:id w:val="861282894"/>
              <w:tag w:val="goog_rdk_14"/>
            </w:sdtPr>
            <w:sdtContent>
              <w:r w:rsidDel="00000000" w:rsidR="00000000" w:rsidRPr="00000000">
                <w:rPr>
                  <w:b w:val="0"/>
                  <w:bCs w:val="0"/>
                  <w:i w:val="0"/>
                  <w:iCs w:val="0"/>
                  <w:highlight w:val="red"/>
                  <w:rtl w:val="0"/>
                  <w:rPrChange w:author="Eduardo Javier Serra" w:id="0" w:date="2026-08-12T15:52:08Z">
                    <w:rPr>
                      <w:b w:val="0"/>
                      <w:bCs w:val="0"/>
                      <w:i w:val="0"/>
                      <w:iCs w:val="0"/>
                    </w:rPr>
                  </w:rPrChange>
                </w:rPr>
                <w:t xml:space="preserve">El documento tiene dos lectores. Quien entra al equipo debería poder leerlo y entender el proceso completo sin que nadie se lo explique. Y el cliente que AWS refiere al área debería reconocer en él el método que ya conoce, aplicado con los controles que su entorno exige.</w:t>
              </w:r>
            </w:sdtContent>
          </w:sdt>
          <w:sdt>
            <w:sdtPr>
              <w:id w:val="-6887587"/>
              <w:tag w:val="goog_rdk_15"/>
            </w:sdtPr>
            <w:sdtContent>
              <w:r w:rsidDel="00000000" w:rsidR="00000000" w:rsidRPr="00000000">
                <w:rPr>
                  <w:rtl w:val="0"/>
                </w:rPr>
              </w:r>
            </w:sdtContent>
          </w:sdt>
        </w:p>
      </w:sdtContent>
    </w:sdt>
    <w:sdt>
      <w:sdtPr>
        <w:id w:val="638010291"/>
        <w:tag w:val="goog_rdk_18"/>
      </w:sdtPr>
      <w:sdtContent>
        <w:p w:rsidR="00000000" w:rsidDel="00000000" w:rsidP="00000000" w:rsidRDefault="00000000" w:rsidRPr="00000000" w14:paraId="00000020">
          <w:pPr>
            <w:pStyle w:val="Heading2"/>
            <w:rPr>
              <w:highlight w:val="yellow"/>
              <w:rPrChange w:author="Eduardo Javier Serra" w:id="1" w:date="2026-08-12T15:52:55Z">
                <w:rPr/>
              </w:rPrChange>
            </w:rPr>
          </w:pPr>
          <w:sdt>
            <w:sdtPr>
              <w:id w:val="1844224369"/>
              <w:tag w:val="goog_rdk_17"/>
            </w:sdtPr>
            <w:sdtContent>
              <w:r w:rsidDel="00000000" w:rsidR="00000000" w:rsidRPr="00000000">
                <w:rPr>
                  <w:highlight w:val="yellow"/>
                  <w:rtl w:val="0"/>
                  <w:rPrChange w:author="Eduardo Javier Serra" w:id="1" w:date="2026-08-12T15:52:55Z">
                    <w:rPr/>
                  </w:rPrChange>
                </w:rPr>
                <w:t xml:space="preserve">2. Alcance: cuándo aplica y cuándo no</w:t>
              </w:r>
            </w:sdtContent>
          </w:sdt>
        </w:p>
      </w:sdtContent>
    </w:sdt>
    <w:sdt>
      <w:sdtPr>
        <w:id w:val="1812200012"/>
        <w:tag w:val="goog_rdk_21"/>
      </w:sdtPr>
      <w:sdtContent>
        <w:p w:rsidR="00000000" w:rsidDel="00000000" w:rsidP="00000000" w:rsidRDefault="00000000" w:rsidRPr="00000000" w14:paraId="00000021">
          <w:pPr>
            <w:rPr>
              <w:highlight w:val="yellow"/>
              <w:rPrChange w:author="Eduardo Javier Serra" w:id="1" w:date="2026-08-12T15:52:55Z">
                <w:rPr/>
              </w:rPrChange>
            </w:rPr>
          </w:pPr>
          <w:sdt>
            <w:sdtPr>
              <w:id w:val="-1189810502"/>
              <w:tag w:val="goog_rdk_19"/>
            </w:sdtPr>
            <w:sdtContent>
              <w:r w:rsidDel="00000000" w:rsidR="00000000" w:rsidRPr="00000000">
                <w:rPr>
                  <w:b w:val="0"/>
                  <w:bCs w:val="0"/>
                  <w:i w:val="0"/>
                  <w:iCs w:val="0"/>
                  <w:highlight w:val="yellow"/>
                  <w:rtl w:val="0"/>
                  <w:rPrChange w:author="Eduardo Javier Serra" w:id="1" w:date="2026-08-12T15:52:55Z">
                    <w:rPr>
                      <w:b w:val="0"/>
                      <w:bCs w:val="0"/>
                      <w:i w:val="0"/>
                      <w:iCs w:val="0"/>
                    </w:rPr>
                  </w:rPrChange>
                </w:rPr>
                <w:t xml:space="preserve">Delimita qué trabajo pasa por el ciclo completo y qué trabajo no lo necesita. AI-DLC se diseñó para sistemas con decisiones de arquitectura y compromisos que gestionar; el propio método excluye los sistemas simples.</w:t>
              </w:r>
            </w:sdtContent>
          </w:sdt>
          <w:sdt>
            <w:sdtPr>
              <w:id w:val="1918403417"/>
              <w:tag w:val="goog_rdk_20"/>
            </w:sdtPr>
            <w:sdtContent>
              <w:r w:rsidDel="00000000" w:rsidR="00000000" w:rsidRPr="00000000">
                <w:rPr>
                  <w:rtl w:val="0"/>
                </w:rPr>
              </w:r>
            </w:sdtContent>
          </w:sdt>
        </w:p>
      </w:sdtContent>
    </w:sdt>
    <w:sdt>
      <w:sdtPr>
        <w:id w:val="-617556141"/>
        <w:tag w:val="goog_rdk_24"/>
      </w:sdtPr>
      <w:sdtContent>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highlight w:val="yellow"/>
              <w:rPrChange w:author="Eduardo Javier Serra" w:id="1" w:date="2026-08-12T15:52:55Z">
                <w:rPr/>
              </w:rPrChange>
            </w:rPr>
            <w:pPrChange w:author="Eduardo Javier Serra" w:id="0" w:date="2026-08-12T15:52:55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pPr>
            </w:pPrChange>
          </w:pPr>
          <w:sdt>
            <w:sdtPr>
              <w:id w:val="-2032648668"/>
              <w:tag w:val="goog_rdk_22"/>
            </w:sdtPr>
            <w:sdtContent>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Change w:author="Eduardo Javier Serra" w:id="1" w:date="2026-08-12T15:52:55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Qué trabajo entra al ciclo completo y qué queda fuera, con ejemplos del área</w:t>
              </w:r>
            </w:sdtContent>
          </w:sdt>
          <w:sdt>
            <w:sdtPr>
              <w:id w:val="-52395784"/>
              <w:tag w:val="goog_rdk_23"/>
            </w:sdtPr>
            <w:sdtContent>
              <w:r w:rsidDel="00000000" w:rsidR="00000000" w:rsidRPr="00000000">
                <w:rPr>
                  <w:rtl w:val="0"/>
                </w:rPr>
              </w:r>
            </w:sdtContent>
          </w:sdt>
        </w:p>
      </w:sdtContent>
    </w:sdt>
    <w:sdt>
      <w:sdtPr>
        <w:id w:val="-185198545"/>
        <w:tag w:val="goog_rdk_27"/>
      </w:sdtPr>
      <w:sdtContent>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highlight w:val="yellow"/>
              <w:rPrChange w:author="Eduardo Javier Serra" w:id="1" w:date="2026-08-12T15:52:55Z">
                <w:rPr/>
              </w:rPrChange>
            </w:rPr>
            <w:pPrChange w:author="Eduardo Javier Serra" w:id="0" w:date="2026-08-12T15:52:55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pPr>
            </w:pPrChange>
          </w:pPr>
          <w:sdt>
            <w:sdtPr>
              <w:id w:val="898200305"/>
              <w:tag w:val="goog_rdk_25"/>
            </w:sdtPr>
            <w:sdtContent>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Change w:author="Eduardo Javier Serra" w:id="1" w:date="2026-08-12T15:52:55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Quién decide en los casos dudosos</w:t>
              </w:r>
            </w:sdtContent>
          </w:sdt>
          <w:sdt>
            <w:sdtPr>
              <w:id w:val="987610258"/>
              <w:tag w:val="goog_rdk_26"/>
            </w:sdtPr>
            <w:sdtContent>
              <w:r w:rsidDel="00000000" w:rsidR="00000000" w:rsidRPr="00000000">
                <w:rPr>
                  <w:rtl w:val="0"/>
                </w:rPr>
              </w:r>
            </w:sdtContent>
          </w:sdt>
        </w:p>
      </w:sdtContent>
    </w:sdt>
    <w:sdt>
      <w:sdtPr>
        <w:id w:val="-1957600241"/>
        <w:tag w:val="goog_rdk_29"/>
      </w:sdtPr>
      <w:sdtContent>
        <w:p w:rsidR="00000000" w:rsidDel="00000000" w:rsidP="00000000" w:rsidRDefault="00000000" w:rsidRPr="00000000" w14:paraId="00000024">
          <w:pPr>
            <w:pStyle w:val="Heading1"/>
            <w:rPr>
              <w:highlight w:val="yellow"/>
              <w:rPrChange w:author="Eduardo Javier Serra" w:id="2" w:date="2026-08-12T15:54:50Z">
                <w:rPr/>
              </w:rPrChange>
            </w:rPr>
          </w:pPr>
          <w:sdt>
            <w:sdtPr>
              <w:id w:val="1383206670"/>
              <w:tag w:val="goog_rdk_28"/>
            </w:sdtPr>
            <w:sdtContent>
              <w:r w:rsidDel="00000000" w:rsidR="00000000" w:rsidRPr="00000000">
                <w:rPr>
                  <w:highlight w:val="yellow"/>
                  <w:rtl w:val="0"/>
                  <w:rPrChange w:author="Eduardo Javier Serra" w:id="2" w:date="2026-08-12T15:54:50Z">
                    <w:rPr/>
                  </w:rPrChange>
                </w:rPr>
                <w:t xml:space="preserve">II. Principios</w:t>
              </w:r>
            </w:sdtContent>
          </w:sdt>
        </w:p>
      </w:sdtContent>
    </w:sdt>
    <w:sdt>
      <w:sdtPr>
        <w:id w:val="87208807"/>
        <w:tag w:val="goog_rdk_32"/>
      </w:sdtPr>
      <w:sdtContent>
        <w:p w:rsidR="00000000" w:rsidDel="00000000" w:rsidP="00000000" w:rsidRDefault="00000000" w:rsidRPr="00000000" w14:paraId="00000025">
          <w:pPr>
            <w:rPr>
              <w:highlight w:val="yellow"/>
              <w:rPrChange w:author="Eduardo Javier Serra" w:id="2" w:date="2026-08-12T15:54:50Z">
                <w:rPr/>
              </w:rPrChange>
            </w:rPr>
          </w:pPr>
          <w:sdt>
            <w:sdtPr>
              <w:id w:val="1000854077"/>
              <w:tag w:val="goog_rdk_30"/>
            </w:sdtPr>
            <w:sdtContent>
              <w:r w:rsidDel="00000000" w:rsidR="00000000" w:rsidRPr="00000000">
                <w:rPr>
                  <w:b w:val="0"/>
                  <w:bCs w:val="0"/>
                  <w:i w:val="0"/>
                  <w:iCs w:val="0"/>
                  <w:highlight w:val="yellow"/>
                  <w:rtl w:val="0"/>
                  <w:rPrChange w:author="Eduardo Javier Serra" w:id="2" w:date="2026-08-12T15:54:50Z">
                    <w:rPr>
                      <w:b w:val="0"/>
                      <w:bCs w:val="0"/>
                      <w:i w:val="0"/>
                      <w:iCs w:val="0"/>
                    </w:rPr>
                  </w:rPrChange>
                </w:rPr>
                <w:t xml:space="preserve">Las reglas que gobiernan las decisiones cuando el método no cubre un caso concreto. Parten de los diez principios del paper de AWS; el equipo decidirá si hace falta sumar propios.</w:t>
              </w:r>
            </w:sdtContent>
          </w:sdt>
          <w:sdt>
            <w:sdtPr>
              <w:id w:val="1669887196"/>
              <w:tag w:val="goog_rdk_31"/>
            </w:sdtPr>
            <w:sdtContent>
              <w:r w:rsidDel="00000000" w:rsidR="00000000" w:rsidRPr="00000000">
                <w:rPr>
                  <w:rtl w:val="0"/>
                </w:rPr>
              </w:r>
            </w:sdtContent>
          </w:sdt>
        </w:p>
      </w:sdtContent>
    </w:sdt>
    <w:sdt>
      <w:sdtPr>
        <w:id w:val="757008821"/>
        <w:tag w:val="goog_rdk_35"/>
      </w:sdtPr>
      <w:sdtContent>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highlight w:val="yellow"/>
              <w:rPrChange w:author="Eduardo Javier Serra" w:id="2" w:date="2026-08-12T15:54:50Z">
                <w:rPr/>
              </w:rPrChange>
            </w:rPr>
            <w:pPrChange w:author="Eduardo Javier Serra" w:id="0" w:date="2026-08-12T15:54:50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pPr>
            </w:pPrChange>
          </w:pPr>
          <w:sdt>
            <w:sdtPr>
              <w:id w:val="202336535"/>
              <w:tag w:val="goog_rdk_33"/>
            </w:sdtPr>
            <w:sdtContent>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Change w:author="Eduardo Javier Serra" w:id="2" w:date="2026-08-12T15:54:50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Los diez principios de AWS, comentados desde nuestra práctica</w:t>
              </w:r>
            </w:sdtContent>
          </w:sdt>
          <w:sdt>
            <w:sdtPr>
              <w:id w:val="-1620131630"/>
              <w:tag w:val="goog_rdk_34"/>
            </w:sdtPr>
            <w:sdtContent>
              <w:r w:rsidDel="00000000" w:rsidR="00000000" w:rsidRPr="00000000">
                <w:rPr>
                  <w:rtl w:val="0"/>
                </w:rPr>
              </w:r>
            </w:sdtContent>
          </w:sdt>
        </w:p>
      </w:sdtContent>
    </w:sdt>
    <w:sdt>
      <w:sdtPr>
        <w:id w:val="-1499328209"/>
        <w:tag w:val="goog_rdk_38"/>
      </w:sdtPr>
      <w:sdtContent>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highlight w:val="yellow"/>
              <w:rPrChange w:author="Eduardo Javier Serra" w:id="2" w:date="2026-08-12T15:54:50Z">
                <w:rPr/>
              </w:rPrChange>
            </w:rPr>
            <w:pPrChange w:author="Eduardo Javier Serra" w:id="0" w:date="2026-08-12T15:54:50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pPr>
            </w:pPrChange>
          </w:pPr>
          <w:sdt>
            <w:sdtPr>
              <w:id w:val="-1615553057"/>
              <w:tag w:val="goog_rdk_36"/>
            </w:sdtPr>
            <w:sdtContent>
              <w:r w:rsidDel="00000000" w:rsidR="00000000" w:rsidRPr="00000000">
                <w:rPr>
                  <w:rFonts w:ascii="Calibri" w:cs="Calibri" w:eastAsia="Calibri" w:hAnsi="Calibri"/>
                  <w:b w:val="0"/>
                  <w:bCs w:val="0"/>
                  <w:i w:val="0"/>
                  <w:iCs w:val="0"/>
                  <w:smallCaps w:val="0"/>
                  <w:strike w:val="0"/>
                  <w:color w:val="000000"/>
                  <w:sz w:val="21"/>
                  <w:szCs w:val="21"/>
                  <w:highlight w:val="yellow"/>
                  <w:u w:val="none"/>
                  <w:vertAlign w:val="baseline"/>
                  <w:rtl w:val="0"/>
                  <w:rPrChange w:author="Eduardo Javier Serra" w:id="2" w:date="2026-08-12T15:54:50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Principios del área, si el equipo los aprueba</w:t>
              </w:r>
            </w:sdtContent>
          </w:sdt>
          <w:sdt>
            <w:sdtPr>
              <w:id w:val="2011230822"/>
              <w:tag w:val="goog_rdk_37"/>
            </w:sdtPr>
            <w:sdtContent>
              <w:r w:rsidDel="00000000" w:rsidR="00000000" w:rsidRPr="00000000">
                <w:rPr>
                  <w:rtl w:val="0"/>
                </w:rPr>
              </w:r>
            </w:sdtContent>
          </w:sdt>
        </w:p>
      </w:sdtContent>
    </w:sdt>
    <w:p w:rsidR="00000000" w:rsidDel="00000000" w:rsidP="00000000" w:rsidRDefault="00000000" w:rsidRPr="00000000" w14:paraId="00000028">
      <w:pPr>
        <w:pStyle w:val="Heading1"/>
        <w:rPr/>
      </w:pPr>
      <w:r w:rsidDel="00000000" w:rsidR="00000000" w:rsidRPr="00000000">
        <w:rPr>
          <w:rtl w:val="0"/>
        </w:rPr>
        <w:t xml:space="preserve">III. Marco</w:t>
      </w:r>
    </w:p>
    <w:p w:rsidR="00000000" w:rsidDel="00000000" w:rsidP="00000000" w:rsidRDefault="00000000" w:rsidRPr="00000000" w14:paraId="00000029">
      <w:pPr>
        <w:rPr/>
      </w:pPr>
      <w:r w:rsidDel="00000000" w:rsidR="00000000" w:rsidRPr="00000000">
        <w:rPr>
          <w:b w:val="0"/>
          <w:bCs w:val="0"/>
          <w:i w:val="0"/>
          <w:iCs w:val="0"/>
          <w:rtl w:val="0"/>
        </w:rPr>
        <w:t xml:space="preserve">Las piezas del método tal como las define AWS, y cómo las usamos aquí.</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1. Artefactos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que organizan el trabajo: Intent, Unit, Bolt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que produce la construcción: Domain Design, Logical Design, Deployment Units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Unit es una parte del sistema; un Bolt, un ciclo de trabajo. Un Unit puede necesitar varios Bolts</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2. Documentos de entrada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Vision Document y Technical Environment Document: qué lleva cada uno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Cómo los adaptamos al contexto del área</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3. Fases</w:t>
      </w:r>
    </w:p>
    <w:p w:rsidR="00000000" w:rsidDel="00000000" w:rsidP="00000000" w:rsidRDefault="00000000" w:rsidRPr="00000000" w14:paraId="00000032">
      <w:pPr>
        <w:pStyle w:val="Heading3"/>
        <w:rPr/>
      </w:pPr>
      <w:r w:rsidDel="00000000" w:rsidR="00000000" w:rsidRPr="00000000">
        <w:rPr>
          <w:rtl w:val="0"/>
        </w:rPr>
        <w:t xml:space="preserve">3.1 Inception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Construir contexto desde el código existente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Elaborar la intención en historias de usuario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Planificar las unidades de trabajo</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3.2 Construction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Modelar el dominio, codificar y probar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Resolver los requisitos no funcionales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Resolver la arquitectura de despliegue y generar la infraestructura como código</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3.3 Operations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Despliegue, monitoreo y gestión de incidentes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 la fase que AWS declaró y no implementó; aquí va nuestro desarrollo propio</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4. Rituales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Mob Elaboration, Mob Construction y Mob Testing: qué pasa en cada uno, quiénes participan y cuándo entra y sale el Product Owner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Cómo se adaptan a un equipo distribuido</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5. Puntos de validación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ciclo de diálogo entre la IA y el equipo, con sus dos salidas: pedir cambios o aprobar y continuar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decisiones no toma la IA sin una persona</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IV. Los caminos</w:t>
      </w:r>
    </w:p>
    <w:p w:rsidR="00000000" w:rsidDel="00000000" w:rsidP="00000000" w:rsidRDefault="00000000" w:rsidRPr="00000000" w14:paraId="00000044">
      <w:pPr>
        <w:rPr/>
      </w:pPr>
      <w:r w:rsidDel="00000000" w:rsidR="00000000" w:rsidRPr="00000000">
        <w:rPr>
          <w:b w:val="0"/>
          <w:bCs w:val="0"/>
          <w:i w:val="0"/>
          <w:iCs w:val="0"/>
          <w:rtl w:val="0"/>
        </w:rPr>
        <w:t xml:space="preserve">AWS desarrolla dos recorridos: sistema nuevo y sistema existente. El trabajo real del área tiene más, y cada uno recorre el ciclo de forma distinta.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Sistema nuevo (green-field)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Sistema existente (brown-field), con la etapa de elevar el código a modelos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Los caminos propios del área, por definir con el equipo: prueba de concepto, asistencia técnica, trabajo interno</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V. Gobernanza</w:t>
      </w:r>
    </w:p>
    <w:p w:rsidR="00000000" w:rsidDel="00000000" w:rsidP="00000000" w:rsidRDefault="00000000" w:rsidRPr="00000000" w14:paraId="00000049">
      <w:pPr>
        <w:rPr/>
      </w:pPr>
      <w:r w:rsidDel="00000000" w:rsidR="00000000" w:rsidRPr="00000000">
        <w:rPr>
          <w:b w:val="0"/>
          <w:bCs w:val="0"/>
          <w:i w:val="0"/>
          <w:iCs w:val="0"/>
          <w:rtl w:val="0"/>
        </w:rPr>
        <w:t xml:space="preserve">C</w:t>
      </w:r>
      <w:sdt>
        <w:sdtPr>
          <w:id w:val="-282643189"/>
          <w:tag w:val="goog_rdk_39"/>
        </w:sdtPr>
        <w:sdtContent>
          <w:r w:rsidDel="00000000" w:rsidR="00000000" w:rsidRPr="00000000">
            <w:rPr>
              <w:b w:val="0"/>
              <w:bCs w:val="0"/>
              <w:i w:val="0"/>
              <w:iCs w:val="0"/>
              <w:highlight w:val="green"/>
              <w:rtl w:val="0"/>
              <w:rPrChange w:author="Eduardo Javier Serra" w:id="3" w:date="2026-08-12T15:57:55Z">
                <w:rPr>
                  <w:b w:val="0"/>
                  <w:bCs w:val="0"/>
                  <w:i w:val="0"/>
                  <w:iCs w:val="0"/>
                </w:rPr>
              </w:rPrChange>
            </w:rPr>
            <w:t xml:space="preserve">ómo se controla el proceso y qué evidencia queda.</w:t>
          </w:r>
        </w:sdtContent>
      </w:sdt>
      <w:r w:rsidDel="00000000" w:rsidR="00000000" w:rsidRPr="00000000">
        <w:rPr>
          <w:b w:val="0"/>
          <w:bCs w:val="0"/>
          <w:i w:val="0"/>
          <w:iCs w:val="0"/>
          <w:rtl w:val="0"/>
        </w:rPr>
        <w:t xml:space="preserve"> Es la sección que responde a un auditor o al oficial de cumplimiento de un cliente.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Trazabilidad: de la historia de usuario al requisito, al código y a la prueba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Registro de decisiones: qué se aprueba, quién y dónde queda constancia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Qué se puede reconstruir después: auditoría del proceso</w:t>
      </w:r>
      <w:r w:rsidDel="00000000" w:rsidR="00000000" w:rsidRPr="00000000">
        <w:rPr>
          <w:rtl w:val="0"/>
        </w:rPr>
      </w:r>
    </w:p>
    <w:sdt>
      <w:sdtPr>
        <w:id w:val="581412574"/>
        <w:tag w:val="goog_rdk_41"/>
      </w:sdtPr>
      <w:sdtContent>
        <w:p w:rsidR="00000000" w:rsidDel="00000000" w:rsidP="00000000" w:rsidRDefault="00000000" w:rsidRPr="00000000" w14:paraId="0000004D">
          <w:pPr>
            <w:pStyle w:val="Heading1"/>
            <w:rPr>
              <w:highlight w:val="red"/>
              <w:rPrChange w:author="Eduardo Javier Serra" w:id="4" w:date="2026-08-12T15:57:42Z">
                <w:rPr/>
              </w:rPrChange>
            </w:rPr>
          </w:pPr>
          <w:sdt>
            <w:sdtPr>
              <w:id w:val="-1421936772"/>
              <w:tag w:val="goog_rdk_40"/>
            </w:sdtPr>
            <w:sdtContent>
              <w:r w:rsidDel="00000000" w:rsidR="00000000" w:rsidRPr="00000000">
                <w:rPr>
                  <w:highlight w:val="red"/>
                  <w:rtl w:val="0"/>
                  <w:rPrChange w:author="Eduardo Javier Serra" w:id="4" w:date="2026-08-12T15:57:42Z">
                    <w:rPr/>
                  </w:rPrChange>
                </w:rPr>
                <w:t xml:space="preserve">VI. Medición</w:t>
              </w:r>
            </w:sdtContent>
          </w:sdt>
        </w:p>
      </w:sdtContent>
    </w:sdt>
    <w:sdt>
      <w:sdtPr>
        <w:id w:val="1422493065"/>
        <w:tag w:val="goog_rdk_44"/>
      </w:sdtPr>
      <w:sdtContent>
        <w:p w:rsidR="00000000" w:rsidDel="00000000" w:rsidP="00000000" w:rsidRDefault="00000000" w:rsidRPr="00000000" w14:paraId="0000004E">
          <w:pPr>
            <w:rPr>
              <w:highlight w:val="red"/>
              <w:rPrChange w:author="Eduardo Javier Serra" w:id="4" w:date="2026-08-12T15:57:42Z">
                <w:rPr/>
              </w:rPrChange>
            </w:rPr>
          </w:pPr>
          <w:sdt>
            <w:sdtPr>
              <w:id w:val="450099015"/>
              <w:tag w:val="goog_rdk_42"/>
            </w:sdtPr>
            <w:sdtContent>
              <w:r w:rsidDel="00000000" w:rsidR="00000000" w:rsidRPr="00000000">
                <w:rPr>
                  <w:b w:val="0"/>
                  <w:bCs w:val="0"/>
                  <w:i w:val="0"/>
                  <w:iCs w:val="0"/>
                  <w:highlight w:val="red"/>
                  <w:rtl w:val="0"/>
                  <w:rPrChange w:author="Eduardo Javier Serra" w:id="4" w:date="2026-08-12T15:57:42Z">
                    <w:rPr>
                      <w:b w:val="0"/>
                      <w:bCs w:val="0"/>
                      <w:i w:val="0"/>
                      <w:iCs w:val="0"/>
                    </w:rPr>
                  </w:rPrChange>
                </w:rPr>
                <w:t xml:space="preserve">Cómo se comprueba que el método funciona, sin depender de la percepción del equipo. Los datos viven en informes aparte; esta sección fija el procedimiento.</w:t>
              </w:r>
            </w:sdtContent>
          </w:sdt>
          <w:sdt>
            <w:sdtPr>
              <w:id w:val="-1870509062"/>
              <w:tag w:val="goog_rdk_43"/>
            </w:sdtPr>
            <w:sdtContent>
              <w:r w:rsidDel="00000000" w:rsidR="00000000" w:rsidRPr="00000000">
                <w:rPr>
                  <w:rtl w:val="0"/>
                </w:rPr>
              </w:r>
            </w:sdtContent>
          </w:sdt>
        </w:p>
      </w:sdtContent>
    </w:sdt>
    <w:sdt>
      <w:sdtPr>
        <w:id w:val="551187364"/>
        <w:tag w:val="goog_rdk_47"/>
      </w:sdtPr>
      <w:sdtContent>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highlight w:val="red"/>
              <w:rPrChange w:author="Eduardo Javier Serra" w:id="4" w:date="2026-08-12T15:57:42Z">
                <w:rPr/>
              </w:rPrChange>
            </w:rPr>
            <w:pPrChange w:author="Eduardo Javier Serra" w:id="0" w:date="2026-08-12T15:57:4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pPr>
            </w:pPrChange>
          </w:pPr>
          <w:sdt>
            <w:sdtPr>
              <w:id w:val="-1856137287"/>
              <w:tag w:val="goog_rdk_45"/>
            </w:sdtPr>
            <w:sdtContent>
              <w:r w:rsidDel="00000000" w:rsidR="00000000" w:rsidRPr="00000000">
                <w:rPr>
                  <w:rFonts w:ascii="Calibri" w:cs="Calibri" w:eastAsia="Calibri" w:hAnsi="Calibri"/>
                  <w:b w:val="0"/>
                  <w:bCs w:val="0"/>
                  <w:i w:val="0"/>
                  <w:iCs w:val="0"/>
                  <w:smallCaps w:val="0"/>
                  <w:strike w:val="0"/>
                  <w:color w:val="000000"/>
                  <w:sz w:val="21"/>
                  <w:szCs w:val="21"/>
                  <w:highlight w:val="red"/>
                  <w:u w:val="none"/>
                  <w:vertAlign w:val="baseline"/>
                  <w:rtl w:val="0"/>
                  <w:rPrChange w:author="Eduardo Javier Serra" w:id="4" w:date="2026-08-12T15:57:42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Línea base comparativa: el mismo tipo de trabajo, antes y con el método, estimada por escrito antes de empezar</w:t>
              </w:r>
            </w:sdtContent>
          </w:sdt>
          <w:sdt>
            <w:sdtPr>
              <w:id w:val="272305004"/>
              <w:tag w:val="goog_rdk_46"/>
            </w:sdtPr>
            <w:sdtContent>
              <w:r w:rsidDel="00000000" w:rsidR="00000000" w:rsidRPr="00000000">
                <w:rPr>
                  <w:rtl w:val="0"/>
                </w:rPr>
              </w:r>
            </w:sdtContent>
          </w:sdt>
        </w:p>
      </w:sdtContent>
    </w:sdt>
    <w:sdt>
      <w:sdtPr>
        <w:id w:val="1212435855"/>
        <w:tag w:val="goog_rdk_50"/>
      </w:sdtPr>
      <w:sdtContent>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highlight w:val="red"/>
              <w:rPrChange w:author="Eduardo Javier Serra" w:id="4" w:date="2026-08-12T15:57:42Z">
                <w:rPr/>
              </w:rPrChange>
            </w:rPr>
            <w:pPrChange w:author="Eduardo Javier Serra" w:id="0" w:date="2026-08-12T15:57:4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pPr>
            </w:pPrChange>
          </w:pPr>
          <w:sdt>
            <w:sdtPr>
              <w:id w:val="1196641035"/>
              <w:tag w:val="goog_rdk_48"/>
            </w:sdtPr>
            <w:sdtContent>
              <w:r w:rsidDel="00000000" w:rsidR="00000000" w:rsidRPr="00000000">
                <w:rPr>
                  <w:rFonts w:ascii="Calibri" w:cs="Calibri" w:eastAsia="Calibri" w:hAnsi="Calibri"/>
                  <w:b w:val="0"/>
                  <w:bCs w:val="0"/>
                  <w:i w:val="0"/>
                  <w:iCs w:val="0"/>
                  <w:smallCaps w:val="0"/>
                  <w:strike w:val="0"/>
                  <w:color w:val="000000"/>
                  <w:sz w:val="21"/>
                  <w:szCs w:val="21"/>
                  <w:highlight w:val="red"/>
                  <w:u w:val="none"/>
                  <w:vertAlign w:val="baseline"/>
                  <w:rtl w:val="0"/>
                  <w:rPrChange w:author="Eduardo Javier Serra" w:id="4" w:date="2026-08-12T15:57:42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Indicadores que se vigilan entre sí, para que mejorar uno no esconda el deterioro de otro</w:t>
              </w:r>
            </w:sdtContent>
          </w:sdt>
          <w:sdt>
            <w:sdtPr>
              <w:id w:val="-640859742"/>
              <w:tag w:val="goog_rdk_49"/>
            </w:sdtPr>
            <w:sdtContent>
              <w:r w:rsidDel="00000000" w:rsidR="00000000" w:rsidRPr="00000000">
                <w:rPr>
                  <w:rtl w:val="0"/>
                </w:rPr>
              </w:r>
            </w:sdtContent>
          </w:sdt>
        </w:p>
      </w:sdtContent>
    </w:sdt>
    <w:sdt>
      <w:sdtPr>
        <w:id w:val="525820206"/>
        <w:tag w:val="goog_rdk_53"/>
      </w:sdtPr>
      <w:sdtContent>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highlight w:val="red"/>
              <w:rPrChange w:author="Eduardo Javier Serra" w:id="4" w:date="2026-08-12T15:57:42Z">
                <w:rPr/>
              </w:rPrChange>
            </w:rPr>
            <w:pPrChange w:author="Eduardo Javier Serra" w:id="0" w:date="2026-08-12T15:57:42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pPr>
            </w:pPrChange>
          </w:pPr>
          <w:sdt>
            <w:sdtPr>
              <w:id w:val="1791511994"/>
              <w:tag w:val="goog_rdk_51"/>
            </w:sdtPr>
            <w:sdtContent>
              <w:r w:rsidDel="00000000" w:rsidR="00000000" w:rsidRPr="00000000">
                <w:rPr>
                  <w:rFonts w:ascii="Calibri" w:cs="Calibri" w:eastAsia="Calibri" w:hAnsi="Calibri"/>
                  <w:b w:val="0"/>
                  <w:bCs w:val="0"/>
                  <w:i w:val="0"/>
                  <w:iCs w:val="0"/>
                  <w:smallCaps w:val="0"/>
                  <w:strike w:val="0"/>
                  <w:color w:val="000000"/>
                  <w:sz w:val="21"/>
                  <w:szCs w:val="21"/>
                  <w:highlight w:val="red"/>
                  <w:u w:val="none"/>
                  <w:vertAlign w:val="baseline"/>
                  <w:rtl w:val="0"/>
                  <w:rPrChange w:author="Eduardo Javier Serra" w:id="4" w:date="2026-08-12T15:57:42Z">
                    <w:rPr>
                      <w:rFonts w:ascii="Calibri" w:cs="Calibri" w:eastAsia="Calibri" w:hAnsi="Calibri"/>
                      <w:b w:val="0"/>
                      <w:bCs w:val="0"/>
                      <w:i w:val="0"/>
                      <w:iCs w:val="0"/>
                      <w:smallCaps w:val="0"/>
                      <w:strike w:val="0"/>
                      <w:color w:val="000000"/>
                      <w:sz w:val="21"/>
                      <w:szCs w:val="21"/>
                      <w:u w:val="none"/>
                      <w:shd w:fill="auto" w:val="clear"/>
                      <w:vertAlign w:val="baseline"/>
                    </w:rPr>
                  </w:rPrChange>
                </w:rPr>
                <w:t xml:space="preserve">Nunca métricas por persona</w:t>
              </w:r>
            </w:sdtContent>
          </w:sdt>
          <w:sdt>
            <w:sdtPr>
              <w:id w:val="100562063"/>
              <w:tag w:val="goog_rdk_52"/>
            </w:sdtPr>
            <w:sdtContent>
              <w:r w:rsidDel="00000000" w:rsidR="00000000" w:rsidRPr="00000000">
                <w:rPr>
                  <w:rtl w:val="0"/>
                </w:rPr>
              </w:r>
            </w:sdtContent>
          </w:sdt>
        </w:p>
      </w:sdtContent>
    </w:sdt>
    <w:p w:rsidR="00000000" w:rsidDel="00000000" w:rsidP="00000000" w:rsidRDefault="00000000" w:rsidRPr="00000000" w14:paraId="00000052">
      <w:pPr>
        <w:pStyle w:val="Heading1"/>
        <w:rPr/>
      </w:pPr>
      <w:r w:rsidDel="00000000" w:rsidR="00000000" w:rsidRPr="00000000">
        <w:rPr>
          <w:rtl w:val="0"/>
        </w:rPr>
        <w:t xml:space="preserve">VII. Adopción</w:t>
      </w:r>
    </w:p>
    <w:p w:rsidR="00000000" w:rsidDel="00000000" w:rsidP="00000000" w:rsidRDefault="00000000" w:rsidRPr="00000000" w14:paraId="00000053">
      <w:pPr>
        <w:rPr/>
      </w:pPr>
      <w:r w:rsidDel="00000000" w:rsidR="00000000" w:rsidRPr="00000000">
        <w:rPr>
          <w:b w:val="0"/>
          <w:bCs w:val="0"/>
          <w:i w:val="0"/>
          <w:iCs w:val="0"/>
          <w:rtl w:val="0"/>
        </w:rPr>
        <w:t xml:space="preserve">Qué hace alguien que llega al equipo, y cómo entra el método a un proyecto que ya está en marcha.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primer día: qué se lee y se instala, y cuál es el primer trabajo acompañado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Adopción en un proyecto existente: qué se hace primero y qué puede esperar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paper exige que el método se pueda practicar en un día, sin capacitación formal; esta sección se mide contra eso</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Anexos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Glosario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Plantillas de los documentos de entrada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288"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 Un cambio recorriendo el ciclo completo, como ejemplo ilustrativo</w:t>
      </w:r>
      <w:r w:rsidDel="00000000" w:rsidR="00000000" w:rsidRPr="00000000">
        <w:rPr>
          <w:rtl w:val="0"/>
        </w:rPr>
      </w:r>
    </w:p>
    <w:sdt>
      <w:sdtPr>
        <w:id w:val="1410560244"/>
        <w:tag w:val="goog_rdk_55"/>
      </w:sdtPr>
      <w:sdtContent>
        <w:p w:rsidR="00000000" w:rsidDel="00000000" w:rsidP="00000000" w:rsidRDefault="00000000" w:rsidRPr="00000000" w14:paraId="0000005B">
          <w:pPr>
            <w:pStyle w:val="Heading1"/>
            <w:rPr>
              <w:highlight w:val="green"/>
              <w:rPrChange w:author="Eduardo Javier Serra" w:id="5" w:date="2026-08-12T15:58:11Z">
                <w:rPr/>
              </w:rPrChange>
            </w:rPr>
          </w:pPr>
          <w:sdt>
            <w:sdtPr>
              <w:id w:val="149913313"/>
              <w:tag w:val="goog_rdk_54"/>
            </w:sdtPr>
            <w:sdtContent>
              <w:r w:rsidDel="00000000" w:rsidR="00000000" w:rsidRPr="00000000">
                <w:rPr>
                  <w:highlight w:val="green"/>
                  <w:rtl w:val="0"/>
                  <w:rPrChange w:author="Eduardo Javier Serra" w:id="5" w:date="2026-08-12T15:58:11Z">
                    <w:rPr/>
                  </w:rPrChange>
                </w:rPr>
                <w:t xml:space="preserve">Documento hermano</w:t>
              </w:r>
            </w:sdtContent>
          </w:sdt>
        </w:p>
      </w:sdtContent>
    </w:sdt>
    <w:sdt>
      <w:sdtPr>
        <w:id w:val="972015010"/>
        <w:tag w:val="goog_rdk_58"/>
      </w:sdtPr>
      <w:sdtContent>
        <w:p w:rsidR="00000000" w:rsidDel="00000000" w:rsidP="00000000" w:rsidRDefault="00000000" w:rsidRPr="00000000" w14:paraId="0000005C">
          <w:pPr>
            <w:rPr>
              <w:highlight w:val="green"/>
              <w:rPrChange w:author="Eduardo Javier Serra" w:id="5" w:date="2026-08-12T15:58:11Z">
                <w:rPr/>
              </w:rPrChange>
            </w:rPr>
          </w:pPr>
          <w:sdt>
            <w:sdtPr>
              <w:id w:val="-615802847"/>
              <w:tag w:val="goog_rdk_56"/>
            </w:sdtPr>
            <w:sdtContent>
              <w:r w:rsidDel="00000000" w:rsidR="00000000" w:rsidRPr="00000000">
                <w:rPr>
                  <w:b w:val="0"/>
                  <w:bCs w:val="0"/>
                  <w:i w:val="0"/>
                  <w:iCs w:val="0"/>
                  <w:highlight w:val="green"/>
                  <w:rtl w:val="0"/>
                  <w:rPrChange w:author="Eduardo Javier Serra" w:id="5" w:date="2026-08-12T15:58:11Z">
                    <w:rPr>
                      <w:b w:val="0"/>
                      <w:bCs w:val="0"/>
                      <w:i w:val="0"/>
                      <w:iCs w:val="0"/>
                    </w:rPr>
                  </w:rPrChange>
                </w:rPr>
                <w:t xml:space="preserve">Informe del caso piloto: el primer trabajo real medido con el método, con sus números. Se publica y se versiona fuera de este documento.</w:t>
              </w:r>
            </w:sdtContent>
          </w:sdt>
          <w:sdt>
            <w:sdtPr>
              <w:id w:val="1924174589"/>
              <w:tag w:val="goog_rdk_57"/>
            </w:sdtPr>
            <w:sdtContent>
              <w:r w:rsidDel="00000000" w:rsidR="00000000" w:rsidRPr="00000000">
                <w:rPr>
                  <w:rtl w:val="0"/>
                </w:rPr>
              </w:r>
            </w:sdtContent>
          </w:sdt>
        </w:p>
      </w:sdtContent>
    </w:sdt>
    <w:sectPr>
      <w:pgSz w:h="15840" w:w="12240" w:orient="portrait"/>
      <w:pgMar w:bottom="1417" w:top="1417" w:left="1587" w:right="15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320" w:lineRule="auto"/>
    </w:pPr>
    <w:rPr>
      <w:rFonts w:ascii="Calibri" w:cs="Calibri" w:eastAsia="Calibri" w:hAnsi="Calibri"/>
      <w:b w:val="1"/>
      <w:bCs w:val="1"/>
      <w:color w:val="1b2a5b"/>
      <w:sz w:val="32"/>
      <w:szCs w:val="32"/>
    </w:rPr>
  </w:style>
  <w:style w:type="paragraph" w:styleId="Heading2">
    <w:name w:val="heading 2"/>
    <w:basedOn w:val="Normal"/>
    <w:next w:val="Normal"/>
    <w:pPr>
      <w:keepNext w:val="1"/>
      <w:keepLines w:val="1"/>
      <w:spacing w:after="100" w:before="220" w:lineRule="auto"/>
    </w:pPr>
    <w:rPr>
      <w:rFonts w:ascii="Calibri" w:cs="Calibri" w:eastAsia="Calibri" w:hAnsi="Calibri"/>
      <w:b w:val="1"/>
      <w:bCs w:val="1"/>
      <w:color w:val="1b2a5b"/>
      <w:sz w:val="25"/>
      <w:szCs w:val="25"/>
    </w:rPr>
  </w:style>
  <w:style w:type="paragraph" w:styleId="Heading3">
    <w:name w:val="heading 3"/>
    <w:basedOn w:val="Normal"/>
    <w:next w:val="Normal"/>
    <w:pPr>
      <w:keepNext w:val="1"/>
      <w:keepLines w:val="1"/>
      <w:spacing w:after="100" w:before="220" w:lineRule="auto"/>
    </w:pPr>
    <w:rPr>
      <w:rFonts w:ascii="Calibri" w:cs="Calibri" w:eastAsia="Calibri" w:hAnsi="Calibri"/>
      <w:b w:val="1"/>
      <w:bCs w:val="1"/>
      <w:color w:val="1b2a5b"/>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kFKUA/vgFbhyXwIBLEQ9JxWZg==">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