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ns2="http://schemas.openxmlformats.org/drawingml/2006/wordprocessingDrawing" xmlns:ns3="http://schemas.openxmlformats.org/drawingml/2006/main" xmlns:ns4="http://schemas.openxmlformats.org/drawingml/2006/picture" xmlns:ns6="urn:schemas-microsoft-com:vml" xmlns:ns7="urn:schemas-microsoft-com:office:office" xmlns:r="http://schemas.openxmlformats.org/officeDocument/2006/relationships" xmlns:w="http://schemas.openxmlformats.org/wordprocessingml/2006/main" xmlns:w14="http://schemas.microsoft.com/office/word/2010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/>
        <w:drawing>
          <ns2:anchor allowOverlap="1" behindDoc="1" distB="0" distT="0" distL="0" distR="0" hidden="0" layoutInCell="1" locked="0" relativeHeight="0" simplePos="0">
            <ns2:simplePos x="0" y="0"/>
            <ns2:positionH relativeFrom="page">
              <ns2:posOffset>4589563</ns2:posOffset>
            </ns2:positionH>
            <ns2:positionV relativeFrom="page">
              <ns2:posOffset>1002910</ns2:posOffset>
            </ns2:positionV>
            <ns2:extent cx="2535137" cy="802077"/>
            <ns2:effectExtent b="0" l="0" r="0" t="0"/>
            <ns2:wrapNone/>
            <ns2:docPr id="8" name="image2.png"/>
            <ns3:graphic>
              <ns3:graphicData uri="http://schemas.openxmlformats.org/drawingml/2006/picture">
                <ns4:pic>
                  <ns4:nvPicPr>
                    <ns4:cNvPr id="0" name="image2.png"/>
                    <ns4:cNvPicPr preferRelativeResize="0"/>
                  </ns4:nvPicPr>
                  <ns4:blipFill>
                    <ns3:blip r:embed="rId7"/>
                    <ns3:srcRect b="0" l="0" r="0" t="0"/>
                    <ns3:stretch>
                      <ns3:fillRect/>
                    </ns3:stretch>
                  </ns4:blipFill>
                  <ns4:spPr>
                    <ns3:xfrm>
                      <ns3:off x="0" y="0"/>
                      <ns3:ext cx="2535137" cy="802077"/>
                    </ns3:xfrm>
                    <ns3:prstGeom prst="rect"/>
                    <ns3:ln/>
                  </ns4:spPr>
                </ns4:pic>
              </ns3:graphicData>
            </ns3:graphic>
          </ns2:anchor>
        </w:drawing>
      </w:r>
      <w:r w:rsidDel="00000000" w:rsidR="00000000" w:rsidRPr="00000000">
        <w:rPr/>
        <w:drawing>
          <ns2:anchor allowOverlap="1" behindDoc="1" distB="0" distT="0" distL="0" distR="0" hidden="0" layoutInCell="1" locked="0" relativeHeight="0" simplePos="0">
            <ns2:simplePos x="0" y="0"/>
            <ns2:positionH relativeFrom="page">
              <ns2:posOffset>-1290635</ns2:posOffset>
            </ns2:positionH>
            <ns2:positionV relativeFrom="page">
              <ns2:posOffset>839410</ns2:posOffset>
            </ns2:positionV>
            <ns2:extent cx="4816665" cy="4716318"/>
            <ns2:effectExtent b="775487" l="750752" r="750752" t="775487"/>
            <ns2:wrapNone/>
            <ns2:docPr id="9" name="image6.png"/>
            <ns3:graphic>
              <ns3:graphicData uri="http://schemas.openxmlformats.org/drawingml/2006/picture">
                <ns4:pic>
                  <ns4:nvPicPr>
                    <ns4:cNvPr id="0" name="image6.png"/>
                    <ns4:cNvPicPr preferRelativeResize="0"/>
                  </ns4:nvPicPr>
                  <ns4:blipFill>
                    <ns3:blip r:embed="rId8"/>
                    <ns3:srcRect b="0" l="0" r="0" t="0"/>
                    <ns3:stretch>
                      <ns3:fillRect/>
                    </ns3:stretch>
                  </ns4:blipFill>
                  <ns4:spPr>
                    <ns3:xfrm rot="1439456">
                      <ns3:off x="0" y="0"/>
                      <ns3:ext cx="4816665" cy="4716318"/>
                    </ns3:xfrm>
                    <ns3:prstGeom prst="rect"/>
                    <ns3:ln/>
                  </ns4:spPr>
                </ns4:pic>
              </ns3:graphicData>
            </ns3:graphic>
          </ns2:anchor>
        </w:drawing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/>
        <w:drawing>
          <ns2:anchor allowOverlap="1" behindDoc="1" distB="0" distT="0" distL="0" distR="0" hidden="0" layoutInCell="1" locked="0" relativeHeight="0" simplePos="0">
            <ns2:simplePos x="0" y="0"/>
            <ns2:positionH relativeFrom="page">
              <ns2:posOffset>-168502</ns2:posOffset>
            </ns2:positionH>
            <ns2:positionV relativeFrom="page">
              <ns2:posOffset>2566988</ns2:posOffset>
            </ns2:positionV>
            <ns2:extent cx="6959830" cy="3121981"/>
            <ns2:effectExtent b="0" l="0" r="0" t="0"/>
            <ns2:wrapNone/>
            <ns2:docPr id="10" name="image3.png"/>
            <ns3:graphic>
              <ns3:graphicData uri="http://schemas.openxmlformats.org/drawingml/2006/picture">
                <ns4:pic>
                  <ns4:nvPicPr>
                    <ns4:cNvPr id="0" name="image3.png"/>
                    <ns4:cNvPicPr preferRelativeResize="0"/>
                  </ns4:nvPicPr>
                  <ns4:blipFill>
                    <ns3:blip r:embed="rId9"/>
                    <ns3:srcRect b="0" l="0" r="0" t="0"/>
                    <ns3:stretch>
                      <ns3:fillRect/>
                    </ns3:stretch>
                  </ns4:blipFill>
                  <ns4:spPr>
                    <ns3:xfrm>
                      <ns3:off x="0" y="0"/>
                      <ns3:ext cx="6959830" cy="3121981"/>
                    </ns3:xfrm>
                    <ns3:prstGeom prst="rect"/>
                    <ns3:ln/>
                  </ns4:spPr>
                </ns4:pic>
              </ns3:graphicData>
            </ns3:graphic>
          </ns2:anchor>
        </w:drawing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240" w:before="240" w:lineRule="auto"/>
        <w:jc w:val="both"/>
        <w:rPr>
          <w:rFonts w:ascii="Open Sans" w:cs="Open Sans" w:eastAsia="Open Sans" w:hAnsi="Open Sans"/>
          <w:sz w:val="24"/>
          <w:szCs w:val="24"/>
        </w:rPr>
      </w:pPr>
      <w:r w:rsidDel="00000000" w:rsidR="00000000" w:rsidRPr="00000000">
        <w:rPr>
          <w:rFonts w:ascii="Open Sans" w:cs="Open Sans" w:eastAsia="Open Sans" w:hAnsi="Open Sans"/>
          <w:sz w:val="24"/>
          <w:szCs w:val="24"/>
        </w:rPr>
        <w:drawing>
          <ns2:anchor allowOverlap="1" behindDoc="1" distB="0" distT="0" distL="0" distR="0" hidden="0" layoutInCell="1" locked="0" relativeHeight="0" simplePos="0">
            <ns2:simplePos x="0" y="0"/>
            <ns2:positionH relativeFrom="page">
              <ns2:posOffset>447675</ns2:posOffset>
            </ns2:positionH>
            <ns2:positionV relativeFrom="page">
              <ns2:posOffset>9144000</ns2:posOffset>
            </ns2:positionV>
            <ns2:extent cx="1394299" cy="163375"/>
            <ns2:effectExtent b="0" l="0" r="0" t="0"/>
            <ns2:wrapNone/>
            <ns2:docPr descr="Recurso 3.png" id="11" name="image1.png"/>
            <ns3:graphic>
              <ns3:graphicData uri="http://schemas.openxmlformats.org/drawingml/2006/picture">
                <ns4:pic>
                  <ns4:nvPicPr>
                    <ns4:cNvPr descr="Recurso 3.png" id="0" name="image1.png"/>
                    <ns4:cNvPicPr preferRelativeResize="0"/>
                  </ns4:nvPicPr>
                  <ns4:blipFill>
                    <ns3:blip r:embed="rId10"/>
                    <ns3:srcRect b="0" l="0" r="0" t="0"/>
                    <ns3:stretch>
                      <ns3:fillRect/>
                    </ns3:stretch>
                  </ns4:blipFill>
                  <ns4:spPr>
                    <ns3:xfrm>
                      <ns3:off x="0" y="0"/>
                      <ns3:ext cx="1394299" cy="163375"/>
                    </ns3:xfrm>
                    <ns3:prstGeom prst="rect"/>
                    <ns3:ln/>
                  </ns4:spPr>
                </ns4:pic>
              </ns3:graphicData>
            </ns3:graphic>
          </ns2:anchor>
        </w:drawing>
      </w:r>
      <w:r w:rsidDel="00000000" w:rsidR="00000000" w:rsidRPr="00000000">
        <w:rPr>
          <w:rFonts w:ascii="Open Sans" w:cs="Open Sans" w:eastAsia="Open Sans" w:hAnsi="Open Sans"/>
          <w:sz w:val="24"/>
          <w:szCs w:val="24"/>
          <w:rtl w:val="0"/>
        </w:rPr>
        <w:t xml:space="preserve"> </w:t>
      </w:r>
    </w:p>
    <w:tbl>
      <w:tblPr>
        <w:tblStyle w:val="Table1"/>
        <w:tblpPr w:leftFromText="180" w:rightFromText="180" w:topFromText="180" w:bottomFromText="180" w:vertAnchor="text" w:horzAnchor="text" w:tblpX="0" w:tblpY="0"/>
        <w:tblW w:w="9780.0" w:type="dxa"/>
        <w:jc w:val="left"/>
        <w:tblInd w:w="85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40"/>
        <w:gridCol w:w="9540"/>
        <w:tblGridChange w:id="0">
          <w:tblGrid>
            <w:gridCol w:w="240"/>
            <w:gridCol w:w="9540"/>
          </w:tblGrid>
        </w:tblGridChange>
      </w:tblGrid>
      <w:tr>
        <w:trPr>
          <w:cantSplit w:val="0"/>
          <w:trHeight w:val="375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282d68" w:val="clear"/>
          </w:tcPr>
          <w:p w:rsidR="00000000" w:rsidDel="00000000" w:rsidP="00000000" w:rsidRDefault="00000000" w:rsidRPr="00000000" w14:paraId="00000012">
            <w:pPr>
              <w:widowControl w:val="0"/>
              <w:spacing w:line="240" w:lineRule="auto"/>
              <w:rPr>
                <w:rFonts w:ascii="Open Sans" w:cs="Open Sans" w:eastAsia="Open Sans" w:hAnsi="Open Sans"/>
                <w:color w:val="fcc743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efefef" w:val="clear"/>
          </w:tcPr>
          <w:p w:rsidR="00000000" w:rsidDel="00000000" w:rsidP="00000000" w:rsidRDefault="00000000" w:rsidRPr="00000000" w14:paraId="00000013">
            <w:pPr>
              <w:spacing w:after="240" w:before="240" w:line="240" w:lineRule="auto"/>
              <w:ind w:left="425.19685039370086" w:firstLine="0"/>
              <w:rPr>
                <w:rFonts w:ascii="Open Sans" w:cs="Open Sans" w:eastAsia="Open Sans" w:hAnsi="Open Sans"/>
                <w:color w:val="0084d5"/>
                <w:sz w:val="24"/>
                <w:szCs w:val="24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color w:val="0084d5"/>
                <w:sz w:val="52"/>
                <w:szCs w:val="52"/>
                <w:rtl w:val="0"/>
              </w:rPr>
              <w:t xml:space="preserve">Metodología AI-DLC</w:t>
            </w:r>
            <w:r w:rsidDel="00000000" w:rsidR="00000000" w:rsidRPr="00000000">
              <w:pict>
                <ns6:rect style="width:0.0pt;height:1.5pt" ns7:hr="t" ns7:hrstd="t" ns7:hralign="center" fillcolor="#A0A0A0" stroked="f"/>
              </w:pic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pStyle w:val="Subtitle"/>
              <w:spacing w:after="0" w:line="240" w:lineRule="auto"/>
              <w:ind w:left="425.19685039370086" w:firstLine="0"/>
              <w:rPr>
                <w:rFonts w:ascii="Open Sans" w:cs="Open Sans" w:eastAsia="Open Sans" w:hAnsi="Open Sans"/>
                <w:color w:val="0084d5"/>
                <w:sz w:val="28"/>
                <w:szCs w:val="28"/>
              </w:rPr>
            </w:pPr>
            <w:bookmarkStart w:colFirst="0" w:colLast="0" w:name="_heading=h.ilemzqry0vyv" w:id="0"/>
            <w:bookmarkEnd w:id="0"/>
            <w:r w:rsidDel="00000000" w:rsidR="00000000" w:rsidRPr="00000000">
              <w:rPr>
                <w:rFonts w:ascii="Open Sans" w:cs="Open Sans" w:eastAsia="Open Sans" w:hAnsi="Open Sans"/>
                <w:color w:val="0084d5"/>
                <w:sz w:val="28"/>
                <w:szCs w:val="28"/>
                <w:rtl w:val="0"/>
              </w:rPr>
              <w:t xml:space="preserve">Cómo construimos software con IA generativa</w:t>
            </w:r>
          </w:p>
          <w:p w:rsidR="00000000" w:rsidDel="00000000" w:rsidP="00000000" w:rsidRDefault="00000000" w:rsidRPr="00000000" w14:paraId="00000015">
            <w:pPr>
              <w:spacing w:line="240" w:lineRule="auto"/>
              <w:rPr>
                <w:color w:val="0084d5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spacing w:line="240" w:lineRule="auto"/>
              <w:ind w:left="425.19685039370086" w:firstLine="0"/>
              <w:jc w:val="both"/>
              <w:rPr>
                <w:rFonts w:ascii="Open Sans" w:cs="Open Sans" w:eastAsia="Open Sans" w:hAnsi="Open Sans"/>
                <w:color w:val="0084d5"/>
                <w:sz w:val="20"/>
                <w:szCs w:val="2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84d5"/>
                <w:sz w:val="20"/>
                <w:szCs w:val="20"/>
                <w:rtl w:val="0"/>
              </w:rPr>
              <w:t xml:space="preserve">Elaborado por: Equipo de IA Generativa</w:t>
            </w:r>
          </w:p>
          <w:p w:rsidR="00000000" w:rsidDel="00000000" w:rsidP="00000000" w:rsidRDefault="00000000" w:rsidRPr="00000000" w14:paraId="00000017">
            <w:pPr>
              <w:spacing w:line="240" w:lineRule="auto"/>
              <w:ind w:left="425.19685039370086" w:firstLine="0"/>
              <w:jc w:val="both"/>
              <w:rPr>
                <w:rFonts w:ascii="Open Sans" w:cs="Open Sans" w:eastAsia="Open Sans" w:hAnsi="Open Sans"/>
                <w:color w:val="0084d5"/>
                <w:sz w:val="20"/>
                <w:szCs w:val="2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84d5"/>
                <w:sz w:val="20"/>
                <w:szCs w:val="20"/>
                <w:rtl w:val="0"/>
              </w:rPr>
              <w:t xml:space="preserve">Fecha: 14 de agosto de 2026</w:t>
            </w:r>
          </w:p>
          <w:p w:rsidR="00000000" w:rsidDel="00000000" w:rsidP="00000000" w:rsidRDefault="00000000" w:rsidRPr="00000000" w14:paraId="00000018">
            <w:pPr>
              <w:spacing w:line="240" w:lineRule="auto"/>
              <w:ind w:left="425.19685039370086" w:firstLine="0"/>
              <w:jc w:val="both"/>
              <w:rPr>
                <w:rFonts w:ascii="Open Sans SemiBold" w:cs="Open Sans SemiBold" w:eastAsia="Open Sans SemiBold" w:hAnsi="Open Sans SemiBold"/>
                <w:color w:val="0084d5"/>
                <w:sz w:val="24"/>
                <w:szCs w:val="24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84d5"/>
                <w:sz w:val="20"/>
                <w:szCs w:val="20"/>
                <w:rtl w:val="0"/>
              </w:rPr>
              <w:t xml:space="preserve">Versión del documento: 1.0</w:t>
            </w:r>
            <w:r w:rsidDel="00000000" w:rsidR="00000000" w:rsidRPr="00000000">
              <w:rPr>
                <w:rtl w:val="0"/>
              </w:rPr>
            </w:r>
          </w:p>
        </w:tc>
      </w:tr>
    </w:tbl>
    <w:p>
      <w:pPr>
        <w:pStyle w:val="Heading1"/>
      </w:pPr>
      <w:r>
        <w:br w:type="page"/>
      </w:r>
      <w:r>
        <w:t xml:space="preserve">METODOLOGÍA AI-DLC</w:t>
      </w:r>
    </w:p>
    <w:p>
      <w:pPr>
        <w:pStyle w:val="Subtitle"/>
      </w:pPr>
      <w:r>
        <w:t xml:space="preserve">Cómo construimos software con IA generativa</w:t>
      </w:r>
    </w:p>
    <w:p>
      <w:r>
        <w:t xml:space="preserve">AI-DLC es la metodología de AWS para construir software con IA generativa, publicada en julio de 2025. El proceso coloca a la IA en el centro del desarrollo: en cada actividad, la IA analiza el contexto, propone un plan y pregunta lo que no sabe. El equipo corrige y aprueba; con esa aprobación, la IA implementa.</w:t>
      </w:r>
    </w:p>
    <w:p>
      <w:r>
        <w:t xml:space="preserve">Este documento describe cómo el equipo de IA Generativa aplica el método: qué trabajo entra al ciclo, con qué artefactos se trabaja, cómo se ordenan las fases, qué recorre un cambio y qué evidencia queda al final.</w:t>
      </w:r>
    </w:p>
    <w:p>
      <w:pPr>
        <w:pStyle w:val="Heading2"/>
      </w:pPr>
      <w:r>
        <w:t xml:space="preserve">Contenido</w:t>
      </w:r>
    </w:p>
    <w:tbl>
      <w:tblPr>
        <w:tblStyle w:val="Table3"/>
        <w:tblW w:w="9360" w:type="dxa"/>
        <w:tblLayout w:type="fixed"/>
      </w:tblPr>
      <w:tblGrid>
        <w:gridCol w:w="2600"/>
        <w:gridCol w:w="6760"/>
      </w:tblGrid>
      <w:tr>
        <w:trPr>
          <w:tblHeader/>
        </w:trPr>
        <w:tc>
          <w:tcPr>
            <w:tcW w:w="2600" w:type="dxa"/>
          </w:tcPr>
          <w:p>
            <w:r>
              <w:rPr>
                <w:b w:val="1"/>
                <w:bCs w:val="1"/>
              </w:rPr>
              <w:t xml:space="preserve">Sección</w:t>
            </w:r>
          </w:p>
        </w:tc>
        <w:tc>
          <w:tcPr>
            <w:tcW w:w="6760" w:type="dxa"/>
          </w:tcPr>
          <w:p>
            <w:r>
              <w:rPr>
                <w:b w:val="1"/>
                <w:bCs w:val="1"/>
              </w:rPr>
              <w:t xml:space="preserve">Contenido</w:t>
            </w:r>
          </w:p>
        </w:tc>
      </w:tr>
      <w:tr>
        <w:tc>
          <w:tcPr>
            <w:tcW w:w="2600" w:type="dxa"/>
          </w:tcPr>
          <w:p>
            <w:r>
              <w:t xml:space="preserve">1. El método</w:t>
            </w:r>
          </w:p>
        </w:tc>
        <w:tc>
          <w:tcPr>
            <w:tcW w:w="6760" w:type="dxa"/>
          </w:tcPr>
          <w:p>
            <w:r>
              <w:t xml:space="preserve">Qué es AI-DLC y en qué se apoya</w:t>
            </w:r>
          </w:p>
        </w:tc>
      </w:tr>
      <w:tr>
        <w:tc>
          <w:tcPr>
            <w:tcW w:w="2600" w:type="dxa"/>
          </w:tcPr>
          <w:p>
            <w:r>
              <w:t xml:space="preserve">2. Alcance</w:t>
            </w:r>
          </w:p>
        </w:tc>
        <w:tc>
          <w:tcPr>
            <w:tcW w:w="6760" w:type="dxa"/>
          </w:tcPr>
          <w:p>
            <w:r>
              <w:t xml:space="preserve">Qué trabajo recorre el ciclo completo y qué queda fuera</w:t>
            </w:r>
          </w:p>
        </w:tc>
      </w:tr>
      <w:tr>
        <w:tc>
          <w:tcPr>
            <w:tcW w:w="2600" w:type="dxa"/>
          </w:tcPr>
          <w:p>
            <w:r>
              <w:t xml:space="preserve">3. Artefactos</w:t>
            </w:r>
          </w:p>
        </w:tc>
        <w:tc>
          <w:tcPr>
            <w:tcW w:w="6760" w:type="dxa"/>
          </w:tcPr>
          <w:p>
            <w:r>
              <w:t xml:space="preserve">Las seis piezas con las que trabaja el método</w:t>
            </w:r>
          </w:p>
        </w:tc>
      </w:tr>
      <w:tr>
        <w:tc>
          <w:tcPr>
            <w:tcW w:w="2600" w:type="dxa"/>
          </w:tcPr>
          <w:p>
            <w:r>
              <w:t xml:space="preserve">4. Fases y rituales</w:t>
            </w:r>
          </w:p>
        </w:tc>
        <w:tc>
          <w:tcPr>
            <w:tcW w:w="6760" w:type="dxa"/>
          </w:tcPr>
          <w:p>
            <w:r>
              <w:t xml:space="preserve">Cómo se ordena el trabajo y cómo trabaja el equipo</w:t>
            </w:r>
          </w:p>
        </w:tc>
      </w:tr>
      <w:tr>
        <w:tc>
          <w:tcPr>
            <w:tcW w:w="2600" w:type="dxa"/>
          </w:tcPr>
          <w:p>
            <w:r>
              <w:t xml:space="preserve">5. El flujo</w:t>
            </w:r>
          </w:p>
        </w:tc>
        <w:tc>
          <w:tcPr>
            <w:tcW w:w="6760" w:type="dxa"/>
          </w:tcPr>
          <w:p>
            <w:r>
              <w:t xml:space="preserve">Los nueve pasos, del Intent al despliegue</w:t>
            </w:r>
          </w:p>
        </w:tc>
      </w:tr>
      <w:tr>
        <w:tc>
          <w:tcPr>
            <w:tcW w:w="2600" w:type="dxa"/>
          </w:tcPr>
          <w:p>
            <w:r>
              <w:t xml:space="preserve">6. Herramientas y skills</w:t>
            </w:r>
          </w:p>
        </w:tc>
        <w:tc>
          <w:tcPr>
            <w:tcW w:w="6760" w:type="dxa"/>
          </w:tcPr>
          <w:p>
            <w:r>
              <w:t xml:space="preserve">Qué capacidad cubre cada fase y con qué se resuelve hoy</w:t>
            </w:r>
          </w:p>
        </w:tc>
      </w:tr>
      <w:tr>
        <w:tc>
          <w:tcPr>
            <w:tcW w:w="2600" w:type="dxa"/>
          </w:tcPr>
          <w:p>
            <w:r>
              <w:t xml:space="preserve">7. Gobernanza</w:t>
            </w:r>
          </w:p>
        </w:tc>
        <w:tc>
          <w:tcPr>
            <w:tcW w:w="6760" w:type="dxa"/>
          </w:tcPr>
          <w:p>
            <w:r>
              <w:t xml:space="preserve">Qué controla el proceso y qué evidencia queda</w:t>
            </w:r>
          </w:p>
        </w:tc>
      </w:tr>
      <w:tr>
        <w:tc>
          <w:tcPr>
            <w:tcW w:w="2600" w:type="dxa"/>
          </w:tcPr>
          <w:p>
            <w:r>
              <w:t xml:space="preserve">8. Adopción</w:t>
            </w:r>
          </w:p>
        </w:tc>
        <w:tc>
          <w:tcPr>
            <w:tcW w:w="6760" w:type="dxa"/>
          </w:tcPr>
          <w:p>
            <w:r>
              <w:t xml:space="preserve">Cómo se incorpora el equipo al método</w:t>
            </w:r>
          </w:p>
        </w:tc>
      </w:tr>
      <w:tr>
        <w:tc>
          <w:tcPr>
            <w:tcW w:w="2600" w:type="dxa"/>
          </w:tcPr>
          <w:p>
            <w:r>
              <w:t xml:space="preserve">Referencias</w:t>
            </w:r>
          </w:p>
        </w:tc>
        <w:tc>
          <w:tcPr>
            <w:tcW w:w="6760" w:type="dxa"/>
          </w:tcPr>
          <w:p>
            <w:r>
              <w:t xml:space="preserve">Fuentes del método y políticas aplicables</w:t>
            </w:r>
          </w:p>
        </w:tc>
      </w:tr>
    </w:tbl>
    <w:p>
      <w:pPr>
        <w:pStyle w:val="Heading1"/>
      </w:pPr>
      <w:r>
        <w:br w:type="page"/>
      </w:r>
      <w:r>
        <w:t xml:space="preserve">1. EL MÉTODO</w:t>
      </w:r>
    </w:p>
    <w:p>
      <w:r>
        <w:t xml:space="preserve">AI-DLC es la metodología de AWS para construir software con IA generativa, publicada en julio de 2025. El proceso coloca a la IA en el centro del desarrollo: en cada actividad, la IA analiza el contexto, propone un plan y pregunta lo que no sabe. El equipo corrige y aprueba; con esa aprobación, la IA implementa. El mismo ciclo gobierna los requisitos, el diseño, el código, las pruebas y el despliegue.</w:t>
      </w:r>
    </w:p>
    <w:p>
      <w:pPr>
        <w:spacing w:before="240" w:after="240"/>
        <w:jc w:val="center"/>
      </w:pPr>
      <w:r>
        <w:rPr>
          <w:i w:val="1"/>
          <w:iCs w:val="1"/>
          <w:color w:val="666666"/>
        </w:rPr>
        <w:t xml:space="preserve">[Figura 1 — La IA propone, el equipo decide]</w:t>
      </w:r>
    </w:p>
    <w:p>
      <w:r>
        <w:t xml:space="preserve">El método nace de un límite que a menudo afecta al equipo de desarrollo: el asistente que autocompleta hace tareas sueltas sin contexto del sistema, y la IA que construye sola entrega software que nadie puede defender ante un cliente. AI-DLC evita los dos extremos: la IA hace el trabajo, una persona toma cada decisión.</w:t>
      </w:r>
    </w:p>
    <w:p>
      <w:pPr>
        <w:pStyle w:val="Heading1"/>
      </w:pPr>
      <w:r>
        <w:br w:type="page"/>
      </w:r>
      <w:r>
        <w:t xml:space="preserve">2. ALCANCE: CUÁNDO APLICA Y CUÁNDO NO</w:t>
      </w:r>
    </w:p>
    <w:p>
      <w:r>
        <w:t xml:space="preserve">El ciclo completo está pensado para sistemas con complejidad de arquitectura, decisiones de diseño que negociar y exigencias de escala, integración o cumplimiento. El trabajo simple no lo necesita.</w:t>
      </w:r>
    </w:p>
    <w:p>
      <w:r>
        <w:t xml:space="preserve">El alcance se decide por cambio, no por proyecto. Un cambio recorre el ciclo completo si cumple al menos una de estas condiciones:</w:t>
      </w:r>
    </w:p>
    <w:p>
      <w:pPr>
        <w:numPr>
          <w:ilvl w:val="0"/>
          <w:numId w:val="1"/>
        </w:numPr>
        <w:ind w:left="720" w:hanging="360"/>
      </w:pPr>
      <w:r>
        <w:t xml:space="preserve">cambia un flujo de negocio;</w:t>
      </w:r>
    </w:p>
    <w:p>
      <w:pPr>
        <w:numPr>
          <w:ilvl w:val="0"/>
          <w:numId w:val="1"/>
        </w:numPr>
        <w:ind w:left="720" w:hanging="360"/>
      </w:pPr>
      <w:r>
        <w:t xml:space="preserve">toca más de un componente;</w:t>
      </w:r>
    </w:p>
    <w:p>
      <w:pPr>
        <w:numPr>
          <w:ilvl w:val="0"/>
          <w:numId w:val="1"/>
        </w:numPr>
        <w:ind w:left="720" w:hanging="360"/>
      </w:pPr>
      <w:r>
        <w:t xml:space="preserve">lleva más de dos días de trabajo;</w:t>
      </w:r>
    </w:p>
    <w:p>
      <w:pPr>
        <w:numPr>
          <w:ilvl w:val="0"/>
          <w:numId w:val="1"/>
        </w:numPr>
        <w:ind w:left="720" w:hanging="360"/>
      </w:pPr>
      <w:r>
        <w:t xml:space="preserve">automatiza una decisión que afecta a una persona.</w:t>
      </w:r>
    </w:p>
    <w:p>
      <w:r>
        <w:t xml:space="preserve">Si no cumple ninguna, entra directo a la construcción con el ticket como única especificación.</w:t>
      </w:r>
    </w:p>
    <w:p>
      <w:pPr>
        <w:pStyle w:val="Heading1"/>
      </w:pPr>
      <w:r>
        <w:br w:type="page"/>
      </w:r>
      <w:r>
        <w:t xml:space="preserve">3. ARTEFACTOS</w:t>
      </w:r>
    </w:p>
    <w:p>
      <w:r>
        <w:t xml:space="preserve">Un artefacto es una pieza concreta del ciclo: algo que se define, se aprueba y queda registrado. Son seis. Tres organizan el trabajo y tres son el producto de la construcción.</w:t>
      </w:r>
    </w:p>
    <w:p>
      <w:pPr>
        <w:pStyle w:val="Heading2"/>
      </w:pPr>
      <w:r>
        <w:t xml:space="preserve">Los que organizan el trabajo</w:t>
      </w:r>
    </w:p>
    <w:tbl>
      <w:tblPr>
        <w:tblStyle w:val="Table3"/>
        <w:tblW w:w="9360" w:type="dxa"/>
        <w:tblLayout w:type="fixed"/>
      </w:tblPr>
      <w:tblGrid>
        <w:gridCol w:w="2000"/>
        <w:gridCol w:w="7360"/>
      </w:tblGrid>
      <w:tr>
        <w:trPr>
          <w:tblHeader/>
        </w:trPr>
        <w:tc>
          <w:tcPr>
            <w:tcW w:w="2000" w:type="dxa"/>
          </w:tcPr>
          <w:p>
            <w:r>
              <w:rPr>
                <w:b w:val="1"/>
                <w:bCs w:val="1"/>
              </w:rPr>
              <w:t xml:space="preserve">Artefacto</w:t>
            </w:r>
          </w:p>
        </w:tc>
        <w:tc>
          <w:tcPr>
            <w:tcW w:w="7360" w:type="dxa"/>
          </w:tcPr>
          <w:p>
            <w:r>
              <w:rPr>
                <w:b w:val="1"/>
                <w:bCs w:val="1"/>
              </w:rPr>
              <w:t xml:space="preserve">Qué es</w:t>
            </w:r>
          </w:p>
        </w:tc>
      </w:tr>
      <w:tr>
        <w:tc>
          <w:tcPr>
            <w:tcW w:w="2000" w:type="dxa"/>
          </w:tcPr>
          <w:p>
            <w:r>
              <w:t xml:space="preserve">Intent</w:t>
            </w:r>
          </w:p>
        </w:tc>
        <w:tc>
          <w:tcPr>
            <w:tcW w:w="7360" w:type="dxa"/>
          </w:tcPr>
          <w:p>
            <w:r>
              <w:t xml:space="preserve">Lo que se quiere lograr, dicho en términos de negocio. El equipo define el destino y la IA propone el camino.</w:t>
            </w:r>
          </w:p>
        </w:tc>
      </w:tr>
      <w:tr>
        <w:tc>
          <w:tcPr>
            <w:tcW w:w="2000" w:type="dxa"/>
          </w:tcPr>
          <w:p>
            <w:r>
              <w:t xml:space="preserve">Unit</w:t>
            </w:r>
          </w:p>
        </w:tc>
        <w:tc>
          <w:tcPr>
            <w:tcW w:w="7360" w:type="dxa"/>
          </w:tcPr>
          <w:p>
            <w:r>
              <w:t xml:space="preserve">Una parte del sistema que se construye y se entrega por sí sola. Un Intent se descompone en Units; equivalen a los subdominios del diseño guiado por el dominio o a las épicas de Scrum.</w:t>
            </w:r>
          </w:p>
        </w:tc>
      </w:tr>
      <w:tr>
        <w:tc>
          <w:tcPr>
            <w:tcW w:w="2000" w:type="dxa"/>
          </w:tcPr>
          <w:p>
            <w:r>
              <w:t xml:space="preserve">Bolt</w:t>
            </w:r>
          </w:p>
        </w:tc>
        <w:tc>
          <w:tcPr>
            <w:tcW w:w="7360" w:type="dxa"/>
          </w:tcPr>
          <w:p>
            <w:r>
              <w:t xml:space="preserve">El ciclo en que se construye un Unit. Es lo que en Scrum era el sprint, pero de horas o días en lugar de semanas. Un Unit puede necesitar varios Bolts.</w:t>
            </w:r>
          </w:p>
        </w:tc>
      </w:tr>
    </w:tbl>
    <w:p>
      <w:pPr>
        <w:pStyle w:val="Heading2"/>
      </w:pPr>
      <w:r>
        <w:t xml:space="preserve">Los que produce la construcción</w:t>
      </w:r>
    </w:p>
    <w:tbl>
      <w:tblPr>
        <w:tblStyle w:val="Table3"/>
        <w:tblW w:w="9360" w:type="dxa"/>
        <w:tblLayout w:type="fixed"/>
      </w:tblPr>
      <w:tblGrid>
        <w:gridCol w:w="2000"/>
        <w:gridCol w:w="7360"/>
      </w:tblGrid>
      <w:tr>
        <w:trPr>
          <w:tblHeader/>
        </w:trPr>
        <w:tc>
          <w:tcPr>
            <w:tcW w:w="2000" w:type="dxa"/>
          </w:tcPr>
          <w:p>
            <w:r>
              <w:rPr>
                <w:b w:val="1"/>
                <w:bCs w:val="1"/>
              </w:rPr>
              <w:t xml:space="preserve">Artefacto</w:t>
            </w:r>
          </w:p>
        </w:tc>
        <w:tc>
          <w:tcPr>
            <w:tcW w:w="7360" w:type="dxa"/>
          </w:tcPr>
          <w:p>
            <w:r>
              <w:rPr>
                <w:b w:val="1"/>
                <w:bCs w:val="1"/>
              </w:rPr>
              <w:t xml:space="preserve">Qué es</w:t>
            </w:r>
          </w:p>
        </w:tc>
      </w:tr>
      <w:tr>
        <w:tc>
          <w:tcPr>
            <w:tcW w:w="2000" w:type="dxa"/>
          </w:tcPr>
          <w:p>
            <w:r>
              <w:t xml:space="preserve">Domain Design</w:t>
            </w:r>
          </w:p>
        </w:tc>
        <w:tc>
          <w:tcPr>
            <w:tcW w:w="7360" w:type="dxa"/>
          </w:tcPr>
          <w:p>
            <w:r>
              <w:t xml:space="preserve">La lógica de negocio de un Unit, sin decidir todavía la tecnología. La IA modela con diseño guiado por el dominio: agregados, entidades, objetos de valor, eventos, repositorios.</w:t>
            </w:r>
          </w:p>
        </w:tc>
      </w:tr>
      <w:tr>
        <w:tc>
          <w:tcPr>
            <w:tcW w:w="2000" w:type="dxa"/>
          </w:tcPr>
          <w:p>
            <w:r>
              <w:t xml:space="preserve">Logical Design</w:t>
            </w:r>
          </w:p>
        </w:tc>
        <w:tc>
          <w:tcPr>
            <w:tcW w:w="7360" w:type="dxa"/>
          </w:tcPr>
          <w:p>
            <w:r>
              <w:t xml:space="preserve">El mismo diseño, ya resuelto para los requisitos no funcionales y con los patrones de arquitectura que correspondan. Cada decisión queda registrada en un ADR que una persona valida.</w:t>
            </w:r>
          </w:p>
        </w:tc>
      </w:tr>
      <w:tr>
        <w:tc>
          <w:tcPr>
            <w:tcW w:w="2000" w:type="dxa"/>
          </w:tcPr>
          <w:p>
            <w:r>
              <w:t xml:space="preserve">Deployment Units</w:t>
            </w:r>
          </w:p>
        </w:tc>
        <w:tc>
          <w:tcPr>
            <w:tcW w:w="7360" w:type="dxa"/>
          </w:tcPr>
          <w:p>
            <w:r>
              <w:t xml:space="preserve">El paquete listo para desplegar: el código ejecutable, su configuración y su infraestructura.</w:t>
            </w:r>
          </w:p>
        </w:tc>
      </w:tr>
    </w:tbl>
    <w:p>
      <w:r>
        <w:t xml:space="preserve">Un requisito no funcional describe qué tan bien hace el sistema lo que hace: cuánto tarda, cuánto aguanta, qué registra, qué protege.</w:t>
      </w:r>
    </w:p>
    <w:p>
      <w:r>
        <w:t xml:space="preserve">Ninguno de los seis se descarta al cerrar la fase. Todos quedan guardados y la IA los usa como memoria de contexto durante el resto del ciclo: el diseño recuerda lo que se decidió en los requisitos, y el despliegue recuerda lo que se decidió en el diseño.</w:t>
      </w:r>
    </w:p>
    <w:p>
      <w:pPr>
        <w:pStyle w:val="Heading1"/>
      </w:pPr>
      <w:r>
        <w:br w:type="page"/>
      </w:r>
      <w:r>
        <w:t xml:space="preserve">4. FASES Y RITUALES</w:t>
      </w:r>
    </w:p>
    <w:p>
      <w:r>
        <w:t xml:space="preserve">La metodología ordena el trabajo en tres fases y define cómo trabaja el equipo dentro de cada una. Los rituales son esas sesiones de trabajo: el equipo revisa en vivo lo que la IA propuso y decide sobre la marcha.</w:t>
      </w:r>
    </w:p>
    <w:p>
      <w:pPr>
        <w:spacing w:before="240" w:after="240"/>
        <w:jc w:val="center"/>
      </w:pPr>
      <w:r>
        <w:rPr>
          <w:i w:val="1"/>
          <w:iCs w:val="1"/>
          <w:color w:val="666666"/>
        </w:rPr>
        <w:t xml:space="preserve">[Figura 3 — El ciclo completo]</w:t>
      </w:r>
    </w:p>
    <w:p>
      <w:pPr>
        <w:pStyle w:val="Heading3"/>
      </w:pPr>
      <w:r>
        <w:t xml:space="preserve">Inception: qué construir y por qué</w:t>
      </w:r>
    </w:p>
    <w:p>
      <w:r>
        <w:t xml:space="preserve">La IA propone las historias de usuario, los criterios de aceptación, los requisitos no funcionales, los riesgos y la descomposición del Intent en Units. El equipo revisa esa propuesta en vivo y corrige lo que está sobre-diseñado o lo que quedó corto. Ese ritual es la Mob Elaboration, y en él participan el Product Owner, los desarrolladores y la IA. La fase cierra con los Units aprobados y los Bolts sugeridos para construirlos.</w:t>
      </w:r>
    </w:p>
    <w:p>
      <w:pPr>
        <w:pStyle w:val="Heading3"/>
      </w:pPr>
      <w:r>
        <w:t xml:space="preserve">Construction: cómo construirlo</w:t>
      </w:r>
    </w:p>
    <w:p>
      <w:r>
        <w:t xml:space="preserve">Cada Unit se construye en uno o más Bolts. La IA modela el dominio, resuelve los requisitos no funcionales y genera el código con sus pruebas. Los equipos intercambian las especificaciones de integración y deciden los patrones de arquitectura: es la Mob Construction. Para validar el resultado contra lo que se pidió, el Product Owner vuelve a la mesa en la Mob Testing. La fase cierra con Deployment Units probados.</w:t>
      </w:r>
    </w:p>
    <w:p>
      <w:pPr>
        <w:pStyle w:val="Heading3"/>
      </w:pPr>
      <w:r>
        <w:t xml:space="preserve">Operations: mantenerlo vivo</w:t>
      </w:r>
    </w:p>
    <w:p>
      <w:r>
        <w:t xml:space="preserve">Despliegue, observabilidad e incidentes, con la IA analizando métricas, registros y trazas para anticipar anomalías. No tiene un ritual propio.</w:t>
      </w:r>
    </w:p>
    <w:p>
      <w:pPr>
        <w:pStyle w:val="Heading3"/>
      </w:pPr>
      <w:r>
        <w:t xml:space="preserve">Los puntos de validación</w:t>
      </w:r>
    </w:p>
    <w:p>
      <w:r>
        <w:t xml:space="preserve">Ninguna fase avanza sola. En cada paso la IA presenta su propuesta y espera; el trabajo continúa cuando una persona la aprueba.</w:t>
      </w:r>
    </w:p>
    <w:p>
      <w:pPr>
        <w:pStyle w:val="Heading1"/>
      </w:pPr>
      <w:r>
        <w:br w:type="page"/>
      </w:r>
      <w:r>
        <w:t xml:space="preserve">5. EL FLUJO</w:t>
      </w:r>
    </w:p>
    <w:p>
      <w:r>
        <w:t xml:space="preserve">El ciclo se recorre en nueve pasos, del Intent al sistema en producción.</w:t>
      </w:r>
    </w:p>
    <w:p>
      <w:pPr>
        <w:spacing w:before="240" w:after="240"/>
        <w:jc w:val="center"/>
      </w:pPr>
      <w:r>
        <w:rPr>
          <w:i w:val="1"/>
          <w:iCs w:val="1"/>
          <w:color w:val="666666"/>
        </w:rPr>
        <w:t xml:space="preserve">[Figura 2 — El flujo: nueve pasos, tres fases]</w:t>
      </w:r>
    </w:p>
    <w:p>
      <w:r>
        <w:t xml:space="preserve">El recorrido empieza con un plan. La IA lee la intención de negocio y propone los pasos necesarios para llevarla a cabo; el equipo lo revisa, lo corrige y lo aprueba. Después la IA descompone cada paso en tareas más finas, bajo la misma revisión. Cada paso deja artefactos que el siguiente usa como contexto, y por eso el orden importa.</w:t>
      </w:r>
    </w:p>
    <w:p>
      <w:pPr>
        <w:pStyle w:val="Heading2"/>
      </w:pPr>
      <w:r>
        <w:t xml:space="preserve">Sistema nuevo y sistema existente</w:t>
      </w:r>
    </w:p>
    <w:p>
      <w:r>
        <w:t xml:space="preserve">Los nueve pasos son los mismos en los dos casos. La diferencia está al principio de Construction: cuando el sistema ya existe, antes de modelar el dominio hay que elevar el código a un modelo.</w:t>
      </w:r>
    </w:p>
    <w:p>
      <w:r>
        <w:t xml:space="preserve">La IA lee el código y produce dos representaciones. El modelo estático muestra los componentes del dominio, sus responsabilidades y sus relaciones. El modelo dinámico muestra cómo esos componentes interactúan para resolver los casos de uso principales. Los desarrolladores y el Product Owner revisan y corrigen ambos modelos antes de continuar; con eso resuelto, el resto del recorrido es igual al de un sistema nuevo.</w:t>
      </w:r>
    </w:p>
    <w:p>
      <w:pPr>
        <w:pStyle w:val="Heading1"/>
      </w:pPr>
      <w:r>
        <w:br w:type="page"/>
      </w:r>
      <w:r>
        <w:t xml:space="preserve">6. HERRAMIENTAS Y SKILLS</w:t>
      </w:r>
    </w:p>
    <w:p>
      <w:r>
        <w:t xml:space="preserve">El método no depende de una plataforma. Define qué capacidad hace falta en cada fase; cada proyecto la cubre con la herramienta que tenga.</w:t>
      </w:r>
    </w:p>
    <w:tbl>
      <w:tblPr>
        <w:tblStyle w:val="Table3"/>
        <w:tblW w:w="9360" w:type="dxa"/>
        <w:tblLayout w:type="fixed"/>
      </w:tblPr>
      <w:tblGrid>
        <w:gridCol w:w="1500"/>
        <w:gridCol w:w="3200"/>
        <w:gridCol w:w="3260"/>
        <w:gridCol w:w="1400"/>
      </w:tblGrid>
      <w:tr>
        <w:trPr>
          <w:tblHeader/>
        </w:trPr>
        <w:tc>
          <w:tcPr>
            <w:tcW w:w="1500" w:type="dxa"/>
          </w:tcPr>
          <w:p>
            <w:r>
              <w:rPr>
                <w:b w:val="1"/>
                <w:bCs w:val="1"/>
              </w:rPr>
              <w:t xml:space="preserve">Fase</w:t>
            </w:r>
          </w:p>
        </w:tc>
        <w:tc>
          <w:tcPr>
            <w:tcW w:w="3200" w:type="dxa"/>
          </w:tcPr>
          <w:p>
            <w:r>
              <w:rPr>
                <w:b w:val="1"/>
                <w:bCs w:val="1"/>
              </w:rPr>
              <w:t xml:space="preserve">Qué capacidad hace falta</w:t>
            </w:r>
          </w:p>
        </w:tc>
        <w:tc>
          <w:tcPr>
            <w:tcW w:w="3260" w:type="dxa"/>
          </w:tcPr>
          <w:p>
            <w:r>
              <w:rPr>
                <w:b w:val="1"/>
                <w:bCs w:val="1"/>
              </w:rPr>
              <w:t xml:space="preserve">Con qué se cubre hoy</w:t>
            </w:r>
          </w:p>
        </w:tc>
        <w:tc>
          <w:tcPr>
            <w:tcW w:w="1400" w:type="dxa"/>
          </w:tcPr>
          <w:p>
            <w:r>
              <w:rPr>
                <w:b w:val="1"/>
                <w:bCs w:val="1"/>
              </w:rPr>
              <w:t xml:space="preserve">Estado</w:t>
            </w:r>
          </w:p>
        </w:tc>
      </w:tr>
      <w:tr>
        <w:tc>
          <w:tcPr>
            <w:tcW w:w="1500" w:type="dxa"/>
          </w:tcPr>
          <w:p>
            <w:r>
              <w:t xml:space="preserve">Inception</w:t>
            </w:r>
          </w:p>
        </w:tc>
        <w:tc>
          <w:tcPr>
            <w:tcW w:w="3200" w:type="dxa"/>
          </w:tcPr>
          <w:p>
            <w:r>
              <w:t xml:space="preserve">Producir la spec en tres artefactos, cada uno con aprobación explícita</w:t>
            </w:r>
          </w:p>
        </w:tc>
        <w:tc>
          <w:tcPr>
            <w:tcW w:w="3260" w:type="dxa"/>
          </w:tcPr>
          <w:p>
            <w:r>
              <w:t xml:space="preserve">Kiro</w:t>
            </w:r>
          </w:p>
        </w:tc>
        <w:tc>
          <w:tcPr>
            <w:tcW w:w="1400" w:type="dxa"/>
          </w:tcPr>
          <w:p>
            <w:r>
              <w:t xml:space="preserve">Propuesto</w:t>
            </w:r>
          </w:p>
        </w:tc>
      </w:tr>
      <w:tr>
        <w:tc>
          <w:tcPr>
            <w:tcW w:w="1500" w:type="dxa"/>
          </w:tcPr>
          <w:p>
            <w:r>
              <w:t xml:space="preserve">Construction</w:t>
            </w:r>
          </w:p>
        </w:tc>
        <w:tc>
          <w:tcPr>
            <w:tcW w:w="3200" w:type="dxa"/>
          </w:tcPr>
          <w:p>
            <w:r>
              <w:t xml:space="preserve">Un asistente que cargue las reglas del repositorio, y una revisión con veredicto antes de integrar</w:t>
            </w:r>
          </w:p>
        </w:tc>
        <w:tc>
          <w:tcPr>
            <w:tcW w:w="3260" w:type="dxa"/>
          </w:tcPr>
          <w:p>
            <w:r>
              <w:t xml:space="preserve">Claude Code; Forge, orquestación de corridas autónomas con revisores y veredicto PASS/DENY/DENYSPEC</w:t>
            </w:r>
          </w:p>
        </w:tc>
        <w:tc>
          <w:tcPr>
            <w:tcW w:w="1400" w:type="dxa"/>
          </w:tcPr>
          <w:p>
            <w:r>
              <w:t xml:space="preserve">Real</w:t>
            </w:r>
          </w:p>
        </w:tc>
      </w:tr>
      <w:tr>
        <w:tc>
          <w:tcPr>
            <w:tcW w:w="1500" w:type="dxa"/>
          </w:tcPr>
          <w:p>
            <w:r>
              <w:t xml:space="preserve">Operations</w:t>
            </w:r>
          </w:p>
        </w:tc>
        <w:tc>
          <w:tcPr>
            <w:tcW w:w="3200" w:type="dxa"/>
          </w:tcPr>
          <w:p>
            <w:r>
              <w:t xml:space="preserve">Verificaciones automáticas en cada cambio</w:t>
            </w:r>
          </w:p>
        </w:tc>
        <w:tc>
          <w:tcPr>
            <w:tcW w:w="3260" w:type="dxa"/>
          </w:tcPr>
          <w:p>
            <w:r>
              <w:t xml:space="preserve">El CI de cada proyecto, con definiciones por stack</w:t>
            </w:r>
          </w:p>
        </w:tc>
        <w:tc>
          <w:tcPr>
            <w:tcW w:w="1400" w:type="dxa"/>
          </w:tcPr>
          <w:p>
            <w:r>
              <w:t xml:space="preserve">Real</w:t>
            </w:r>
          </w:p>
        </w:tc>
      </w:tr>
    </w:tbl>
    <w:p>
      <w:r>
        <w:t xml:space="preserve">La herramienta importa menos que lo que se le carga. Una skill es un paquete de estándares e instrucciones que la herramienta levanta sola cuando la tarea coincide, y con eso todos recorren el mismo camino sin tener que acordarse de nada.</w:t>
      </w:r>
    </w:p>
    <w:p>
      <w:r>
        <w:t xml:space="preserve">Ese mecanismo tiene un límite: funciona mientras alguien lo invoque. Por eso una regla que importa de verdad no se queda escrita, baja al CI o a un hook de git y actúa sin que nadie la llame.</w:t>
      </w:r>
    </w:p>
    <w:p>
      <w:r>
        <w:t xml:space="preserve">El resto se queda donde ya está. La metodología apunta y no duplica: cada herramienta mantiene su propia documentación.</w:t>
      </w:r>
    </w:p>
    <w:p>
      <w:pPr>
        <w:pStyle w:val="Heading1"/>
      </w:pPr>
      <w:r>
        <w:br w:type="page"/>
      </w:r>
      <w:r>
        <w:t xml:space="preserve">7. GOBERNANZA</w:t>
      </w:r>
    </w:p>
    <w:p>
      <w:r>
        <w:t xml:space="preserve">El proceso deja constancia de quién decidió qué. Esa constancia es lo que responde a un auditor o al oficial de cumplimiento de un cliente.</w:t>
      </w:r>
    </w:p>
    <w:p>
      <w:r>
        <w:t xml:space="preserve">La política de gobernanza de IA del grupo fija la regla que gobierna todo lo demás:</w:t>
      </w:r>
    </w:p>
    <w:p>
      <w:pPr>
        <w:pBdr>
          <w:left w:val="single" w:sz="18" w:space="12" w:color="2E86C1"/>
        </w:pBdr>
        <w:spacing w:before="200" w:after="200"/>
        <w:ind w:left="720" w:right="720"/>
      </w:pPr>
      <w:r>
        <w:rPr>
          <w:i w:val="1"/>
          <w:iCs w:val="1"/>
        </w:rPr>
        <w:t xml:space="preserve">Todo código generado por IA pasa revisión humana antes de integrarse. El merge lo ejecuta siempre una persona identificable.</w:t>
      </w:r>
    </w:p>
    <w:p>
      <w:r>
        <w:t xml:space="preserve">La responsabilidad de cada cambio recae siempre en una persona con nombre; ningún agente es Accountable de nada, nunca.</w:t>
      </w:r>
    </w:p>
    <w:p>
      <w:r>
        <w:t xml:space="preserve">Esa regla se sostiene sobre lo que el ciclo va dejando escrito. Los artefactos no se descartan al cerrar cada fase: la prueba lleva al código, el código al requisito y el requisito a la historia de usuario que lo originó. AWS señala esa trazabilidad de punta a punta como el requisito crítico para la revisión regulatoria, y es lo que permite reconstruir después por qué el sistema hace lo que hace.</w:t>
      </w:r>
    </w:p>
    <w:p>
      <w:r>
        <w:t xml:space="preserve">Lo que no salió bien también queda registrado. Toda escalación, incidente o sorpresa relevante produce un post-mortem corto con número correlativo. No es burocracia: sus conclusiones se convierten en cambios concretos, sea una regla, una skill o una verificación del CI.</w:t>
      </w:r>
    </w:p>
    <w:p>
      <w:pPr>
        <w:pStyle w:val="Heading1"/>
      </w:pPr>
      <w:r>
        <w:br w:type="page"/>
      </w:r>
      <w:r>
        <w:t xml:space="preserve">8. ADOPCIÓN</w:t>
      </w:r>
    </w:p>
    <w:p>
      <w:r>
        <w:t xml:space="preserve">La inducción al método es la misma para todo el equipo, sin importar el proyecto en el que esté. El método no se estudia, se practica: los rituales se aprenden ejecutándolos sobre trabajo real.</w:t>
      </w:r>
    </w:p>
    <w:p>
      <w:r>
        <w:t xml:space="preserve">La inducción tiene cuatro piezas:</w:t>
      </w:r>
    </w:p>
    <w:p>
      <w:pPr>
        <w:numPr>
          <w:ilvl w:val="0"/>
          <w:numId w:val="1"/>
        </w:numPr>
        <w:ind w:left="720" w:hanging="360"/>
      </w:pPr>
      <w:r>
        <w:rPr>
          <w:b w:val="1"/>
          <w:bCs w:val="1"/>
        </w:rPr>
        <w:t xml:space="preserve">Este documento</w:t>
      </w:r>
      <w:r>
        <w:t xml:space="preserve"> — el vocabulario, el ciclo completo y por qué el método importa.</w:t>
      </w:r>
    </w:p>
    <w:p>
      <w:pPr>
        <w:numPr>
          <w:ilvl w:val="0"/>
          <w:numId w:val="1"/>
        </w:numPr>
        <w:ind w:left="720" w:hanging="360"/>
      </w:pPr>
      <w:r>
        <w:rPr>
          <w:b w:val="1"/>
          <w:bCs w:val="1"/>
        </w:rPr>
        <w:t xml:space="preserve">Las herramientas del proyecto</w:t>
      </w:r>
      <w:r>
        <w:t xml:space="preserve"> — instaladas y configuradas, con las reglas del repositorio cargadas.</w:t>
      </w:r>
    </w:p>
    <w:p>
      <w:pPr>
        <w:numPr>
          <w:ilvl w:val="0"/>
          <w:numId w:val="1"/>
        </w:numPr>
        <w:ind w:left="720" w:hanging="360"/>
      </w:pPr>
      <w:r>
        <w:rPr>
          <w:b w:val="1"/>
          <w:bCs w:val="1"/>
        </w:rPr>
        <w:t xml:space="preserve">El flujo de un cambio</w:t>
      </w:r>
      <w:r>
        <w:t xml:space="preserve"> — un caso recorrido de principio a fin, del Intent al despliegue.</w:t>
      </w:r>
    </w:p>
    <w:p>
      <w:pPr>
        <w:numPr>
          <w:ilvl w:val="0"/>
          <w:numId w:val="1"/>
        </w:numPr>
        <w:ind w:left="720" w:hanging="360"/>
      </w:pPr>
      <w:r>
        <w:rPr>
          <w:b w:val="1"/>
          <w:bCs w:val="1"/>
        </w:rPr>
        <w:t xml:space="preserve">El primer trabajo acompañado</w:t>
      </w:r>
      <w:r>
        <w:t xml:space="preserve"> — un cambio real, no un ejercicio, junto a alguien que ya recorrió el ciclo.</w:t>
      </w:r>
    </w:p>
    <w:p>
      <w:r>
        <w:t xml:space="preserve">La inducción termina cuando ese primer cambio llega a producción.</w:t>
      </w:r>
    </w:p>
    <w:p>
      <w:pPr>
        <w:pStyle w:val="Heading1"/>
      </w:pPr>
      <w:r>
        <w:br w:type="page"/>
      </w:r>
      <w:r>
        <w:t xml:space="preserve">REFERENCIAS</w:t>
      </w:r>
    </w:p>
    <w:p>
      <w:pPr>
        <w:numPr>
          <w:ilvl w:val="0"/>
          <w:numId w:val="1"/>
        </w:numPr>
        <w:ind w:left="720" w:hanging="360"/>
      </w:pPr>
      <w:r>
        <w:t xml:space="preserve">AWS, Method Definition Paper de AI-DLC, julio de 2025: fases, artefactos, rituales y los nueve pasos del flujo.</w:t>
      </w:r>
    </w:p>
    <w:p>
      <w:pPr>
        <w:numPr>
          <w:ilvl w:val="0"/>
          <w:numId w:val="1"/>
        </w:numPr>
        <w:ind w:left="720" w:hanging="360"/>
      </w:pPr>
      <w:r>
        <w:t xml:space="preserve">AWS, blog «AI-Driven Development Life Cycle: Reimagining Software Engineering», 31 de julio de 2025.</w:t>
      </w:r>
    </w:p>
    <w:p>
      <w:pPr>
        <w:numPr>
          <w:ilvl w:val="0"/>
          <w:numId w:val="1"/>
        </w:numPr>
        <w:ind w:left="720" w:hanging="360"/>
      </w:pPr>
      <w:r>
        <w:t xml:space="preserve">AWS, blog «Building with AI-DLC using Amazon Q Developer», 29 de noviembre de 2025.</w:t>
      </w:r>
    </w:p>
    <w:p>
      <w:pPr>
        <w:numPr>
          <w:ilvl w:val="0"/>
          <w:numId w:val="1"/>
        </w:numPr>
        <w:ind w:left="720" w:hanging="360"/>
      </w:pPr>
      <w:r>
        <w:t xml:space="preserve">AWS, blog «AI-Driven Development Lifecycle for Financial Services», 26 de mayo de 2026: trazabilidad y controles en entornos regulados.</w:t>
      </w:r>
    </w:p>
    <w:p>
      <w:pPr>
        <w:numPr>
          <w:ilvl w:val="0"/>
          <w:numId w:val="1"/>
        </w:numPr>
        <w:ind w:left="720" w:hanging="360"/>
      </w:pPr>
      <w:r>
        <w:t xml:space="preserve">AWS, repositorio awslabs/aidlc-workflows, licencia MIT-0. La implementación 2.0 reorganiza el ciclo en más fases y etapas que las descritas aquí.</w:t>
      </w:r>
    </w:p>
    <w:p>
      <w:pPr>
        <w:numPr>
          <w:ilvl w:val="0"/>
          <w:numId w:val="1"/>
        </w:numPr>
        <w:ind w:left="720" w:hanging="360"/>
      </w:pPr>
      <w:r>
        <w:t xml:space="preserve">Política de gobernanza de IA del grupo, regla §13.5: revisión humana y merge humano.</w:t>
      </w:r>
    </w:p>
    <w:sectPr>
      <w:headerReference r:id="rId11" w:type="default"/>
      <w:headerReference r:id="rId12" w:type="first"/>
      <w:footerReference r:id="rId13" w:type="default"/>
      <w:footerReference r:id="rId14" w:type="first"/>
      <w:pgSz w:h="15840" w:w="12240" w:orient="portrait"/>
      <w:pgMar w:bottom="1440.0000000000002" w:top="1440.0000000000002" w:left="1440.0000000000002" w:right="1440.0000000000002" w:header="720.0000000000001" w:footer="720.0000000000001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nsolas"/>
  <w:font w:name="Poppi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Poppins Light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Open Sans SemiBold">
    <w:embedRegular w:fontKey="{00000000-0000-0000-0000-000000000000}" r:id="rId9" w:subsetted="0"/>
    <w:embedBold w:fontKey="{00000000-0000-0000-0000-000000000000}" r:id="rId10" w:subsetted="0"/>
    <w:embedItalic w:fontKey="{00000000-0000-0000-0000-000000000000}" r:id="rId11" w:subsetted="0"/>
    <w:embedBoldItalic w:fontKey="{00000000-0000-0000-0000-000000000000}" r:id="rId12" w:subsetted="0"/>
  </w:font>
  <w:font w:name="Open Sans">
    <w:embedRegular w:fontKey="{00000000-0000-0000-0000-000000000000}" r:id="rId13" w:subsetted="0"/>
    <w:embedBold w:fontKey="{00000000-0000-0000-0000-000000000000}" r:id="rId14" w:subsetted="0"/>
    <w:embedItalic w:fontKey="{00000000-0000-0000-0000-000000000000}" r:id="rId15" w:subsetted="0"/>
    <w:embedBoldItalic w:fontKey="{00000000-0000-0000-0000-000000000000}" r:id="rId1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13">
    <w:pPr>
      <w:jc w:val="right"/>
      <w:rPr>
        <w:rFonts w:ascii="Poppins" w:cs="Poppins" w:eastAsia="Poppins" w:hAnsi="Poppins"/>
        <w:b w:val="1"/>
        <w:bCs w:val="1"/>
        <w:color w:val="0084d5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-238123</wp:posOffset>
          </wp:positionH>
          <wp:positionV relativeFrom="paragraph">
            <wp:posOffset>209550</wp:posOffset>
          </wp:positionV>
          <wp:extent cx="1490663" cy="200666"/>
          <wp:effectExtent b="0" l="0" r="0" t="0"/>
          <wp:wrapNone/>
          <wp:docPr id="14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490663" cy="200666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214">
    <w:pPr>
      <w:jc w:val="right"/>
      <w:rPr>
        <w:rFonts w:ascii="Poppins" w:cs="Poppins" w:eastAsia="Poppins" w:hAnsi="Poppins"/>
        <w:b w:val="1"/>
        <w:bCs w:val="1"/>
        <w:color w:val="0084d5"/>
      </w:rPr>
    </w:pPr>
    <w:r w:rsidDel="00000000" w:rsidR="00000000" w:rsidRPr="00000000">
      <w:rPr>
        <w:rFonts w:ascii="Poppins" w:cs="Poppins" w:eastAsia="Poppins" w:hAnsi="Poppins"/>
        <w:b w:val="1"/>
        <w:bCs w:val="1"/>
        <w:color w:val="0084d5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15">
    <w:pPr>
      <w:jc w:val="right"/>
      <w:rPr>
        <w:color w:val="0084d5"/>
      </w:rPr>
    </w:pPr>
    <w:r w:rsidDel="00000000" w:rsidR="00000000" w:rsidRPr="00000000">
      <w:rPr>
        <w:rFonts w:ascii="Poppins" w:cs="Poppins" w:eastAsia="Poppins" w:hAnsi="Poppins"/>
        <w:b w:val="1"/>
        <w:bCs w:val="1"/>
        <w:color w:val="0084d5"/>
        <w:sz w:val="24"/>
        <w:szCs w:val="24"/>
        <w:rtl w:val="0"/>
      </w:rPr>
      <w:t xml:space="preserve">WWW.TXINTELLIGENCE.IO 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16">
    <w:pPr>
      <w:jc w:val="left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11">
    <w:pPr>
      <w:rPr/>
    </w:pPr>
    <w:r w:rsidDel="00000000" w:rsidR="00000000" w:rsidRPr="00000000">
      <w:rPr/>
      <w:drawing>
        <wp:anchor allowOverlap="1" behindDoc="1" distB="0" distT="0" distL="0" distR="0" hidden="0" layoutInCell="1" locked="0" relativeHeight="0" simplePos="0">
          <wp:simplePos x="0" y="0"/>
          <wp:positionH relativeFrom="margin">
            <wp:posOffset>-466722</wp:posOffset>
          </wp:positionH>
          <wp:positionV relativeFrom="margin">
            <wp:posOffset>-571498</wp:posOffset>
          </wp:positionV>
          <wp:extent cx="1338263" cy="334566"/>
          <wp:effectExtent b="0" l="0" r="0" t="0"/>
          <wp:wrapNone/>
          <wp:docPr id="13" name="image7.png"/>
          <a:graphic>
            <a:graphicData uri="http://schemas.openxmlformats.org/drawingml/2006/picture">
              <pic:pic>
                <pic:nvPicPr>
                  <pic:cNvPr id="0" name="image7.png"/>
                  <pic:cNvPicPr preferRelativeResize="0"/>
                </pic:nvPicPr>
                <pic:blipFill>
                  <a:blip r:embed="rId1"/>
                  <a:srcRect b="2941" l="0" r="0" t="2941"/>
                  <a:stretch>
                    <a:fillRect/>
                  </a:stretch>
                </pic:blipFill>
                <pic:spPr>
                  <a:xfrm>
                    <a:off x="0" y="0"/>
                    <a:ext cx="1338263" cy="334566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/>
      <w:drawing>
        <wp:anchor allowOverlap="1" behindDoc="0" distB="19050" distT="19050" distL="19050" distR="19050" hidden="0" layoutInCell="1" locked="0" relativeHeight="0" simplePos="0">
          <wp:simplePos x="0" y="0"/>
          <wp:positionH relativeFrom="page">
            <wp:posOffset>4067175</wp:posOffset>
          </wp:positionH>
          <wp:positionV relativeFrom="page">
            <wp:posOffset>533400</wp:posOffset>
          </wp:positionV>
          <wp:extent cx="3841024" cy="50775"/>
          <wp:effectExtent b="0" l="0" r="0" t="0"/>
          <wp:wrapNone/>
          <wp:docPr id="12" name="image4.png"/>
          <a:graphic>
            <a:graphicData uri="http://schemas.openxmlformats.org/drawingml/2006/picture">
              <pic:pic>
                <pic:nvPicPr>
                  <pic:cNvPr id="0" name="image4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3841024" cy="50775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  <w:t xml:space="preserve"> </w:t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12">
    <w:pPr>
      <w:spacing w:line="240" w:lineRule="auto"/>
      <w:ind w:right="-702.9921259842507"/>
      <w:jc w:val="right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1440" w:hanging="360"/>
      </w:pPr>
      <w:rPr>
        <w:rFonts w:ascii="Arial" w:cs="Arial" w:eastAsia="Arial" w:hAnsi="Arial"/>
        <w:b w:val="1"/>
        <w:bCs w:val="1"/>
        <w:color w:val="fcc743"/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1">
    <w:basedOn w:val="TableNormal"/>
    <w:tblPr>
      <w:tblStyleRowBandSize w:val="1"/>
      <w:tblStyleColBandSize w:val="1"/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eader" Target="header1.xml"/><Relationship Id="rId10" Type="http://schemas.openxmlformats.org/officeDocument/2006/relationships/image" Target="media/image1.png"/><Relationship Id="rId13" Type="http://schemas.openxmlformats.org/officeDocument/2006/relationships/footer" Target="footer1.xml"/><Relationship Id="rId12" Type="http://schemas.openxmlformats.org/officeDocument/2006/relationships/header" Target="header2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4" Type="http://schemas.openxmlformats.org/officeDocument/2006/relationships/footer" Target="footer2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_rels/fontTable.xml.rels><?xml version="1.0" encoding="UTF-8" standalone="yes"?><Relationships xmlns="http://schemas.openxmlformats.org/package/2006/relationships"><Relationship Id="rId11" Type="http://schemas.openxmlformats.org/officeDocument/2006/relationships/font" Target="fonts/OpenSansSemiBold-italic.ttf"/><Relationship Id="rId10" Type="http://schemas.openxmlformats.org/officeDocument/2006/relationships/font" Target="fonts/OpenSansSemiBold-bold.ttf"/><Relationship Id="rId13" Type="http://schemas.openxmlformats.org/officeDocument/2006/relationships/font" Target="fonts/OpenSans-regular.ttf"/><Relationship Id="rId12" Type="http://schemas.openxmlformats.org/officeDocument/2006/relationships/font" Target="fonts/OpenSansSemiBold-boldItalic.ttf"/><Relationship Id="rId1" Type="http://schemas.openxmlformats.org/officeDocument/2006/relationships/font" Target="fonts/Poppins-regular.ttf"/><Relationship Id="rId2" Type="http://schemas.openxmlformats.org/officeDocument/2006/relationships/font" Target="fonts/Poppins-bold.ttf"/><Relationship Id="rId3" Type="http://schemas.openxmlformats.org/officeDocument/2006/relationships/font" Target="fonts/Poppins-italic.ttf"/><Relationship Id="rId4" Type="http://schemas.openxmlformats.org/officeDocument/2006/relationships/font" Target="fonts/Poppins-boldItalic.ttf"/><Relationship Id="rId9" Type="http://schemas.openxmlformats.org/officeDocument/2006/relationships/font" Target="fonts/OpenSansSemiBold-regular.ttf"/><Relationship Id="rId15" Type="http://schemas.openxmlformats.org/officeDocument/2006/relationships/font" Target="fonts/OpenSans-italic.ttf"/><Relationship Id="rId14" Type="http://schemas.openxmlformats.org/officeDocument/2006/relationships/font" Target="fonts/OpenSans-bold.ttf"/><Relationship Id="rId16" Type="http://schemas.openxmlformats.org/officeDocument/2006/relationships/font" Target="fonts/OpenSans-boldItalic.ttf"/><Relationship Id="rId5" Type="http://schemas.openxmlformats.org/officeDocument/2006/relationships/font" Target="fonts/PoppinsLight-regular.ttf"/><Relationship Id="rId6" Type="http://schemas.openxmlformats.org/officeDocument/2006/relationships/font" Target="fonts/PoppinsLight-bold.ttf"/><Relationship Id="rId7" Type="http://schemas.openxmlformats.org/officeDocument/2006/relationships/font" Target="fonts/PoppinsLight-italic.ttf"/><Relationship Id="rId8" Type="http://schemas.openxmlformats.org/officeDocument/2006/relationships/font" Target="fonts/PoppinsLight-boldItalic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7.png"/><Relationship Id="rId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C/eYDUSUd8ySqZlp6N4Glou053Q==">CgMxLjAyDmguaWxlbXpxcnkwdnl2OAByITF2RTFyZjZCMy11SDVFdTczSG5fbmx0cmtlSnBvaEhBNw==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