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4589563</wp:posOffset>
            </wp:positionH>
            <wp:positionV relativeFrom="page">
              <wp:posOffset>1002910</wp:posOffset>
            </wp:positionV>
            <wp:extent cx="2535137" cy="802077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137" cy="802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-1290635</wp:posOffset>
            </wp:positionH>
            <wp:positionV relativeFrom="page">
              <wp:posOffset>839410</wp:posOffset>
            </wp:positionV>
            <wp:extent cx="4816665" cy="4716318"/>
            <wp:effectExtent b="775487" l="750752" r="750752" t="775487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439456">
                      <a:off x="0" y="0"/>
                      <a:ext cx="4816665" cy="4716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-168502</wp:posOffset>
            </wp:positionH>
            <wp:positionV relativeFrom="page">
              <wp:posOffset>2566988</wp:posOffset>
            </wp:positionV>
            <wp:extent cx="6959830" cy="3121981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830" cy="3121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447675</wp:posOffset>
            </wp:positionH>
            <wp:positionV relativeFrom="page">
              <wp:posOffset>9144000</wp:posOffset>
            </wp:positionV>
            <wp:extent cx="1394299" cy="163375"/>
            <wp:effectExtent b="0" l="0" r="0" t="0"/>
            <wp:wrapNone/>
            <wp:docPr descr="Recurso 3.png" id="11" name="image1.png"/>
            <a:graphic>
              <a:graphicData uri="http://schemas.openxmlformats.org/drawingml/2006/picture">
                <pic:pic>
                  <pic:nvPicPr>
                    <pic:cNvPr descr="Recurso 3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299" cy="16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80.0" w:type="dxa"/>
        <w:jc w:val="left"/>
        <w:tblInd w:w="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"/>
        <w:gridCol w:w="9540"/>
        <w:tblGridChange w:id="0">
          <w:tblGrid>
            <w:gridCol w:w="240"/>
            <w:gridCol w:w="9540"/>
          </w:tblGrid>
        </w:tblGridChange>
      </w:tblGrid>
      <w:tr>
        <w:trPr>
          <w:cantSplit w:val="0"/>
          <w:trHeight w:val="3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d68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fcc7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ind w:left="425.19685039370086" w:firstLine="0"/>
              <w:rPr>
                <w:rFonts w:ascii="Open Sans" w:cs="Open Sans" w:eastAsia="Open Sans" w:hAnsi="Open Sans"/>
                <w:color w:val="0084d5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84d5"/>
                <w:sz w:val="52"/>
                <w:szCs w:val="52"/>
                <w:rtl w:val="0"/>
              </w:rPr>
              <w:t xml:space="preserve">Metodología AI-DLC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Subtitle"/>
              <w:spacing w:after="0" w:line="240" w:lineRule="auto"/>
              <w:ind w:left="425.19685039370086" w:firstLine="0"/>
              <w:rPr>
                <w:rFonts w:ascii="Open Sans" w:cs="Open Sans" w:eastAsia="Open Sans" w:hAnsi="Open Sans"/>
                <w:color w:val="0084d5"/>
                <w:sz w:val="28"/>
                <w:szCs w:val="28"/>
              </w:rPr>
            </w:pPr>
            <w:bookmarkStart w:colFirst="0" w:colLast="0" w:name="_heading=h.ilemzqry0vyv" w:id="0"/>
            <w:bookmarkEnd w:id="0"/>
            <w:r w:rsidDel="00000000" w:rsidR="00000000" w:rsidRPr="00000000">
              <w:rPr>
                <w:rFonts w:ascii="Open Sans" w:cs="Open Sans" w:eastAsia="Open Sans" w:hAnsi="Open Sans"/>
                <w:color w:val="0084d5"/>
                <w:sz w:val="28"/>
                <w:szCs w:val="28"/>
                <w:rtl w:val="0"/>
              </w:rPr>
              <w:t xml:space="preserve">Cómo construimos software con IA generativa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color w:val="0084d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425.19685039370086" w:firstLine="0"/>
              <w:jc w:val="both"/>
              <w:rPr>
                <w:rFonts w:ascii="Open Sans" w:cs="Open Sans" w:eastAsia="Open Sans" w:hAnsi="Open Sans"/>
                <w:color w:val="0084d5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84d5"/>
                <w:sz w:val="20"/>
                <w:szCs w:val="20"/>
                <w:rtl w:val="0"/>
              </w:rPr>
              <w:t xml:space="preserve">Elaborado por: Equipo de IA Generativa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425.19685039370086" w:firstLine="0"/>
              <w:jc w:val="both"/>
              <w:rPr>
                <w:rFonts w:ascii="Open Sans" w:cs="Open Sans" w:eastAsia="Open Sans" w:hAnsi="Open Sans"/>
                <w:color w:val="0084d5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84d5"/>
                <w:sz w:val="20"/>
                <w:szCs w:val="20"/>
                <w:rtl w:val="0"/>
              </w:rPr>
              <w:t xml:space="preserve">Fecha: 14 de agosto de 2026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left="425.19685039370086" w:firstLine="0"/>
              <w:jc w:val="both"/>
              <w:rPr>
                <w:rFonts w:ascii="Open Sans SemiBold" w:cs="Open Sans SemiBold" w:eastAsia="Open Sans SemiBold" w:hAnsi="Open Sans SemiBold"/>
                <w:color w:val="0084d5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84d5"/>
                <w:sz w:val="20"/>
                <w:szCs w:val="20"/>
                <w:rtl w:val="0"/>
              </w:rPr>
              <w:t xml:space="preserve">Versión del documento: 1.0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METODOLOGÍA AI-DLC</w:t>
      </w:r>
    </w:p>
    <w:p>
      <w:pPr>
        <w:pStyle w:val="Subtitle"/>
        <w:spacing w:after="320" w:before="0" w:lineRule="auto"/>
        <w:ind w:left="720" w:firstLine="0"/>
        <w:jc w:val="left"/>
        <w:rPr/>
      </w:pPr>
      <w:r>
        <w:rPr>
          <w:rFonts w:ascii="Open Sans" w:cs="Open Sans" w:eastAsia="Open Sans" w:hAnsi="Open Sans"/>
          <w:color w:val="666666"/>
          <w:sz w:val="26"/>
          <w:szCs w:val="26"/>
          <w:rtl w:val="0"/>
        </w:rPr>
        <w:t xml:space="preserve">Cómo construimos software con IA generativa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AI-DLC es la metodología de AWS para construir software con IA generativa, publicada en julio de 2025. El proceso coloca a la IA en el centro del desarrollo: en cada actividad, la IA analiza el contexto, propone un plan y pregunta lo que no sabe. El equipo corrige y aprueba; con esa aprobación, la IA implementa.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Este documento describe cómo el equipo de IA Generativa aplica el método: qué trabajo entra al ciclo, con qué artefactos se trabaja, cómo se ordenan las fases, qué recorre un cambio y qué evidencia queda al final.</w:t>
      </w:r>
    </w:p>
    <w:p>
      <w:pPr>
        <w:pStyle w:val="Heading2"/>
        <w:spacing w:after="120" w:before="360" w:lineRule="auto"/>
        <w:ind w:left="720" w:firstLine="0"/>
        <w:jc w:val="left"/>
        <w:rPr>
          <w:sz w:val="28"/>
          <w:szCs w:val="28"/>
        </w:rPr>
      </w:pPr>
      <w:r>
        <w:rPr>
          <w:rFonts w:ascii="Open Sans SemiBold" w:cs="Open Sans SemiBold" w:eastAsia="Open Sans SemiBold" w:hAnsi="Open Sans SemiBold"/>
          <w:color w:val="282d68"/>
          <w:sz w:val="28"/>
          <w:szCs w:val="28"/>
          <w:rtl w:val="0"/>
        </w:rPr>
        <w:t xml:space="preserve">Contenido</w:t>
      </w:r>
    </w:p>
    <w:tbl>
      <w:tblPr>
        <w:tblStyle w:val="Table2"/>
        <w:tblW w:w="9360" w:type="dxa"/>
        <w:jc w:val="left"/>
        <w:tblInd w:w="72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800"/>
        <w:gridCol w:w="6560"/>
      </w:tblGrid>
      <w:tr>
        <w:trPr>
          <w:cantSplit w:val="0"/>
          <w:tblHeader w:val="1"/>
        </w:trPr>
        <w:tc>
          <w:tcPr>
            <w:tcW w:w="280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Sección</w:t>
            </w:r>
          </w:p>
        </w:tc>
        <w:tc>
          <w:tcPr>
            <w:tcW w:w="656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Contenido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1. El método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Qué es AI-DLC y en qué se apoya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2. Alcance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Qué trabajo recorre el ciclo completo y qué queda fuera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3. Artefactos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Las seis piezas con las que trabaja el método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4. Fases y rituales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Cómo se ordena el trabajo y cómo trabaja el equipo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5. El flujo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Los nueve pasos, del Intent al despliegue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6. Herramientas y skills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Qué capacidad cubre cada fase y con qué se resuelve hoy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7. Gobernanza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Qué controla el proceso y qué evidencia queda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8. Adopción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Cómo se incorpora el equipo al método</w:t>
            </w:r>
          </w:p>
        </w:tc>
      </w:tr>
      <w:tr>
        <w:trPr>
          <w:cantSplit w:val="0"/>
        </w:trPr>
        <w:tc>
          <w:tcPr>
            <w:tcW w:w="28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Referencias</w:t>
            </w:r>
          </w:p>
        </w:tc>
        <w:tc>
          <w:tcPr>
            <w:tcW w:w="65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Fuentes del método y políticas aplicables</w:t>
            </w:r>
          </w:p>
        </w:tc>
      </w:tr>
    </w:tbl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1. EL MÉTODO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AI-DLC es la metodología de AWS para construir software con IA generativa, publicada en julio de 2025. El proceso coloca a la IA en el centro del desarrollo: en cada actividad, la IA analiza el contexto, propone un plan y pregunta lo que no sabe. El equipo corrige y aprueba; con esa aprobación, la IA implementa. El mismo ciclo gobierna los requisitos, el diseño, el código, las pruebas y el despliegue.</w:t>
      </w:r>
    </w:p>
    <w:p>
      <w:pPr>
        <w:spacing w:after="80" w:before="240" w:lineRule="auto"/>
        <w:ind w:left="720" w:firstLine="0"/>
        <w:jc w:val="center"/>
        <w:rPr/>
      </w:pPr>
      <w:r>
        <w:rPr>
          <w:rtl w:val="0"/>
        </w:rPr>
        <w:drawing>
          <wp:inline distB="0" distT="0" distL="0" distR="0">
            <wp:extent cx="5120640" cy="3929793"/>
            <wp:effectExtent b="0" l="0" r="0" t="0"/>
            <wp:docPr id="4337" name="figura1.png"/>
            <a:graphic>
              <a:graphicData uri="http://schemas.openxmlformats.org/drawingml/2006/picture">
                <pic:pic>
                  <pic:nvPicPr>
                    <pic:cNvPr id="0" name="figura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Rule="auto"/>
        <w:ind w:left="720" w:firstLine="0"/>
        <w:jc w:val="center"/>
        <w:rPr/>
      </w:pPr>
      <w:r>
        <w:rPr>
          <w:rFonts w:ascii="Open Sans" w:cs="Open Sans" w:eastAsia="Open Sans" w:hAnsi="Open Sans"/>
          <w:i w:val="1"/>
          <w:iCs w:val="1"/>
          <w:color w:val="666666"/>
          <w:sz w:val="18"/>
          <w:szCs w:val="18"/>
          <w:rtl w:val="0"/>
        </w:rPr>
        <w:t xml:space="preserve">Figura 1. La IA propone, el equipo decide.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método nace de un límite que a menudo afecta al equipo de desarrollo: el asistente que autocompleta hace tareas sueltas sin contexto del sistema, y la IA que construye sola entrega software que nadie puede defender ante un cliente. AI-DLC evita los dos extremos: la IA hace el trabajo, una persona toma cada decisión.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2. ALCANCE: CUÁNDO APLICA Y CUÁNDO NO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ciclo completo está pensado para sistemas con complejidad de arquitectura, decisiones de diseño que negociar y exigencias de escala, integración o cumplimiento. El trabajo simple no lo necesita.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alcance se decide por cambio, no por proyecto. Un cambio recorre el ciclo completo si cumple al menos una de estas condiciones: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cambia un flujo de negocio;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toca más de un componente;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lleva más de dos días de trabajo;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automatiza una decisión que afecta a una persona.</w:t>
      </w:r>
    </w:p>
    <w:p>
      <w:pPr>
        <w:spacing w:after="0" w:before="0"/>
        <w:ind w:left="720" w:firstLine="0"/>
        <w:rPr/>
      </w:pP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Si no cumple ninguna, entra directo a la construcción con el ticket como única especificación.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3. ARTEFACTOS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Un artefacto es una pieza concreta del ciclo: algo que se define, se aprueba y queda registrado. Son seis. Tres organizan el trabajo y tres son el producto de la construcción.</w:t>
      </w:r>
    </w:p>
    <w:p>
      <w:pPr>
        <w:pStyle w:val="Heading2"/>
        <w:spacing w:after="120" w:before="360" w:lineRule="auto"/>
        <w:ind w:left="720" w:firstLine="0"/>
        <w:jc w:val="left"/>
        <w:rPr>
          <w:sz w:val="28"/>
          <w:szCs w:val="28"/>
        </w:rPr>
      </w:pPr>
      <w:r>
        <w:rPr>
          <w:rFonts w:ascii="Open Sans SemiBold" w:cs="Open Sans SemiBold" w:eastAsia="Open Sans SemiBold" w:hAnsi="Open Sans SemiBold"/>
          <w:color w:val="282d68"/>
          <w:sz w:val="28"/>
          <w:szCs w:val="28"/>
          <w:rtl w:val="0"/>
        </w:rPr>
        <w:t xml:space="preserve">Los que organizan el trabajo</w:t>
      </w:r>
    </w:p>
    <w:tbl>
      <w:tblPr>
        <w:tblStyle w:val="Table2"/>
        <w:tblW w:w="9360" w:type="dxa"/>
        <w:jc w:val="left"/>
        <w:tblInd w:w="72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200"/>
        <w:gridCol w:w="7160"/>
      </w:tblGrid>
      <w:tr>
        <w:trPr>
          <w:cantSplit w:val="0"/>
          <w:tblHeader w:val="1"/>
        </w:trPr>
        <w:tc>
          <w:tcPr>
            <w:tcW w:w="220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Artefacto</w:t>
            </w:r>
          </w:p>
        </w:tc>
        <w:tc>
          <w:tcPr>
            <w:tcW w:w="716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Qué es</w:t>
            </w:r>
          </w:p>
        </w:tc>
      </w:tr>
      <w:tr>
        <w:trPr>
          <w:cantSplit w:val="0"/>
        </w:trPr>
        <w:tc>
          <w:tcPr>
            <w:tcW w:w="22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Intent</w:t>
            </w:r>
          </w:p>
        </w:tc>
        <w:tc>
          <w:tcPr>
            <w:tcW w:w="71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Lo que se quiere lograr, dicho en términos de negocio. El equipo define el destino y la IA propone el camino.</w:t>
            </w:r>
          </w:p>
        </w:tc>
      </w:tr>
      <w:tr>
        <w:trPr>
          <w:cantSplit w:val="0"/>
        </w:trPr>
        <w:tc>
          <w:tcPr>
            <w:tcW w:w="22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Unit</w:t>
            </w:r>
          </w:p>
        </w:tc>
        <w:tc>
          <w:tcPr>
            <w:tcW w:w="71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Una parte del sistema que se construye y se entrega por sí sola. Un Intent se descompone en Units; equivalen a los subdominios del diseño guiado por el dominio o a las épicas de Scrum.</w:t>
            </w:r>
          </w:p>
        </w:tc>
      </w:tr>
      <w:tr>
        <w:trPr>
          <w:cantSplit w:val="0"/>
        </w:trPr>
        <w:tc>
          <w:tcPr>
            <w:tcW w:w="22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Bolt</w:t>
            </w:r>
          </w:p>
        </w:tc>
        <w:tc>
          <w:tcPr>
            <w:tcW w:w="71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El ciclo en que se construye un Unit. Es lo que en Scrum era el sprint, pero de horas o días en lugar de semanas. Un Unit puede necesitar varios Bolts.</w:t>
            </w:r>
          </w:p>
        </w:tc>
      </w:tr>
    </w:tbl>
    <w:p>
      <w:pPr>
        <w:pStyle w:val="Heading2"/>
        <w:spacing w:after="120" w:before="360" w:lineRule="auto"/>
        <w:ind w:left="720" w:firstLine="0"/>
        <w:jc w:val="left"/>
        <w:rPr>
          <w:sz w:val="28"/>
          <w:szCs w:val="28"/>
        </w:rPr>
      </w:pPr>
      <w:r>
        <w:rPr>
          <w:rFonts w:ascii="Open Sans SemiBold" w:cs="Open Sans SemiBold" w:eastAsia="Open Sans SemiBold" w:hAnsi="Open Sans SemiBold"/>
          <w:color w:val="282d68"/>
          <w:sz w:val="28"/>
          <w:szCs w:val="28"/>
          <w:rtl w:val="0"/>
        </w:rPr>
        <w:t xml:space="preserve">Los que produce la construcción</w:t>
      </w:r>
    </w:p>
    <w:tbl>
      <w:tblPr>
        <w:tblStyle w:val="Table2"/>
        <w:tblW w:w="9360" w:type="dxa"/>
        <w:jc w:val="left"/>
        <w:tblInd w:w="72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200"/>
        <w:gridCol w:w="7160"/>
      </w:tblGrid>
      <w:tr>
        <w:trPr>
          <w:cantSplit w:val="0"/>
          <w:tblHeader w:val="1"/>
        </w:trPr>
        <w:tc>
          <w:tcPr>
            <w:tcW w:w="220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Artefacto</w:t>
            </w:r>
          </w:p>
        </w:tc>
        <w:tc>
          <w:tcPr>
            <w:tcW w:w="716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Qué es</w:t>
            </w:r>
          </w:p>
        </w:tc>
      </w:tr>
      <w:tr>
        <w:trPr>
          <w:cantSplit w:val="0"/>
        </w:trPr>
        <w:tc>
          <w:tcPr>
            <w:tcW w:w="22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Domain Design</w:t>
            </w:r>
          </w:p>
        </w:tc>
        <w:tc>
          <w:tcPr>
            <w:tcW w:w="71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La lógica de negocio de un Unit, sin decidir todavía la tecnología. La IA modela con diseño guiado por el dominio: agregados, entidades, objetos de valor, eventos, repositorios.</w:t>
            </w:r>
          </w:p>
        </w:tc>
      </w:tr>
      <w:tr>
        <w:trPr>
          <w:cantSplit w:val="0"/>
        </w:trPr>
        <w:tc>
          <w:tcPr>
            <w:tcW w:w="22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Logical Design</w:t>
            </w:r>
          </w:p>
        </w:tc>
        <w:tc>
          <w:tcPr>
            <w:tcW w:w="71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El mismo diseño, ya resuelto para los requisitos no funcionales y con los patrones de arquitectura que correspondan. Cada decisión queda registrada en un ADR que una persona valida.</w:t>
            </w:r>
          </w:p>
        </w:tc>
      </w:tr>
      <w:tr>
        <w:trPr>
          <w:cantSplit w:val="0"/>
        </w:trPr>
        <w:tc>
          <w:tcPr>
            <w:tcW w:w="22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Deployment Units</w:t>
            </w:r>
          </w:p>
        </w:tc>
        <w:tc>
          <w:tcPr>
            <w:tcW w:w="71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El paquete listo para desplegar: el código ejecutable, su configuración y su infraestructura.</w:t>
            </w:r>
          </w:p>
        </w:tc>
      </w:tr>
    </w:tbl>
    <w:p>
      <w:pPr>
        <w:spacing w:after="0" w:before="0"/>
        <w:ind w:left="720" w:firstLine="0"/>
        <w:rPr/>
      </w:pP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Un requisito no funcional describe qué tan bien hace el sistema lo que hace: cuánto tarda, cuánto aguanta, qué registra, qué protege.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Ninguno de los seis se descarta al cerrar la fase. Todos quedan guardados y la IA los usa como memoria de contexto durante el resto del ciclo: el diseño recuerda lo que se decidió en los requisitos, y el despliegue recuerda lo que se decidió en el diseño.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4. FASES Y RITUALES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metodología ordena el trabajo en tres fases y define cómo trabaja el equipo dentro de cada una. Los rituales son esas sesiones de trabajo: el equipo revisa en vivo lo que la IA propuso y decide sobre la marcha.</w:t>
      </w:r>
    </w:p>
    <w:p>
      <w:pPr>
        <w:spacing w:after="80" w:before="240" w:lineRule="auto"/>
        <w:ind w:left="720" w:firstLine="0"/>
        <w:jc w:val="center"/>
        <w:rPr/>
      </w:pPr>
      <w:r>
        <w:rPr>
          <w:rtl w:val="0"/>
        </w:rPr>
        <w:drawing>
          <wp:inline distB="0" distT="0" distL="0" distR="0">
            <wp:extent cx="4937760" cy="4018149"/>
            <wp:effectExtent b="0" l="0" r="0" t="0"/>
            <wp:docPr id="8727" name="figura3.png"/>
            <a:graphic>
              <a:graphicData uri="http://schemas.openxmlformats.org/drawingml/2006/picture">
                <pic:pic>
                  <pic:nvPicPr>
                    <pic:cNvPr id="0" name="figura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1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Rule="auto"/>
        <w:ind w:left="720" w:firstLine="0"/>
        <w:jc w:val="center"/>
        <w:rPr/>
      </w:pPr>
      <w:r>
        <w:rPr>
          <w:rFonts w:ascii="Open Sans" w:cs="Open Sans" w:eastAsia="Open Sans" w:hAnsi="Open Sans"/>
          <w:i w:val="1"/>
          <w:iCs w:val="1"/>
          <w:color w:val="666666"/>
          <w:sz w:val="18"/>
          <w:szCs w:val="18"/>
          <w:rtl w:val="0"/>
        </w:rPr>
        <w:t xml:space="preserve">Figura 2. El ciclo completo: roles, fases y artefactos.</w:t>
      </w:r>
    </w:p>
    <w:p>
      <w:pPr>
        <w:pStyle w:val="Heading3"/>
        <w:spacing w:after="80" w:before="280" w:lineRule="auto"/>
        <w:ind w:left="720" w:firstLine="0"/>
        <w:jc w:val="left"/>
        <w:rPr/>
      </w:pPr>
      <w:r>
        <w:rPr>
          <w:rFonts w:ascii="Open Sans SemiBold" w:cs="Open Sans SemiBold" w:eastAsia="Open Sans SemiBold" w:hAnsi="Open Sans SemiBold"/>
          <w:color w:val="0084d5"/>
          <w:sz w:val="22"/>
          <w:szCs w:val="22"/>
          <w:rtl w:val="0"/>
        </w:rPr>
        <w:t xml:space="preserve">Inception: qué construir y por qué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IA propone las historias de usuario, los criterios de aceptación, los requisitos no funcionales, los riesgos y la descomposición del Intent en Units. El equipo revisa esa propuesta en vivo y corrige lo que está sobre-diseñado o lo que quedó corto. Ese ritual es la Mob Elaboration, y en él participan el Product Owner, los desarrolladores y la IA. La fase cierra con los Units aprobados y los Bolts sugeridos para construirlos.</w:t>
      </w:r>
    </w:p>
    <w:p>
      <w:pPr>
        <w:pStyle w:val="Heading3"/>
        <w:spacing w:after="80" w:before="280" w:lineRule="auto"/>
        <w:ind w:left="720" w:firstLine="0"/>
        <w:jc w:val="left"/>
        <w:rPr/>
      </w:pPr>
      <w:r>
        <w:rPr>
          <w:rFonts w:ascii="Open Sans SemiBold" w:cs="Open Sans SemiBold" w:eastAsia="Open Sans SemiBold" w:hAnsi="Open Sans SemiBold"/>
          <w:color w:val="0084d5"/>
          <w:sz w:val="22"/>
          <w:szCs w:val="22"/>
          <w:rtl w:val="0"/>
        </w:rPr>
        <w:t xml:space="preserve">Construction: cómo construirlo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Cada Unit se construye en uno o más Bolts. La IA modela el dominio, resuelve los requisitos no funcionales y genera el código con sus pruebas. Los equipos intercambian las especificaciones de integración y deciden los patrones de arquitectura: es la Mob Construction. Para validar el resultado contra lo que se pidió, el Product Owner vuelve a la mesa en la Mob Testing. La fase cierra con Deployment Units probados.</w:t>
      </w:r>
    </w:p>
    <w:p>
      <w:pPr>
        <w:pStyle w:val="Heading3"/>
        <w:spacing w:after="80" w:before="280" w:lineRule="auto"/>
        <w:ind w:left="720" w:firstLine="0"/>
        <w:jc w:val="left"/>
        <w:rPr/>
      </w:pPr>
      <w:r>
        <w:rPr>
          <w:rFonts w:ascii="Open Sans SemiBold" w:cs="Open Sans SemiBold" w:eastAsia="Open Sans SemiBold" w:hAnsi="Open Sans SemiBold"/>
          <w:color w:val="0084d5"/>
          <w:sz w:val="22"/>
          <w:szCs w:val="22"/>
          <w:rtl w:val="0"/>
        </w:rPr>
        <w:t xml:space="preserve">Operations: mantenerlo vivo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Despliegue, observabilidad e incidentes, con la IA analizando métricas, registros y trazas para anticipar anomalías. No tiene un ritual propio.</w:t>
      </w:r>
    </w:p>
    <w:p>
      <w:pPr>
        <w:pStyle w:val="Heading3"/>
        <w:spacing w:after="80" w:before="280" w:lineRule="auto"/>
        <w:ind w:left="720" w:firstLine="0"/>
        <w:jc w:val="left"/>
        <w:rPr/>
      </w:pPr>
      <w:r>
        <w:rPr>
          <w:rFonts w:ascii="Open Sans SemiBold" w:cs="Open Sans SemiBold" w:eastAsia="Open Sans SemiBold" w:hAnsi="Open Sans SemiBold"/>
          <w:color w:val="0084d5"/>
          <w:sz w:val="22"/>
          <w:szCs w:val="22"/>
          <w:rtl w:val="0"/>
        </w:rPr>
        <w:t xml:space="preserve">Los puntos de validación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Ninguna fase avanza sola. En cada paso la IA presenta su propuesta y espera; el trabajo continúa cuando una persona la aprueba.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5. EL FLUJO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ciclo se recorre en nueve pasos, del Intent al sistema en producción.</w:t>
      </w:r>
    </w:p>
    <w:p>
      <w:pPr>
        <w:spacing w:after="80" w:before="240" w:lineRule="auto"/>
        <w:ind w:left="720" w:firstLine="0"/>
        <w:jc w:val="center"/>
        <w:rPr/>
      </w:pPr>
      <w:r>
        <w:rPr>
          <w:rtl w:val="0"/>
        </w:rPr>
        <w:drawing>
          <wp:inline distB="0" distT="0" distL="0" distR="0">
            <wp:extent cx="5120640" cy="4210304"/>
            <wp:effectExtent b="0" l="0" r="0" t="0"/>
            <wp:docPr id="4834" name="figura2.png"/>
            <a:graphic>
              <a:graphicData uri="http://schemas.openxmlformats.org/drawingml/2006/picture">
                <pic:pic>
                  <pic:nvPicPr>
                    <pic:cNvPr id="0" name="figura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Rule="auto"/>
        <w:ind w:left="720" w:firstLine="0"/>
        <w:jc w:val="center"/>
        <w:rPr/>
      </w:pPr>
      <w:r>
        <w:rPr>
          <w:rFonts w:ascii="Open Sans" w:cs="Open Sans" w:eastAsia="Open Sans" w:hAnsi="Open Sans"/>
          <w:i w:val="1"/>
          <w:iCs w:val="1"/>
          <w:color w:val="666666"/>
          <w:sz w:val="18"/>
          <w:szCs w:val="18"/>
          <w:rtl w:val="0"/>
        </w:rPr>
        <w:t xml:space="preserve">Figura 3. Los nueve pasos, agrupados en las tres fases.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recorrido empieza con un plan. La IA lee la intención de negocio y propone los pasos necesarios para llevarla a cabo; el equipo lo revisa, lo corrige y lo aprueba. Después la IA descompone cada paso en tareas más finas, bajo la misma revisión. Cada paso deja artefactos que el siguiente usa como contexto, y por eso el orden importa.</w:t>
      </w:r>
    </w:p>
    <w:p>
      <w:pPr>
        <w:pStyle w:val="Heading2"/>
        <w:spacing w:after="120" w:before="360" w:lineRule="auto"/>
        <w:ind w:left="720" w:firstLine="0"/>
        <w:jc w:val="left"/>
        <w:rPr>
          <w:sz w:val="28"/>
          <w:szCs w:val="28"/>
        </w:rPr>
      </w:pPr>
      <w:r>
        <w:rPr>
          <w:rFonts w:ascii="Open Sans SemiBold" w:cs="Open Sans SemiBold" w:eastAsia="Open Sans SemiBold" w:hAnsi="Open Sans SemiBold"/>
          <w:color w:val="282d68"/>
          <w:sz w:val="28"/>
          <w:szCs w:val="28"/>
          <w:rtl w:val="0"/>
        </w:rPr>
        <w:t xml:space="preserve">Sistema nuevo y sistema existente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Los nueve pasos son los mismos en los dos casos. La diferencia está al principio de Construction: cuando el sistema ya existe, antes de modelar el dominio hay que elevar el código a un modelo.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IA lee el código y produce dos representaciones. El modelo estático muestra los componentes del dominio, sus responsabilidades y sus relaciones. El modelo dinámico muestra cómo esos componentes interactúan para resolver los casos de uso principales. Los desarrolladores y el Product Owner revisan y corrigen ambos modelos antes de continuar; con eso resuelto, el resto del recorrido es igual al de un sistema nuevo.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6. HERRAMIENTAS Y SKILLS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método no depende de una plataforma. Define qué capacidad hace falta en cada fase; cada proyecto la cubre con la herramienta que tenga.</w:t>
      </w:r>
    </w:p>
    <w:tbl>
      <w:tblPr>
        <w:tblStyle w:val="Table2"/>
        <w:tblW w:w="9360" w:type="dxa"/>
        <w:jc w:val="left"/>
        <w:tblInd w:w="72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400"/>
        <w:gridCol w:w="3100"/>
        <w:gridCol w:w="3460"/>
        <w:gridCol w:w="1400"/>
      </w:tblGrid>
      <w:tr>
        <w:trPr>
          <w:cantSplit w:val="0"/>
          <w:tblHeader w:val="1"/>
        </w:trPr>
        <w:tc>
          <w:tcPr>
            <w:tcW w:w="140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Fase</w:t>
            </w:r>
          </w:p>
        </w:tc>
        <w:tc>
          <w:tcPr>
            <w:tcW w:w="310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Qué capacidad hace falta</w:t>
            </w:r>
          </w:p>
        </w:tc>
        <w:tc>
          <w:tcPr>
            <w:tcW w:w="346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Con qué se cubre hoy</w:t>
            </w:r>
          </w:p>
        </w:tc>
        <w:tc>
          <w:tcPr>
            <w:tcW w:w="1400" w:type="dxa"/>
            <w:shd w:fill="282d68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 SemiBold" w:cs="Open Sans SemiBold" w:eastAsia="Open Sans SemiBold" w:hAnsi="Open Sans SemiBold"/>
                <w:color w:val="ffffff"/>
                <w:sz w:val="18"/>
                <w:szCs w:val="18"/>
                <w:rtl w:val="0"/>
              </w:rPr>
              <w:t xml:space="preserve">Estado</w:t>
            </w:r>
          </w:p>
        </w:tc>
      </w:tr>
      <w:tr>
        <w:trPr>
          <w:cantSplit w:val="0"/>
        </w:trPr>
        <w:tc>
          <w:tcPr>
            <w:tcW w:w="14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Inception</w:t>
            </w:r>
          </w:p>
        </w:tc>
        <w:tc>
          <w:tcPr>
            <w:tcW w:w="31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Producir la spec en tres artefactos, cada uno con aprobación explícita</w:t>
            </w:r>
          </w:p>
        </w:tc>
        <w:tc>
          <w:tcPr>
            <w:tcW w:w="34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Kiro</w:t>
            </w:r>
          </w:p>
        </w:tc>
        <w:tc>
          <w:tcPr>
            <w:tcW w:w="14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Propuesto</w:t>
            </w:r>
          </w:p>
        </w:tc>
      </w:tr>
      <w:tr>
        <w:trPr>
          <w:cantSplit w:val="0"/>
        </w:trPr>
        <w:tc>
          <w:tcPr>
            <w:tcW w:w="14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Construction</w:t>
            </w:r>
          </w:p>
        </w:tc>
        <w:tc>
          <w:tcPr>
            <w:tcW w:w="31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Un asistente que cargue las reglas del repositorio, y una revisión con veredicto antes de integrar</w:t>
            </w:r>
          </w:p>
        </w:tc>
        <w:tc>
          <w:tcPr>
            <w:tcW w:w="34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Claude Code; Forge, orquestación de corridas autónomas con revisores y veredicto PASS/DENY/DENYSPEC</w:t>
            </w:r>
          </w:p>
        </w:tc>
        <w:tc>
          <w:tcPr>
            <w:tcW w:w="14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Real</w:t>
            </w:r>
          </w:p>
        </w:tc>
      </w:tr>
      <w:tr>
        <w:trPr>
          <w:cantSplit w:val="0"/>
        </w:trPr>
        <w:tc>
          <w:tcPr>
            <w:tcW w:w="14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Operations</w:t>
            </w:r>
          </w:p>
        </w:tc>
        <w:tc>
          <w:tcPr>
            <w:tcW w:w="31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Verificaciones automáticas en cada cambio</w:t>
            </w:r>
          </w:p>
        </w:tc>
        <w:tc>
          <w:tcPr>
            <w:tcW w:w="346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El CI de cada proyecto, con definiciones por stack</w:t>
            </w:r>
          </w:p>
        </w:tc>
        <w:tc>
          <w:tcPr>
            <w:tcW w:w="1400" w:type="dxa"/>
            <w:shd w:fill="ffffff" w:val="clear"/>
            <w:vAlign w:val="center"/>
          </w:tcPr>
          <w:p>
            <w:pPr>
              <w:spacing w:after="40" w:before="40" w:line="240" w:lineRule="auto"/>
              <w:ind w:left="60" w:right="60" w:firstLine="0"/>
              <w:jc w:val="left"/>
              <w:rPr/>
            </w:pPr>
            <w:r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Real</w:t>
            </w:r>
          </w:p>
        </w:tc>
      </w:tr>
    </w:tbl>
    <w:p>
      <w:pPr>
        <w:spacing w:after="0" w:before="0"/>
        <w:ind w:left="720" w:firstLine="0"/>
        <w:rPr/>
      </w:pP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herramienta importa menos que lo que se le carga. Una skill es un paquete de estándares e instrucciones que la herramienta levanta sola cuando la tarea coincide, y con eso todos recorren el mismo camino sin tener que acordarse de nada.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Ese mecanismo tiene un límite: funciona mientras alguien lo invoque. Por eso una regla que importa de verdad no se queda escrita, baja al CI o a un hook de git y actúa sin que nadie la llame.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resto se queda donde ya está. La metodología apunta y no duplica: cada herramienta mantiene su propia documentación.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7. GOBERNANZA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El proceso deja constancia de quién decidió qué. Esa constancia es lo que responde a un auditor o al oficial de cumplimiento de un cliente.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política de gobernanza de IA del grupo fija la regla que gobierna todo lo demás:</w:t>
      </w:r>
    </w:p>
    <w:p>
      <w:pPr>
        <w:pBdr>
          <w:left w:val="single" w:sz="18" w:space="10" w:color="0084d5"/>
        </w:pBdr>
        <w:spacing w:after="200" w:before="200" w:lineRule="auto"/>
        <w:ind w:left="1080" w:right="720" w:firstLine="0"/>
        <w:jc w:val="left"/>
        <w:rPr/>
      </w:pPr>
      <w:r>
        <w:rPr>
          <w:rFonts w:ascii="Open Sans SemiBold" w:cs="Open Sans SemiBold" w:eastAsia="Open Sans SemiBold" w:hAnsi="Open Sans SemiBold"/>
          <w:color w:val="282d68"/>
          <w:sz w:val="22"/>
          <w:szCs w:val="22"/>
          <w:rtl w:val="0"/>
        </w:rPr>
        <w:t xml:space="preserve">Todo código generado por IA pasa revisión humana antes de integrarse. El merge lo ejecuta siempre una persona identificable.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responsabilidad de cada cambio recae siempre en una persona con nombre; ningún agente es Accountable de nada, nunca.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Esa regla se sostiene sobre lo que el ciclo va dejando escrito. Los artefactos no se descartan al cerrar cada fase: la prueba lleva al código, el código al requisito y el requisito a la historia de usuario que lo originó. AWS señala esa trazabilidad de punta a punta como el requisito crítico para la revisión regulatoria, y es lo que permite reconstruir después por qué el sistema hace lo que hace.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Lo que no salió bien también queda registrado. Toda escalación, incidente o sorpresa relevante produce un post-mortem corto con número correlativo. No es burocracia: sus conclusiones se convierten en cambios concretos, sea una regla, una skill o una verificación del CI.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8. ADOPCIÓN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inducción al método es la misma para todo el equipo, sin importar el proyecto en el que esté. El método no se estudia, se practica: los rituales se aprenden ejecutándolos sobre trabajo real.</w:t>
      </w: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inducción tiene cuatro piezas: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 SemiBold" w:cs="Open Sans SemiBold" w:eastAsia="Open Sans SemiBold" w:hAnsi="Open Sans SemiBold"/>
          <w:sz w:val="21"/>
          <w:szCs w:val="21"/>
          <w:rtl w:val="0"/>
        </w:rPr>
        <w:t xml:space="preserve">Este documento</w:t>
      </w:r>
      <w:r>
        <w:rPr>
          <w:rFonts w:ascii="Open Sans" w:cs="Open Sans" w:eastAsia="Open Sans" w:hAnsi="Open Sans"/>
          <w:sz w:val="21"/>
          <w:szCs w:val="21"/>
          <w:rtl w:val="0"/>
        </w:rPr>
        <w:t xml:space="preserve"> — el vocabulario, el ciclo completo y por qué el método importa.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 SemiBold" w:cs="Open Sans SemiBold" w:eastAsia="Open Sans SemiBold" w:hAnsi="Open Sans SemiBold"/>
          <w:sz w:val="21"/>
          <w:szCs w:val="21"/>
          <w:rtl w:val="0"/>
        </w:rPr>
        <w:t xml:space="preserve">Las herramientas del proyecto</w:t>
      </w:r>
      <w:r>
        <w:rPr>
          <w:rFonts w:ascii="Open Sans" w:cs="Open Sans" w:eastAsia="Open Sans" w:hAnsi="Open Sans"/>
          <w:sz w:val="21"/>
          <w:szCs w:val="21"/>
          <w:rtl w:val="0"/>
        </w:rPr>
        <w:t xml:space="preserve"> — instaladas y configuradas, con las reglas del repositorio cargadas.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 SemiBold" w:cs="Open Sans SemiBold" w:eastAsia="Open Sans SemiBold" w:hAnsi="Open Sans SemiBold"/>
          <w:sz w:val="21"/>
          <w:szCs w:val="21"/>
          <w:rtl w:val="0"/>
        </w:rPr>
        <w:t xml:space="preserve">El flujo de un cambio</w:t>
      </w:r>
      <w:r>
        <w:rPr>
          <w:rFonts w:ascii="Open Sans" w:cs="Open Sans" w:eastAsia="Open Sans" w:hAnsi="Open Sans"/>
          <w:sz w:val="21"/>
          <w:szCs w:val="21"/>
          <w:rtl w:val="0"/>
        </w:rPr>
        <w:t xml:space="preserve"> — un caso recorrido de principio a fin, del Intent al despliegue.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 SemiBold" w:cs="Open Sans SemiBold" w:eastAsia="Open Sans SemiBold" w:hAnsi="Open Sans SemiBold"/>
          <w:sz w:val="21"/>
          <w:szCs w:val="21"/>
          <w:rtl w:val="0"/>
        </w:rPr>
        <w:t xml:space="preserve">El primer trabajo acompañado</w:t>
      </w:r>
      <w:r>
        <w:rPr>
          <w:rFonts w:ascii="Open Sans" w:cs="Open Sans" w:eastAsia="Open Sans" w:hAnsi="Open Sans"/>
          <w:sz w:val="21"/>
          <w:szCs w:val="21"/>
          <w:rtl w:val="0"/>
        </w:rPr>
        <w:t xml:space="preserve"> — un cambio real, no un ejercicio, junto a alguien que ya recorrió el ciclo.</w:t>
      </w:r>
    </w:p>
    <w:p>
      <w:pPr>
        <w:spacing w:after="0" w:before="0"/>
        <w:ind w:left="720" w:firstLine="0"/>
        <w:rPr/>
      </w:pPr>
    </w:p>
    <w:p>
      <w:pPr>
        <w:spacing w:after="200" w:before="0" w:lineRule="auto"/>
        <w:ind w:left="720" w:firstLine="0"/>
        <w:jc w:val="both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La inducción termina cuando ese primer cambio llega a producción.</w:t>
      </w:r>
    </w:p>
    <w:p>
      <w:pPr>
        <w:pStyle w:val="Heading1"/>
        <w:spacing w:after="120" w:before="240" w:line="240" w:lineRule="auto"/>
        <w:ind w:left="720" w:firstLine="0"/>
        <w:jc w:val="left"/>
        <w:rPr>
          <w:color w:val="0084d5"/>
        </w:rPr>
      </w:pPr>
      <w:r>
        <w:br w:type="page"/>
      </w:r>
      <w:r>
        <w:rPr>
          <w:rFonts w:ascii="Poppins" w:cs="Poppins" w:eastAsia="Poppins" w:hAnsi="Poppins"/>
          <w:b w:val="1"/>
          <w:bCs w:val="1"/>
          <w:color w:val="0084d5"/>
          <w:sz w:val="42"/>
          <w:szCs w:val="42"/>
          <w:rtl w:val="0"/>
        </w:rPr>
        <w:t xml:space="preserve">REFERENCIAS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AWS, Method Definition Paper de AI-DLC, julio de 2025: fases, artefactos, rituales y los nueve pasos del flujo.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AWS, blog «AI-Driven Development Life Cycle: Reimagining Software Engineering», 31 de julio de 2025.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AWS, blog «Building with AI-DLC using Amazon Q Developer», 29 de noviembre de 2025.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AWS, blog «AI-Driven Development Lifecycle for Financial Services», 26 de mayo de 2026: trazabilidad y controles en entornos regulados.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AWS, repositorio awslabs/aidlc-workflows, licencia MIT-0. La implementación 2.0 reorganiza el ciclo en más fases y etapas que las descritas aquí.</w:t>
      </w:r>
    </w:p>
    <w:p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>
        <w:rPr>
          <w:rFonts w:ascii="Open Sans" w:cs="Open Sans" w:eastAsia="Open Sans" w:hAnsi="Open Sans"/>
          <w:sz w:val="21"/>
          <w:szCs w:val="21"/>
          <w:rtl w:val="0"/>
        </w:rPr>
        <w:t xml:space="preserve">Política de gobernanza de IA del grupo, regla §13.5: revisión humana y merge humano.</w: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jc w:val="right"/>
      <w:rPr>
        <w:rFonts w:ascii="Poppins" w:cs="Poppins" w:eastAsia="Poppins" w:hAnsi="Poppins"/>
        <w:b w:val="1"/>
        <w:bCs w:val="1"/>
        <w:color w:val="0084d5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-238123</wp:posOffset>
          </wp:positionH>
          <wp:positionV relativeFrom="paragraph">
            <wp:posOffset>209550</wp:posOffset>
          </wp:positionV>
          <wp:extent cx="1490663" cy="200666"/>
          <wp:effectExtent b="0" l="0" r="0" t="0"/>
          <wp:wrapNone/>
          <wp:docPr id="1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20066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14">
    <w:pPr>
      <w:jc w:val="right"/>
      <w:rPr>
        <w:rFonts w:ascii="Poppins" w:cs="Poppins" w:eastAsia="Poppins" w:hAnsi="Poppins"/>
        <w:b w:val="1"/>
        <w:bCs w:val="1"/>
        <w:color w:val="0084d5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84d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jc w:val="right"/>
      <w:rPr>
        <w:color w:val="0084d5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84d5"/>
        <w:sz w:val="24"/>
        <w:szCs w:val="24"/>
        <w:rtl w:val="0"/>
      </w:rPr>
      <w:t xml:space="preserve">WWW.TXINTELLIGENCE.IO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6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-466722</wp:posOffset>
          </wp:positionH>
          <wp:positionV relativeFrom="margin">
            <wp:posOffset>-571498</wp:posOffset>
          </wp:positionV>
          <wp:extent cx="1338263" cy="334566"/>
          <wp:effectExtent b="0" l="0" r="0" t="0"/>
          <wp:wrapNone/>
          <wp:docPr id="1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2941" l="0" r="0" t="2941"/>
                  <a:stretch>
                    <a:fillRect/>
                  </a:stretch>
                </pic:blipFill>
                <pic:spPr>
                  <a:xfrm>
                    <a:off x="0" y="0"/>
                    <a:ext cx="1338263" cy="3345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4067175</wp:posOffset>
          </wp:positionH>
          <wp:positionV relativeFrom="page">
            <wp:posOffset>533400</wp:posOffset>
          </wp:positionV>
          <wp:extent cx="3841024" cy="50775"/>
          <wp:effectExtent b="0" l="0" r="0" t="0"/>
          <wp:wrapNone/>
          <wp:docPr id="1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41024" cy="50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spacing w:line="240" w:lineRule="auto"/>
      <w:ind w:right="-702.9921259842507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1"/>
        <w:bCs w:val="1"/>
        <w:color w:val="fcc743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15" Type="http://schemas.openxmlformats.org/officeDocument/2006/relationships/image" Target="media/figura1.png"/><Relationship Id="rId16" Type="http://schemas.openxmlformats.org/officeDocument/2006/relationships/image" Target="media/figura2.png"/><Relationship Id="rId17" Type="http://schemas.openxmlformats.org/officeDocument/2006/relationships/image" Target="media/figura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SemiBold-italic.ttf"/><Relationship Id="rId10" Type="http://schemas.openxmlformats.org/officeDocument/2006/relationships/font" Target="fonts/OpenSansSemiBold-bold.ttf"/><Relationship Id="rId13" Type="http://schemas.openxmlformats.org/officeDocument/2006/relationships/font" Target="fonts/OpenSans-regular.ttf"/><Relationship Id="rId12" Type="http://schemas.openxmlformats.org/officeDocument/2006/relationships/font" Target="fonts/OpenSa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OpenSansSemiBold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/eYDUSUd8ySqZlp6N4Glou053Q==">CgMxLjAyDmguaWxlbXpxcnkwdnl2OAByITF2RTFyZjZCMy11SDVFdTczSG5fbmx0cmtlSnBvaEhBNw==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