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000"/>
        <w:jc w:val="center"/>
      </w:pPr>
      <w:r>
        <w:rPr>
          <w:rFonts w:ascii="Calibri" w:cs="Calibri" w:eastAsia="Calibri" w:hAnsi="Calibri"/>
          <w:b/>
          <w:bCs/>
          <w:sz w:val="48"/>
          <w:szCs w:val="48"/>
        </w:rPr>
        <w:t xml:space="preserve">6th Taiwan Yunus Innovation Award</w:t>
      </w:r>
    </w:p>
    <w:p>
      <w:pPr>
        <w:spacing w:after="1000"/>
        <w:jc w:val="center"/>
      </w:pPr>
      <w:r>
        <w:rPr>
          <w:rFonts w:ascii="Calibri" w:cs="Calibri" w:eastAsia="Calibri" w:hAnsi="Calibri"/>
          <w:b/>
          <w:bCs/>
          <w:sz w:val="36"/>
          <w:szCs w:val="36"/>
        </w:rPr>
        <w:t xml:space="preserve">Draf Proposal Resmi — Sistem ReLoop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Nama Tim: [Isi nama tim]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Nama Proposal: Sistem Peralatan Makan ReLoop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Anggota Tim: Steven Tanardi &amp; Tim</w:t>
      </w:r>
    </w:p>
    <w:p>
      <w:pPr>
        <w:spacing w:after="80" w:before="80" w:line="360"/>
        <w:jc w:val="center"/>
      </w:pPr>
      <w:r>
        <w:rPr>
          <w:rFonts w:ascii="Calibri" w:cs="Calibri" w:eastAsia="Calibri" w:hAnsi="Calibri"/>
          <w:sz w:val="24"/>
          <w:szCs w:val="24"/>
        </w:rPr>
        <w:t xml:space="preserve">Kategori: Grup Mahasiswa</w:t>
      </w:r>
    </w:p>
    <w:p>
      <w:r>
        <w:br w:type="page"/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1. Analisis Masalah Sosial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Meskipun tingkat daur ulang tinggi, kotak bento tetap menjadi pendorong utama limbah. Di Kinmen, krisis ini diperbesar karena semua sampah harus dikirim kembali ke Taiwan dengan kapal.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2. Visi &amp; Konten Layanan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Visi: 'Setiap kotak bento berhak pulang, dan mulai kembali.'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Kami menyediakan wadah CPET kedap udara dan jaringan pengembalian pintar asrama.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3. Model Bisnis &amp; Kelayakan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Sistem keanggotaan dan biaya vendor B2B memastikan kemandirian finansial Proyek pilot Fase 0 menunjukkan ROI dalam 107 hari.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4. Inovasi &amp; Keunikan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Model 'YouBike untuk Bento' dengan sinergi AI Trash Scanner untuk mencegah kehilangan aset bento.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5. Dampak Sosial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Menghindari 30.000+ kotak sekali pakai per tahun. Fokus pada visi 3-Zero Yunus dengan mempekerjakan mahasiswa kurang mampu.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6. Keberlanjutan Keuangan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Internal Rate of Return (IRR) sebesar 42%. Strategi ekspansi bertahap dari Fase 0 ke Fase 1.</w:t>
      </w:r>
    </w:p>
    <w:p>
      <w:pPr>
        <w:pStyle w:val="Heading1"/>
        <w:spacing w:after="120" w:before="240" w:line="3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7. Rencana Sumber Daya Manusia (HR)</w:t>
      </w:r>
    </w:p>
    <w:p>
      <w:pPr>
        <w:spacing w:after="80" w:before="80" w:line="360"/>
        <w:jc w:val="left"/>
      </w:pPr>
      <w:r>
        <w:rPr>
          <w:rFonts w:ascii="Calibri" w:cs="Calibri" w:eastAsia="Calibri" w:hAnsi="Calibri"/>
          <w:sz w:val="24"/>
          <w:szCs w:val="24"/>
        </w:rPr>
        <w:t xml:space="preserve">Lead: Steven Tanardi (Strategi/Keuangan). Tim Teknologi: Pengembangan IoT/LINE. Operasional: Manajemen logistik.</w:t>
      </w:r>
    </w:p>
    <w:sectPr>
      <w:headerReference w:type="default" r:id="rId7"/>
      <w:footerReference w:type="default" r:id="rId8"/>
      <w:pgSz w:w="11906" w:h="16838" w:orient="portrait"/>
      <w:pgMar w:top="1727" w:right="1727" w:bottom="1440" w:left="172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© 2026 Steven Tanardi | Yunus Vision Team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Penghargaan Inovasi Yunus Taiwan ke-6 - Proposal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2026-04-08T08:54:36.759Z</dcterms:created>
  <dcterms:modified xsi:type="dcterms:W3CDTF">2026-04-08T08:54:36.759Z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