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spacing w:after="100"/>
        <w:jc w:val="center"/>
      </w:pPr>
      <w:r>
        <w:rPr>
          <w:rFonts w:ascii="Calibri" w:cs="Calibri" w:eastAsia="Calibri" w:hAnsi="Calibri"/>
          <w:b/>
          <w:bCs/>
          <w:color w:val="1A3C5E"/>
          <w:sz w:val="56"/>
          <w:szCs w:val="56"/>
        </w:rPr>
        <w:t xml:space="preserve">Deep Research Summary</w:t>
      </w:r>
    </w:p>
    <w:p>
      <w:pPr>
        <w:spacing w:after="80"/>
        <w:jc w:val="center"/>
      </w:pPr>
      <w:r>
        <w:rPr>
          <w:rFonts w:ascii="Calibri" w:cs="Calibri" w:eastAsia="Calibri" w:hAnsi="Calibri"/>
          <w:color w:val="00A86B"/>
          <w:sz w:val="32"/>
          <w:szCs w:val="32"/>
        </w:rPr>
        <w:t xml:space="preserve">6th Taiwan Yunus Social Business Innovation Award</w:t>
      </w:r>
    </w:p>
    <w:p>
      <w:pPr>
        <w:spacing w:after="60"/>
        <w:jc w:val="center"/>
      </w:pPr>
      <w:r>
        <w:rPr>
          <w:i/>
          <w:iCs/>
          <w:color w:val="0D2B45"/>
          <w:sz w:val="26"/>
          <w:szCs w:val="26"/>
        </w:rPr>
        <w:t xml:space="preserve">Projects 03 &amp; 04: AI Trash Scanner · BSF Bio-Loop</w:t>
      </w:r>
    </w:p>
    <w:p>
      <w:pPr>
        <w:pBdr>
          <w:bottom w:val="single" w:color="00A86B" w:sz="4"/>
        </w:pBdr>
        <w:spacing w:after="200" w:before="200"/>
      </w:pPr>
    </w:p>
    <w:p>
      <w:pPr>
        <w:spacing w:after="200"/>
        <w:jc w:val="center"/>
      </w:pPr>
      <w:r>
        <w:rPr>
          <w:b/>
          <w:bCs/>
          <w:color w:val="1C1C1C"/>
          <w:sz w:val="22"/>
          <w:szCs w:val="22"/>
        </w:rPr>
        <w:t xml:space="preserve">Prepared by: </w:t>
      </w:r>
      <w:r>
        <w:rPr>
          <w:color w:val="1A3C5E"/>
          <w:sz w:val="22"/>
          <w:szCs w:val="22"/>
        </w:rPr>
        <w:t xml:space="preserve">Steven Tanardi</w:t>
      </w:r>
      <w:r>
        <w:rPr>
          <w:color w:val="6B7280"/>
          <w:sz w:val="22"/>
          <w:szCs w:val="22"/>
        </w:rPr>
        <w:t xml:space="preserve">  |  Date: April 2026  |  Version: 1.0</w:t>
      </w:r>
    </w:p>
    <w:p>
      <w:r>
        <w:br w:type="page"/>
      </w:r>
    </w:p>
    <w:p>
      <w:pPr>
        <w:pStyle w:val="Heading1"/>
        <w:spacing w:after="200" w:before="400"/>
        <w:rPr>
          <w:b/>
          <w:bCs/>
          <w:color w:val="1A3C5E"/>
        </w:rPr>
      </w:pPr>
      <w:r>
        <w:t xml:space="preserve">Executive Summary</w:t>
      </w:r>
    </w:p>
    <w:p>
      <w:pPr>
        <w:spacing w:after="100" w:before="80"/>
      </w:pPr>
      <w:r>
        <w:rPr>
          <w:color w:val="1C1C1C"/>
          <w:sz w:val="22"/>
          <w:szCs w:val="22"/>
        </w:rPr>
        <w:t xml:space="preserve">This document synthesizes comprehensive academic and industry research across two flagship social enterprise proposals submitted for the 6th Taiwan Yunus Social Business Innovation Award. Both projects address Taiwan's critical environmental gaps—the failure of 'surface-level' recycling and the urban organic waste crisis—using frontier biotechnology and AI.</w:t>
      </w:r>
    </w:p>
    <w:p>
      <w:pPr>
        <w:spacing w:after="100" w:before="80"/>
      </w:pPr>
      <w:r>
        <w:rPr>
          <w:color w:val="1C1C1C"/>
          <w:sz w:val="22"/>
          <w:szCs w:val="22"/>
        </w:rPr>
        <w:t xml:space="preserve">The AI Trash Scanner uses Near-Infrared (NIR) spectroscopy and computer vision (YOLOv8) to achieve molecular-level material identification, raising recycling purity from current contaminated levels to 99.5%+. The BSF Bio-Loop converts night market food waste into premium insect protein and organic fertilizer within 12 days, replacing imported fishmeal and eliminating incineration of wet waste.</w:t>
      </w:r>
    </w:p>
    <w:p>
      <w:pPr>
        <w:pBdr>
          <w:left w:val="thick" w:color="00A86B" w:sz="12"/>
        </w:pBdr>
        <w:shd w:color="F0F7F4" w:val="solid"/>
        <w:spacing w:after="120" w:before="120"/>
        <w:ind w:left="576"/>
      </w:pPr>
      <w:r>
        <w:rPr>
          <w:i/>
          <w:iCs/>
          <w:color w:val="1A3C5E"/>
          <w:sz w:val="22"/>
          <w:szCs w:val="22"/>
        </w:rPr>
        <w:t xml:space="preserve">Together, these projects form an integrated circular economy system where the Trash Scanner produces cleaner material streams and the BSF Bio-Loop converts residual organic waste into high-value protein and fertilizer. Synergistically, they address Yunus's three zeroes: Zero Carbon, Zero Poverty, and Zero Unemployment.</w:t>
      </w:r>
    </w:p>
    <w:p>
      <w:pPr>
        <w:pBdr>
          <w:bottom w:val="single" w:color="00A86B" w:sz="4"/>
        </w:pBdr>
        <w:spacing w:after="200" w:before="200"/>
      </w:pPr>
    </w:p>
    <w:p>
      <w:r>
        <w:br w:type="page"/>
      </w:r>
    </w:p>
    <w:p>
      <w:pPr>
        <w:pStyle w:val="Heading1"/>
        <w:spacing w:after="200" w:before="400"/>
        <w:rPr>
          <w:b/>
          <w:bCs/>
          <w:color w:val="1A3C5E"/>
        </w:rPr>
      </w:pPr>
      <w:r>
        <w:t xml:space="preserve">PART I — AI Trash Scanner: Molecular Sorting System</w:t>
      </w:r>
    </w:p>
    <w:p>
      <w:pPr>
        <w:pBdr>
          <w:bottom w:val="single" w:color="00A86B" w:sz="6"/>
        </w:pBdr>
        <w:spacing w:after="160" w:before="320"/>
      </w:pPr>
      <w:r>
        <w:rPr>
          <w:b/>
          <w:bCs/>
          <w:color w:val="1A3C5E"/>
          <w:sz w:val="28"/>
          <w:szCs w:val="28"/>
        </w:rPr>
        <w:t xml:space="preserve">1.1  The Problem: Taiwan's Recycling Illusion</w:t>
      </w:r>
    </w:p>
    <w:p>
      <w:pPr>
        <w:spacing w:after="100" w:before="80"/>
      </w:pPr>
      <w:r>
        <w:rPr>
          <w:color w:val="1C1C1C"/>
          <w:sz w:val="22"/>
          <w:szCs w:val="22"/>
        </w:rPr>
        <w:t xml:space="preserve">Taiwan reports a 59.6% municipal solid waste recycling rate and a 96.7% waste recovery rate in 2024 (Taiwan Ministry of Environment). However, these figures mask a critical systemic failure: molecular purity. Surface-level sorting cannot distinguish PET from PLA, or paper cups with PE-liners from plain paper napkins.</w:t>
      </w:r>
    </w:p>
    <w:p>
      <w:pPr>
        <w:spacing w:after="120" w:before="240"/>
      </w:pPr>
      <w:r>
        <w:rPr>
          <w:b/>
          <w:bCs/>
          <w:color w:val="00A86B"/>
          <w:sz w:val="24"/>
          <w:szCs w:val="24"/>
        </w:rPr>
        <w:t xml:space="preserve">Key Statistics (2024)</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Metric</w:t>
            </w:r>
          </w:p>
        </w:tc>
        <w:tc>
          <w:tcPr>
            <w:shd w:color="1A3C5E" w:val="solid"/>
            <w:tcMar>
              <w:top w:type="dxa" w:w="80"/>
              <w:left w:type="dxa" w:w="100"/>
              <w:bottom w:type="dxa" w:w="80"/>
              <w:right w:type="dxa" w:w="100"/>
            </w:tcMar>
          </w:tcPr>
          <w:p>
            <w:pPr>
              <w:jc w:val="center"/>
            </w:pPr>
            <w:r>
              <w:rPr>
                <w:b/>
                <w:bCs/>
                <w:color w:val="FFFFFF"/>
                <w:sz w:val="20"/>
                <w:szCs w:val="20"/>
              </w:rPr>
              <w:t xml:space="preserve">Value</w:t>
            </w:r>
          </w:p>
        </w:tc>
        <w:tc>
          <w:tcPr>
            <w:shd w:color="1A3C5E" w:val="solid"/>
            <w:tcMar>
              <w:top w:type="dxa" w:w="80"/>
              <w:left w:type="dxa" w:w="100"/>
              <w:bottom w:type="dxa" w:w="80"/>
              <w:right w:type="dxa" w:w="100"/>
            </w:tcMar>
          </w:tcPr>
          <w:p>
            <w:pPr>
              <w:jc w:val="center"/>
            </w:pPr>
            <w:r>
              <w:rPr>
                <w:b/>
                <w:bCs/>
                <w:color w:val="FFFFFF"/>
                <w:sz w:val="20"/>
                <w:szCs w:val="20"/>
              </w:rPr>
              <w:t xml:space="preserve">Source</w:t>
            </w:r>
          </w:p>
        </w:tc>
      </w:tr>
      <w:tr>
        <w:tc>
          <w:tcPr>
            <w:shd w:color="F7FBFA" w:val="solid"/>
            <w:tcMar>
              <w:top w:type="dxa" w:w="60"/>
              <w:left w:type="dxa" w:w="100"/>
              <w:bottom w:type="dxa" w:w="60"/>
              <w:right w:type="dxa" w:w="100"/>
            </w:tcMar>
          </w:tcPr>
          <w:p>
            <w:r>
              <w:rPr>
                <w:color w:val="1C1C1C"/>
                <w:sz w:val="20"/>
                <w:szCs w:val="20"/>
              </w:rPr>
              <w:t xml:space="preserve">Municipal Recycling Rate</w:t>
            </w:r>
          </w:p>
        </w:tc>
        <w:tc>
          <w:tcPr>
            <w:shd w:color="F7FBFA" w:val="solid"/>
            <w:tcMar>
              <w:top w:type="dxa" w:w="60"/>
              <w:left w:type="dxa" w:w="100"/>
              <w:bottom w:type="dxa" w:w="60"/>
              <w:right w:type="dxa" w:w="100"/>
            </w:tcMar>
          </w:tcPr>
          <w:p>
            <w:r>
              <w:rPr>
                <w:color w:val="1C1C1C"/>
                <w:sz w:val="20"/>
                <w:szCs w:val="20"/>
              </w:rPr>
              <w:t xml:space="preserve">59.6%</w:t>
            </w:r>
          </w:p>
        </w:tc>
        <w:tc>
          <w:tcPr>
            <w:shd w:color="F7FBFA" w:val="solid"/>
            <w:tcMar>
              <w:top w:type="dxa" w:w="60"/>
              <w:left w:type="dxa" w:w="100"/>
              <w:bottom w:type="dxa" w:w="60"/>
              <w:right w:type="dxa" w:w="100"/>
            </w:tcMar>
          </w:tcPr>
          <w:p>
            <w:r>
              <w:rPr>
                <w:color w:val="1C1C1C"/>
                <w:sz w:val="20"/>
                <w:szCs w:val="20"/>
              </w:rPr>
              <w:t xml:space="preserve">MoEnv Taiwan</w:t>
            </w:r>
          </w:p>
        </w:tc>
      </w:tr>
      <w:tr>
        <w:tc>
          <w:tcPr>
            <w:shd w:color="FFFFFF" w:val="solid"/>
            <w:tcMar>
              <w:top w:type="dxa" w:w="60"/>
              <w:left w:type="dxa" w:w="100"/>
              <w:bottom w:type="dxa" w:w="60"/>
              <w:right w:type="dxa" w:w="100"/>
            </w:tcMar>
          </w:tcPr>
          <w:p>
            <w:r>
              <w:rPr>
                <w:color w:val="1C1C1C"/>
                <w:sz w:val="20"/>
                <w:szCs w:val="20"/>
              </w:rPr>
              <w:t xml:space="preserve">Industrial Waste Recycling Rate</w:t>
            </w:r>
          </w:p>
        </w:tc>
        <w:tc>
          <w:tcPr>
            <w:shd w:color="FFFFFF" w:val="solid"/>
            <w:tcMar>
              <w:top w:type="dxa" w:w="60"/>
              <w:left w:type="dxa" w:w="100"/>
              <w:bottom w:type="dxa" w:w="60"/>
              <w:right w:type="dxa" w:w="100"/>
            </w:tcMar>
          </w:tcPr>
          <w:p>
            <w:r>
              <w:rPr>
                <w:color w:val="1C1C1C"/>
                <w:sz w:val="20"/>
                <w:szCs w:val="20"/>
              </w:rPr>
              <w:t xml:space="preserve">85.4%</w:t>
            </w:r>
          </w:p>
        </w:tc>
        <w:tc>
          <w:tcPr>
            <w:shd w:color="FFFFFF" w:val="solid"/>
            <w:tcMar>
              <w:top w:type="dxa" w:w="60"/>
              <w:left w:type="dxa" w:w="100"/>
              <w:bottom w:type="dxa" w:w="60"/>
              <w:right w:type="dxa" w:w="100"/>
            </w:tcMar>
          </w:tcPr>
          <w:p>
            <w:r>
              <w:rPr>
                <w:color w:val="1C1C1C"/>
                <w:sz w:val="20"/>
                <w:szCs w:val="20"/>
              </w:rPr>
              <w:t xml:space="preserve">Holland Circular Hotspot</w:t>
            </w:r>
          </w:p>
        </w:tc>
      </w:tr>
      <w:tr>
        <w:tc>
          <w:tcPr>
            <w:shd w:color="F7FBFA" w:val="solid"/>
            <w:tcMar>
              <w:top w:type="dxa" w:w="60"/>
              <w:left w:type="dxa" w:w="100"/>
              <w:bottom w:type="dxa" w:w="60"/>
              <w:right w:type="dxa" w:w="100"/>
            </w:tcMar>
          </w:tcPr>
          <w:p>
            <w:r>
              <w:rPr>
                <w:color w:val="1C1C1C"/>
                <w:sz w:val="20"/>
                <w:szCs w:val="20"/>
              </w:rPr>
              <w:t xml:space="preserve">Total Annual Waste</w:t>
            </w:r>
          </w:p>
        </w:tc>
        <w:tc>
          <w:tcPr>
            <w:shd w:color="F7FBFA" w:val="solid"/>
            <w:tcMar>
              <w:top w:type="dxa" w:w="60"/>
              <w:left w:type="dxa" w:w="100"/>
              <w:bottom w:type="dxa" w:w="60"/>
              <w:right w:type="dxa" w:w="100"/>
            </w:tcMar>
          </w:tcPr>
          <w:p>
            <w:r>
              <w:rPr>
                <w:color w:val="1C1C1C"/>
                <w:sz w:val="20"/>
                <w:szCs w:val="20"/>
              </w:rPr>
              <w:t xml:space="preserve">&gt;11 million tonnes</w:t>
            </w:r>
          </w:p>
        </w:tc>
        <w:tc>
          <w:tcPr>
            <w:shd w:color="F7FBFA" w:val="solid"/>
            <w:tcMar>
              <w:top w:type="dxa" w:w="60"/>
              <w:left w:type="dxa" w:w="100"/>
              <w:bottom w:type="dxa" w:w="60"/>
              <w:right w:type="dxa" w:w="100"/>
            </w:tcMar>
          </w:tcPr>
          <w:p>
            <w:r>
              <w:rPr>
                <w:color w:val="1C1C1C"/>
                <w:sz w:val="20"/>
                <w:szCs w:val="20"/>
              </w:rPr>
              <w:t xml:space="preserve">Taipei Times</w:t>
            </w:r>
          </w:p>
        </w:tc>
      </w:tr>
      <w:tr>
        <w:tc>
          <w:tcPr>
            <w:shd w:color="FFFFFF" w:val="solid"/>
            <w:tcMar>
              <w:top w:type="dxa" w:w="60"/>
              <w:left w:type="dxa" w:w="100"/>
              <w:bottom w:type="dxa" w:w="60"/>
              <w:right w:type="dxa" w:w="100"/>
            </w:tcMar>
          </w:tcPr>
          <w:p>
            <w:r>
              <w:rPr>
                <w:color w:val="1C1C1C"/>
                <w:sz w:val="20"/>
                <w:szCs w:val="20"/>
              </w:rPr>
              <w:t xml:space="preserve">Active Incineration Plants</w:t>
            </w:r>
          </w:p>
        </w:tc>
        <w:tc>
          <w:tcPr>
            <w:shd w:color="FFFFFF" w:val="solid"/>
            <w:tcMar>
              <w:top w:type="dxa" w:w="60"/>
              <w:left w:type="dxa" w:w="100"/>
              <w:bottom w:type="dxa" w:w="60"/>
              <w:right w:type="dxa" w:w="100"/>
            </w:tcMar>
          </w:tcPr>
          <w:p>
            <w:r>
              <w:rPr>
                <w:color w:val="1C1C1C"/>
                <w:sz w:val="20"/>
                <w:szCs w:val="20"/>
              </w:rPr>
              <w:t xml:space="preserve">25 nationwide</w:t>
            </w:r>
          </w:p>
        </w:tc>
        <w:tc>
          <w:tcPr>
            <w:shd w:color="FFFFFF" w:val="solid"/>
            <w:tcMar>
              <w:top w:type="dxa" w:w="60"/>
              <w:left w:type="dxa" w:w="100"/>
              <w:bottom w:type="dxa" w:w="60"/>
              <w:right w:type="dxa" w:w="100"/>
            </w:tcMar>
          </w:tcPr>
          <w:p>
            <w:r>
              <w:rPr>
                <w:color w:val="1C1C1C"/>
                <w:sz w:val="20"/>
                <w:szCs w:val="20"/>
              </w:rPr>
              <w:t xml:space="preserve">EMA Gov.tw</w:t>
            </w:r>
          </w:p>
        </w:tc>
      </w:tr>
      <w:tr>
        <w:tc>
          <w:tcPr>
            <w:shd w:color="F7FBFA" w:val="solid"/>
            <w:tcMar>
              <w:top w:type="dxa" w:w="60"/>
              <w:left w:type="dxa" w:w="100"/>
              <w:bottom w:type="dxa" w:w="60"/>
              <w:right w:type="dxa" w:w="100"/>
            </w:tcMar>
          </w:tcPr>
          <w:p>
            <w:r>
              <w:rPr>
                <w:color w:val="1C1C1C"/>
                <w:sz w:val="20"/>
                <w:szCs w:val="20"/>
              </w:rPr>
              <w:t xml:space="preserve">Incineration plant average age</w:t>
            </w:r>
          </w:p>
        </w:tc>
        <w:tc>
          <w:tcPr>
            <w:shd w:color="F7FBFA" w:val="solid"/>
            <w:tcMar>
              <w:top w:type="dxa" w:w="60"/>
              <w:left w:type="dxa" w:w="100"/>
              <w:bottom w:type="dxa" w:w="60"/>
              <w:right w:type="dxa" w:w="100"/>
            </w:tcMar>
          </w:tcPr>
          <w:p>
            <w:r>
              <w:rPr>
                <w:color w:val="1C1C1C"/>
                <w:sz w:val="20"/>
                <w:szCs w:val="20"/>
              </w:rPr>
              <w:t xml:space="preserve">&gt;20 years</w:t>
            </w:r>
          </w:p>
        </w:tc>
        <w:tc>
          <w:tcPr>
            <w:shd w:color="F7FBFA" w:val="solid"/>
            <w:tcMar>
              <w:top w:type="dxa" w:w="60"/>
              <w:left w:type="dxa" w:w="100"/>
              <w:bottom w:type="dxa" w:w="60"/>
              <w:right w:type="dxa" w:w="100"/>
            </w:tcMar>
          </w:tcPr>
          <w:p>
            <w:r>
              <w:rPr>
                <w:color w:val="1C1C1C"/>
                <w:sz w:val="20"/>
                <w:szCs w:val="20"/>
              </w:rPr>
              <w:t xml:space="preserve">EMA Gov.tw</w:t>
            </w:r>
          </w:p>
        </w:tc>
      </w:tr>
    </w:tbl>
    <w:p>
      <w:pPr>
        <w:spacing w:before="200"/>
      </w:pPr>
    </w:p>
    <w:p>
      <w:pPr>
        <w:spacing w:after="120" w:before="240"/>
      </w:pPr>
      <w:r>
        <w:rPr>
          <w:b/>
          <w:bCs/>
          <w:color w:val="00A86B"/>
          <w:sz w:val="24"/>
          <w:szCs w:val="24"/>
        </w:rPr>
        <w:t xml:space="preserve">Root Causes of the Purity Problem</w:t>
      </w:r>
    </w:p>
    <w:p>
      <w:pPr>
        <w:pStyle w:val="ListParagraph"/>
        <w:numPr>
          <w:ilvl w:val="0"/>
          <w:numId w:val="1"/>
        </w:numPr>
        <w:spacing w:after="60" w:before="40"/>
      </w:pPr>
      <w:r>
        <w:rPr>
          <w:color w:val="1C1C1C"/>
          <w:sz w:val="22"/>
          <w:szCs w:val="22"/>
        </w:rPr>
        <w:t xml:space="preserve">Composite packaging — Multi-layer films (paper cups with PE liners, metallized snack bags) are nearly impossible to separate at standard facilities.</w:t>
      </w:r>
    </w:p>
    <w:p>
      <w:pPr>
        <w:pStyle w:val="ListParagraph"/>
        <w:numPr>
          <w:ilvl w:val="0"/>
          <w:numId w:val="1"/>
        </w:numPr>
        <w:spacing w:after="60" w:before="40"/>
      </w:pPr>
      <w:r>
        <w:rPr>
          <w:color w:val="1C1C1C"/>
          <w:sz w:val="22"/>
          <w:szCs w:val="22"/>
        </w:rPr>
        <w:t xml:space="preserve">Organic contamination — Food residue degrades spectral signatures, causing mis-classification in automated sorting.</w:t>
      </w:r>
    </w:p>
    <w:p>
      <w:pPr>
        <w:pStyle w:val="ListParagraph"/>
        <w:numPr>
          <w:ilvl w:val="0"/>
          <w:numId w:val="1"/>
        </w:numPr>
        <w:spacing w:after="60" w:before="40"/>
      </w:pPr>
      <w:r>
        <w:rPr>
          <w:color w:val="1C1C1C"/>
          <w:sz w:val="22"/>
          <w:szCs w:val="22"/>
        </w:rPr>
        <w:t xml:space="preserve">Label interference — Shrink sleeves and full-coverage metallic labels block NIR sensor readings.</w:t>
      </w:r>
    </w:p>
    <w:p>
      <w:pPr>
        <w:pStyle w:val="ListParagraph"/>
        <w:numPr>
          <w:ilvl w:val="0"/>
          <w:numId w:val="1"/>
        </w:numPr>
        <w:spacing w:after="60" w:before="40"/>
      </w:pPr>
      <w:r>
        <w:rPr>
          <w:color w:val="1C1C1C"/>
          <w:sz w:val="22"/>
          <w:szCs w:val="22"/>
        </w:rPr>
        <w:t xml:space="preserve">Cognitive overload on sorters — Taiwan's '4-in-1' system (四合一) places excessive visual burden on workers who cannot distinguish PET (#1) from PLA bioplastic.</w:t>
      </w:r>
    </w:p>
    <w:p>
      <w:pPr>
        <w:spacing w:before="100"/>
      </w:pPr>
    </w:p>
    <w:p>
      <w:pPr>
        <w:pBdr>
          <w:left w:val="thick" w:color="00A86B" w:sz="12"/>
        </w:pBdr>
        <w:shd w:color="F0F7F4" w:val="solid"/>
        <w:spacing w:after="120" w:before="120"/>
        <w:ind w:left="576"/>
      </w:pPr>
      <w:r>
        <w:rPr>
          <w:i/>
          <w:iCs/>
          <w:color w:val="1A3C5E"/>
          <w:sz w:val="22"/>
          <w:szCs w:val="22"/>
        </w:rPr>
        <w:t xml:space="preserve">The Core Loss: Mis-sorted containers are routed to incineration rather than entering a circular material loop. Government policy now explicitly targets food waste diversion from incineration plants by end of 2027.</w:t>
      </w:r>
    </w:p>
    <w:p>
      <w:pPr>
        <w:pBdr>
          <w:bottom w:val="single" w:color="00A86B" w:sz="6"/>
        </w:pBdr>
        <w:spacing w:after="160" w:before="320"/>
      </w:pPr>
      <w:r>
        <w:rPr>
          <w:b/>
          <w:bCs/>
          <w:color w:val="1A3C5E"/>
          <w:sz w:val="28"/>
          <w:szCs w:val="28"/>
        </w:rPr>
        <w:t xml:space="preserve">1.2  Technology Deep Dive: Multimodal Sensor Fusion</w:t>
      </w:r>
    </w:p>
    <w:p>
      <w:pPr>
        <w:spacing w:after="120" w:before="240"/>
      </w:pPr>
      <w:r>
        <w:rPr>
          <w:b/>
          <w:bCs/>
          <w:color w:val="00A86B"/>
          <w:sz w:val="24"/>
          <w:szCs w:val="24"/>
        </w:rPr>
        <w:t xml:space="preserve">Near-Infrared (NIR) Spectroscopy — The 'Molecular Camera'</w:t>
      </w:r>
    </w:p>
    <w:p>
      <w:pPr>
        <w:spacing w:after="100" w:before="80"/>
      </w:pPr>
      <w:r>
        <w:rPr>
          <w:color w:val="1C1C1C"/>
          <w:sz w:val="22"/>
          <w:szCs w:val="22"/>
        </w:rPr>
        <w:t xml:space="preserve">NIR spectroscopy is the gold standard for industrial polymer identification, analyzing the unique spectral signature of different resins as they reflect infrared light (1,450–2,450 nm range). Commercial module: trinamiX PAL One (~$1,500 USD per unit).</w:t>
      </w:r>
    </w:p>
    <w:p>
      <w:pPr>
        <w:spacing w:after="80" w:before="180"/>
      </w:pPr>
      <w:r>
        <w:rPr>
          <w:b/>
          <w:bCs/>
          <w:i/>
          <w:iCs/>
          <w:color w:val="1A3C5E"/>
          <w:sz w:val="22"/>
          <w:szCs w:val="22"/>
        </w:rPr>
        <w:t xml:space="preserve">Performance Benchmarks (2024 Literature)</w:t>
      </w:r>
    </w:p>
    <w:p>
      <w:pPr>
        <w:pStyle w:val="ListParagraph"/>
        <w:numPr>
          <w:ilvl w:val="0"/>
          <w:numId w:val="1"/>
        </w:numPr>
        <w:spacing w:after="60" w:before="40"/>
      </w:pPr>
      <w:r>
        <w:rPr>
          <w:color w:val="1C1C1C"/>
          <w:sz w:val="22"/>
          <w:szCs w:val="22"/>
        </w:rPr>
        <w:t xml:space="preserve">Polymer identification accuracy: 90–97%+ under clean conditions</w:t>
      </w:r>
    </w:p>
    <w:p>
      <w:pPr>
        <w:pStyle w:val="ListParagraph"/>
        <w:numPr>
          <w:ilvl w:val="0"/>
          <w:numId w:val="1"/>
        </w:numPr>
        <w:spacing w:after="60" w:before="40"/>
      </w:pPr>
      <w:r>
        <w:rPr>
          <w:color w:val="1C1C1C"/>
          <w:sz w:val="22"/>
          <w:szCs w:val="22"/>
        </w:rPr>
        <w:t xml:space="preserve">Processing speed: up to 3 tonnes/hour per conveyor lane</w:t>
      </w:r>
    </w:p>
    <w:p>
      <w:pPr>
        <w:pStyle w:val="ListParagraph"/>
        <w:numPr>
          <w:ilvl w:val="0"/>
          <w:numId w:val="1"/>
        </w:numPr>
        <w:spacing w:after="60" w:before="40"/>
      </w:pPr>
      <w:r>
        <w:rPr>
          <w:color w:val="1C1C1C"/>
          <w:sz w:val="22"/>
          <w:szCs w:val="22"/>
        </w:rPr>
        <w:t xml:space="preserve">Key limitation: Black plastics (carbon black pigment) absorb NIR and are invisible to standard sensors</w:t>
      </w:r>
    </w:p>
    <w:p>
      <w:pPr>
        <w:spacing w:before="100"/>
      </w:pPr>
    </w:p>
    <w:p>
      <w:pPr>
        <w:spacing w:after="80" w:before="180"/>
      </w:pPr>
      <w:r>
        <w:rPr>
          <w:b/>
          <w:bCs/>
          <w:i/>
          <w:iCs/>
          <w:color w:val="1A3C5E"/>
          <w:sz w:val="22"/>
          <w:szCs w:val="22"/>
        </w:rPr>
        <w:t xml:space="preserve">NIR Limitation Resolution Matrix</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Limitation</w:t>
            </w:r>
          </w:p>
        </w:tc>
        <w:tc>
          <w:tcPr>
            <w:shd w:color="1A3C5E" w:val="solid"/>
            <w:tcMar>
              <w:top w:type="dxa" w:w="80"/>
              <w:left w:type="dxa" w:w="100"/>
              <w:bottom w:type="dxa" w:w="80"/>
              <w:right w:type="dxa" w:w="100"/>
            </w:tcMar>
          </w:tcPr>
          <w:p>
            <w:pPr>
              <w:jc w:val="center"/>
            </w:pPr>
            <w:r>
              <w:rPr>
                <w:b/>
                <w:bCs/>
                <w:color w:val="FFFFFF"/>
                <w:sz w:val="20"/>
                <w:szCs w:val="20"/>
              </w:rPr>
              <w:t xml:space="preserve">Technical Cause</w:t>
            </w:r>
          </w:p>
        </w:tc>
        <w:tc>
          <w:tcPr>
            <w:shd w:color="1A3C5E" w:val="solid"/>
            <w:tcMar>
              <w:top w:type="dxa" w:w="80"/>
              <w:left w:type="dxa" w:w="100"/>
              <w:bottom w:type="dxa" w:w="80"/>
              <w:right w:type="dxa" w:w="100"/>
            </w:tcMar>
          </w:tcPr>
          <w:p>
            <w:pPr>
              <w:jc w:val="center"/>
            </w:pPr>
            <w:r>
              <w:rPr>
                <w:b/>
                <w:bCs/>
                <w:color w:val="FFFFFF"/>
                <w:sz w:val="20"/>
                <w:szCs w:val="20"/>
              </w:rPr>
              <w:t xml:space="preserve">Our Solution</w:t>
            </w:r>
          </w:p>
        </w:tc>
      </w:tr>
      <w:tr>
        <w:tc>
          <w:tcPr>
            <w:shd w:color="F7FBFA" w:val="solid"/>
            <w:tcMar>
              <w:top w:type="dxa" w:w="60"/>
              <w:left w:type="dxa" w:w="100"/>
              <w:bottom w:type="dxa" w:w="60"/>
              <w:right w:type="dxa" w:w="100"/>
            </w:tcMar>
          </w:tcPr>
          <w:p>
            <w:r>
              <w:rPr>
                <w:color w:val="1C1C1C"/>
                <w:sz w:val="20"/>
                <w:szCs w:val="20"/>
              </w:rPr>
              <w:t xml:space="preserve">Black/dark plastics invisible</w:t>
            </w:r>
          </w:p>
        </w:tc>
        <w:tc>
          <w:tcPr>
            <w:shd w:color="F7FBFA" w:val="solid"/>
            <w:tcMar>
              <w:top w:type="dxa" w:w="60"/>
              <w:left w:type="dxa" w:w="100"/>
              <w:bottom w:type="dxa" w:w="60"/>
              <w:right w:type="dxa" w:w="100"/>
            </w:tcMar>
          </w:tcPr>
          <w:p>
            <w:r>
              <w:rPr>
                <w:color w:val="1C1C1C"/>
                <w:sz w:val="20"/>
                <w:szCs w:val="20"/>
              </w:rPr>
              <w:t xml:space="preserve">Carbon black absorbs NIR</w:t>
            </w:r>
          </w:p>
        </w:tc>
        <w:tc>
          <w:tcPr>
            <w:shd w:color="F7FBFA" w:val="solid"/>
            <w:tcMar>
              <w:top w:type="dxa" w:w="60"/>
              <w:left w:type="dxa" w:w="100"/>
              <w:bottom w:type="dxa" w:w="60"/>
              <w:right w:type="dxa" w:w="100"/>
            </w:tcMar>
          </w:tcPr>
          <w:p>
            <w:r>
              <w:rPr>
                <w:color w:val="1C1C1C"/>
                <w:sz w:val="20"/>
                <w:szCs w:val="20"/>
              </w:rPr>
              <w:t xml:space="preserve">Supplement with MIR (Mid-Infrared) sensing</w:t>
            </w:r>
          </w:p>
        </w:tc>
      </w:tr>
      <w:tr>
        <w:tc>
          <w:tcPr>
            <w:shd w:color="FFFFFF" w:val="solid"/>
            <w:tcMar>
              <w:top w:type="dxa" w:w="60"/>
              <w:left w:type="dxa" w:w="100"/>
              <w:bottom w:type="dxa" w:w="60"/>
              <w:right w:type="dxa" w:w="100"/>
            </w:tcMar>
          </w:tcPr>
          <w:p>
            <w:r>
              <w:rPr>
                <w:color w:val="1C1C1C"/>
                <w:sz w:val="20"/>
                <w:szCs w:val="20"/>
              </w:rPr>
              <w:t xml:space="preserve">Contaminated surfaces</w:t>
            </w:r>
          </w:p>
        </w:tc>
        <w:tc>
          <w:tcPr>
            <w:shd w:color="FFFFFF" w:val="solid"/>
            <w:tcMar>
              <w:top w:type="dxa" w:w="60"/>
              <w:left w:type="dxa" w:w="100"/>
              <w:bottom w:type="dxa" w:w="60"/>
              <w:right w:type="dxa" w:w="100"/>
            </w:tcMar>
          </w:tcPr>
          <w:p>
            <w:r>
              <w:rPr>
                <w:color w:val="1C1C1C"/>
                <w:sz w:val="20"/>
                <w:szCs w:val="20"/>
              </w:rPr>
              <w:t xml:space="preserve">Organic residue distorts spectral peaks</w:t>
            </w:r>
          </w:p>
        </w:tc>
        <w:tc>
          <w:tcPr>
            <w:shd w:color="FFFFFF" w:val="solid"/>
            <w:tcMar>
              <w:top w:type="dxa" w:w="60"/>
              <w:left w:type="dxa" w:w="100"/>
              <w:bottom w:type="dxa" w:w="60"/>
              <w:right w:type="dxa" w:w="100"/>
            </w:tcMar>
          </w:tcPr>
          <w:p>
            <w:r>
              <w:rPr>
                <w:color w:val="1C1C1C"/>
                <w:sz w:val="20"/>
                <w:szCs w:val="20"/>
              </w:rPr>
              <w:t xml:space="preserve">Pre-wash jet + CNN 'dirty' dataset training</w:t>
            </w:r>
          </w:p>
        </w:tc>
      </w:tr>
      <w:tr>
        <w:tc>
          <w:tcPr>
            <w:shd w:color="F7FBFA" w:val="solid"/>
            <w:tcMar>
              <w:top w:type="dxa" w:w="60"/>
              <w:left w:type="dxa" w:w="100"/>
              <w:bottom w:type="dxa" w:w="60"/>
              <w:right w:type="dxa" w:w="100"/>
            </w:tcMar>
          </w:tcPr>
          <w:p>
            <w:r>
              <w:rPr>
                <w:color w:val="1C1C1C"/>
                <w:sz w:val="20"/>
                <w:szCs w:val="20"/>
              </w:rPr>
              <w:t xml:space="preserve">Label blocking readings</w:t>
            </w:r>
          </w:p>
        </w:tc>
        <w:tc>
          <w:tcPr>
            <w:shd w:color="F7FBFA" w:val="solid"/>
            <w:tcMar>
              <w:top w:type="dxa" w:w="60"/>
              <w:left w:type="dxa" w:w="100"/>
              <w:bottom w:type="dxa" w:w="60"/>
              <w:right w:type="dxa" w:w="100"/>
            </w:tcMar>
          </w:tcPr>
          <w:p>
            <w:r>
              <w:rPr>
                <w:color w:val="1C1C1C"/>
                <w:sz w:val="20"/>
                <w:szCs w:val="20"/>
              </w:rPr>
              <w:t xml:space="preserve">Full-coverage shrink sleeves shield polymer</w:t>
            </w:r>
          </w:p>
        </w:tc>
        <w:tc>
          <w:tcPr>
            <w:shd w:color="F7FBFA" w:val="solid"/>
            <w:tcMar>
              <w:top w:type="dxa" w:w="60"/>
              <w:left w:type="dxa" w:w="100"/>
              <w:bottom w:type="dxa" w:w="60"/>
              <w:right w:type="dxa" w:w="100"/>
            </w:tcMar>
          </w:tcPr>
          <w:p>
            <w:r>
              <w:rPr>
                <w:color w:val="1C1C1C"/>
                <w:sz w:val="20"/>
                <w:szCs w:val="20"/>
              </w:rPr>
              <w:t xml:space="preserve">Multi-angle scanning + barcode cross-reference</w:t>
            </w:r>
          </w:p>
        </w:tc>
      </w:tr>
      <w:tr>
        <w:tc>
          <w:tcPr>
            <w:shd w:color="FFFFFF" w:val="solid"/>
            <w:tcMar>
              <w:top w:type="dxa" w:w="60"/>
              <w:left w:type="dxa" w:w="100"/>
              <w:bottom w:type="dxa" w:w="60"/>
              <w:right w:type="dxa" w:w="100"/>
            </w:tcMar>
          </w:tcPr>
          <w:p>
            <w:r>
              <w:rPr>
                <w:color w:val="1C1C1C"/>
                <w:sz w:val="20"/>
                <w:szCs w:val="20"/>
              </w:rPr>
              <w:t xml:space="preserve">High-speed degradation</w:t>
            </w:r>
          </w:p>
        </w:tc>
        <w:tc>
          <w:tcPr>
            <w:shd w:color="FFFFFF" w:val="solid"/>
            <w:tcMar>
              <w:top w:type="dxa" w:w="60"/>
              <w:left w:type="dxa" w:w="100"/>
              <w:bottom w:type="dxa" w:w="60"/>
              <w:right w:type="dxa" w:w="100"/>
            </w:tcMar>
          </w:tcPr>
          <w:p>
            <w:r>
              <w:rPr>
                <w:color w:val="1C1C1C"/>
                <w:sz w:val="20"/>
                <w:szCs w:val="20"/>
              </w:rPr>
              <w:t xml:space="preserve">Signal window too short at fast belt speed</w:t>
            </w:r>
          </w:p>
        </w:tc>
        <w:tc>
          <w:tcPr>
            <w:shd w:color="FFFFFF" w:val="solid"/>
            <w:tcMar>
              <w:top w:type="dxa" w:w="60"/>
              <w:left w:type="dxa" w:w="100"/>
              <w:bottom w:type="dxa" w:w="60"/>
              <w:right w:type="dxa" w:w="100"/>
            </w:tcMar>
          </w:tcPr>
          <w:p>
            <w:r>
              <w:rPr>
                <w:color w:val="1C1C1C"/>
                <w:sz w:val="20"/>
                <w:szCs w:val="20"/>
              </w:rPr>
              <w:t xml:space="preserve">Dual-camera staggered scan zones</w:t>
            </w:r>
          </w:p>
        </w:tc>
      </w:tr>
    </w:tbl>
    <w:p>
      <w:pPr>
        <w:spacing w:before="200"/>
      </w:pPr>
    </w:p>
    <w:p>
      <w:pPr>
        <w:spacing w:after="120" w:before="240"/>
      </w:pPr>
      <w:r>
        <w:rPr>
          <w:b/>
          <w:bCs/>
          <w:color w:val="00A86B"/>
          <w:sz w:val="24"/>
          <w:szCs w:val="24"/>
        </w:rPr>
        <w:t xml:space="preserve">Computer Vision (YOLOv8/YOLOv10) — Shape &amp; Brand Intelligence</w:t>
      </w:r>
    </w:p>
    <w:p>
      <w:pPr>
        <w:spacing w:after="100" w:before="80"/>
      </w:pPr>
      <w:r>
        <w:rPr>
          <w:color w:val="1C1C1C"/>
          <w:sz w:val="22"/>
          <w:szCs w:val="22"/>
        </w:rPr>
        <w:t xml:space="preserve">Modern object detection models achieve &gt;90% accuracy in real-world recycling environments. Taiwan-specific datasets are essential for recognizing local brands (Uni-President, HeySong, TTL) that dominate waste streams. AI-powered sorting in Taiwan MRFs has demonstrated throughput increases from 2 to 10 tonnes/hour alongside 70%+ labor reduction in repetitive sorting roles (IRO Journals, 2024).</w:t>
      </w:r>
    </w:p>
    <w:p>
      <w:pPr>
        <w:spacing w:after="80" w:before="180"/>
      </w:pPr>
      <w:r>
        <w:rPr>
          <w:b/>
          <w:bCs/>
          <w:i/>
          <w:iCs/>
          <w:color w:val="1A3C5E"/>
          <w:sz w:val="22"/>
          <w:szCs w:val="22"/>
        </w:rPr>
        <w:t xml:space="preserve">Complete Sensor Fusion Matrix — The 'Sort-Master' System</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00A86B" w:val="solid"/>
            <w:tcMar>
              <w:top w:type="dxa" w:w="80"/>
              <w:left w:type="dxa" w:w="100"/>
              <w:bottom w:type="dxa" w:w="80"/>
              <w:right w:type="dxa" w:w="100"/>
            </w:tcMar>
          </w:tcPr>
          <w:p>
            <w:pPr>
              <w:jc w:val="center"/>
            </w:pPr>
            <w:r>
              <w:rPr>
                <w:b/>
                <w:bCs/>
                <w:color w:val="FFFFFF"/>
                <w:sz w:val="20"/>
                <w:szCs w:val="20"/>
              </w:rPr>
              <w:t xml:space="preserve">Sensor Type</w:t>
            </w:r>
          </w:p>
        </w:tc>
        <w:tc>
          <w:tcPr>
            <w:shd w:color="00A86B" w:val="solid"/>
            <w:tcMar>
              <w:top w:type="dxa" w:w="80"/>
              <w:left w:type="dxa" w:w="100"/>
              <w:bottom w:type="dxa" w:w="80"/>
              <w:right w:type="dxa" w:w="100"/>
            </w:tcMar>
          </w:tcPr>
          <w:p>
            <w:pPr>
              <w:jc w:val="center"/>
            </w:pPr>
            <w:r>
              <w:rPr>
                <w:b/>
                <w:bCs/>
                <w:color w:val="FFFFFF"/>
                <w:sz w:val="20"/>
                <w:szCs w:val="20"/>
              </w:rPr>
              <w:t xml:space="preserve">Target Material</w:t>
            </w:r>
          </w:p>
        </w:tc>
        <w:tc>
          <w:tcPr>
            <w:shd w:color="00A86B" w:val="solid"/>
            <w:tcMar>
              <w:top w:type="dxa" w:w="80"/>
              <w:left w:type="dxa" w:w="100"/>
              <w:bottom w:type="dxa" w:w="80"/>
              <w:right w:type="dxa" w:w="100"/>
            </w:tcMar>
          </w:tcPr>
          <w:p>
            <w:pPr>
              <w:jc w:val="center"/>
            </w:pPr>
            <w:r>
              <w:rPr>
                <w:b/>
                <w:bCs/>
                <w:color w:val="FFFFFF"/>
                <w:sz w:val="20"/>
                <w:szCs w:val="20"/>
              </w:rPr>
              <w:t xml:space="preserve">Detection Logic</w:t>
            </w:r>
          </w:p>
        </w:tc>
      </w:tr>
      <w:tr>
        <w:tc>
          <w:tcPr>
            <w:shd w:color="F7FBFA" w:val="solid"/>
            <w:tcMar>
              <w:top w:type="dxa" w:w="60"/>
              <w:left w:type="dxa" w:w="100"/>
              <w:bottom w:type="dxa" w:w="60"/>
              <w:right w:type="dxa" w:w="100"/>
            </w:tcMar>
          </w:tcPr>
          <w:p>
            <w:r>
              <w:rPr>
                <w:color w:val="1C1C1C"/>
                <w:sz w:val="20"/>
                <w:szCs w:val="20"/>
              </w:rPr>
              <w:t xml:space="preserve">NIR Spectrometer (1,450–2,450 nm)</w:t>
            </w:r>
          </w:p>
        </w:tc>
        <w:tc>
          <w:tcPr>
            <w:shd w:color="F7FBFA" w:val="solid"/>
            <w:tcMar>
              <w:top w:type="dxa" w:w="60"/>
              <w:left w:type="dxa" w:w="100"/>
              <w:bottom w:type="dxa" w:w="60"/>
              <w:right w:type="dxa" w:w="100"/>
            </w:tcMar>
          </w:tcPr>
          <w:p>
            <w:r>
              <w:rPr>
                <w:color w:val="1C1C1C"/>
                <w:sz w:val="20"/>
                <w:szCs w:val="20"/>
              </w:rPr>
              <w:t xml:space="preserve">All plastics, fiber composites</w:t>
            </w:r>
          </w:p>
        </w:tc>
        <w:tc>
          <w:tcPr>
            <w:shd w:color="F7FBFA" w:val="solid"/>
            <w:tcMar>
              <w:top w:type="dxa" w:w="60"/>
              <w:left w:type="dxa" w:w="100"/>
              <w:bottom w:type="dxa" w:w="60"/>
              <w:right w:type="dxa" w:w="100"/>
            </w:tcMar>
          </w:tcPr>
          <w:p>
            <w:r>
              <w:rPr>
                <w:color w:val="1C1C1C"/>
                <w:sz w:val="20"/>
                <w:szCs w:val="20"/>
              </w:rPr>
              <w:t xml:space="preserve">Molecular polymer fingerprint</w:t>
            </w:r>
          </w:p>
        </w:tc>
      </w:tr>
      <w:tr>
        <w:tc>
          <w:tcPr>
            <w:shd w:color="FFFFFF" w:val="solid"/>
            <w:tcMar>
              <w:top w:type="dxa" w:w="60"/>
              <w:left w:type="dxa" w:w="100"/>
              <w:bottom w:type="dxa" w:w="60"/>
              <w:right w:type="dxa" w:w="100"/>
            </w:tcMar>
          </w:tcPr>
          <w:p>
            <w:r>
              <w:rPr>
                <w:color w:val="1C1C1C"/>
                <w:sz w:val="20"/>
                <w:szCs w:val="20"/>
              </w:rPr>
              <w:t xml:space="preserve">4K RGB Camera + YOLOv8</w:t>
            </w:r>
          </w:p>
        </w:tc>
        <w:tc>
          <w:tcPr>
            <w:shd w:color="FFFFFF" w:val="solid"/>
            <w:tcMar>
              <w:top w:type="dxa" w:w="60"/>
              <w:left w:type="dxa" w:w="100"/>
              <w:bottom w:type="dxa" w:w="60"/>
              <w:right w:type="dxa" w:w="100"/>
            </w:tcMar>
          </w:tcPr>
          <w:p>
            <w:r>
              <w:rPr>
                <w:color w:val="1C1C1C"/>
                <w:sz w:val="20"/>
                <w:szCs w:val="20"/>
              </w:rPr>
              <w:t xml:space="preserve">Shape, brand, color</w:t>
            </w:r>
          </w:p>
        </w:tc>
        <w:tc>
          <w:tcPr>
            <w:shd w:color="FFFFFF" w:val="solid"/>
            <w:tcMar>
              <w:top w:type="dxa" w:w="60"/>
              <w:left w:type="dxa" w:w="100"/>
              <w:bottom w:type="dxa" w:w="60"/>
              <w:right w:type="dxa" w:w="100"/>
            </w:tcMar>
          </w:tcPr>
          <w:p>
            <w:r>
              <w:rPr>
                <w:color w:val="1C1C1C"/>
                <w:sz w:val="20"/>
                <w:szCs w:val="20"/>
              </w:rPr>
              <w:t xml:space="preserve">Visual classification + label reading</w:t>
            </w:r>
          </w:p>
        </w:tc>
      </w:tr>
      <w:tr>
        <w:tc>
          <w:tcPr>
            <w:shd w:color="F7FBFA" w:val="solid"/>
            <w:tcMar>
              <w:top w:type="dxa" w:w="60"/>
              <w:left w:type="dxa" w:w="100"/>
              <w:bottom w:type="dxa" w:w="60"/>
              <w:right w:type="dxa" w:w="100"/>
            </w:tcMar>
          </w:tcPr>
          <w:p>
            <w:r>
              <w:rPr>
                <w:color w:val="1C1C1C"/>
                <w:sz w:val="20"/>
                <w:szCs w:val="20"/>
              </w:rPr>
              <w:t xml:space="preserve">Eddy Current Sensor</w:t>
            </w:r>
          </w:p>
        </w:tc>
        <w:tc>
          <w:tcPr>
            <w:shd w:color="F7FBFA" w:val="solid"/>
            <w:tcMar>
              <w:top w:type="dxa" w:w="60"/>
              <w:left w:type="dxa" w:w="100"/>
              <w:bottom w:type="dxa" w:w="60"/>
              <w:right w:type="dxa" w:w="100"/>
            </w:tcMar>
          </w:tcPr>
          <w:p>
            <w:r>
              <w:rPr>
                <w:color w:val="1C1C1C"/>
                <w:sz w:val="20"/>
                <w:szCs w:val="20"/>
              </w:rPr>
              <w:t xml:space="preserve">Aluminum (non-ferrous)</w:t>
            </w:r>
          </w:p>
        </w:tc>
        <w:tc>
          <w:tcPr>
            <w:shd w:color="F7FBFA" w:val="solid"/>
            <w:tcMar>
              <w:top w:type="dxa" w:w="60"/>
              <w:left w:type="dxa" w:w="100"/>
              <w:bottom w:type="dxa" w:w="60"/>
              <w:right w:type="dxa" w:w="100"/>
            </w:tcMar>
          </w:tcPr>
          <w:p>
            <w:r>
              <w:rPr>
                <w:color w:val="1C1C1C"/>
                <w:sz w:val="20"/>
                <w:szCs w:val="20"/>
              </w:rPr>
              <w:t xml:space="preserve">Conductivity field measurement</w:t>
            </w:r>
          </w:p>
        </w:tc>
      </w:tr>
      <w:tr>
        <w:tc>
          <w:tcPr>
            <w:shd w:color="FFFFFF" w:val="solid"/>
            <w:tcMar>
              <w:top w:type="dxa" w:w="60"/>
              <w:left w:type="dxa" w:w="100"/>
              <w:bottom w:type="dxa" w:w="60"/>
              <w:right w:type="dxa" w:w="100"/>
            </w:tcMar>
          </w:tcPr>
          <w:p>
            <w:r>
              <w:rPr>
                <w:color w:val="1C1C1C"/>
                <w:sz w:val="20"/>
                <w:szCs w:val="20"/>
              </w:rPr>
              <w:t xml:space="preserve">Static Magnetic Sensor</w:t>
            </w:r>
          </w:p>
        </w:tc>
        <w:tc>
          <w:tcPr>
            <w:shd w:color="FFFFFF" w:val="solid"/>
            <w:tcMar>
              <w:top w:type="dxa" w:w="60"/>
              <w:left w:type="dxa" w:w="100"/>
              <w:bottom w:type="dxa" w:w="60"/>
              <w:right w:type="dxa" w:w="100"/>
            </w:tcMar>
          </w:tcPr>
          <w:p>
            <w:r>
              <w:rPr>
                <w:color w:val="1C1C1C"/>
                <w:sz w:val="20"/>
                <w:szCs w:val="20"/>
              </w:rPr>
              <w:t xml:space="preserve">Iron/steel cans</w:t>
            </w:r>
          </w:p>
        </w:tc>
        <w:tc>
          <w:tcPr>
            <w:shd w:color="FFFFFF" w:val="solid"/>
            <w:tcMar>
              <w:top w:type="dxa" w:w="60"/>
              <w:left w:type="dxa" w:w="100"/>
              <w:bottom w:type="dxa" w:w="60"/>
              <w:right w:type="dxa" w:w="100"/>
            </w:tcMar>
          </w:tcPr>
          <w:p>
            <w:r>
              <w:rPr>
                <w:color w:val="1C1C1C"/>
                <w:sz w:val="20"/>
                <w:szCs w:val="20"/>
              </w:rPr>
              <w:t xml:space="preserve">Ferrous detection</w:t>
            </w:r>
          </w:p>
        </w:tc>
      </w:tr>
      <w:tr>
        <w:tc>
          <w:tcPr>
            <w:shd w:color="F7FBFA" w:val="solid"/>
            <w:tcMar>
              <w:top w:type="dxa" w:w="60"/>
              <w:left w:type="dxa" w:w="100"/>
              <w:bottom w:type="dxa" w:w="60"/>
              <w:right w:type="dxa" w:w="100"/>
            </w:tcMar>
          </w:tcPr>
          <w:p>
            <w:r>
              <w:rPr>
                <w:color w:val="1C1C1C"/>
                <w:sz w:val="20"/>
                <w:szCs w:val="20"/>
              </w:rPr>
              <w:t xml:space="preserve">Acoustic Resonance Ping</w:t>
            </w:r>
          </w:p>
        </w:tc>
        <w:tc>
          <w:tcPr>
            <w:shd w:color="F7FBFA" w:val="solid"/>
            <w:tcMar>
              <w:top w:type="dxa" w:w="60"/>
              <w:left w:type="dxa" w:w="100"/>
              <w:bottom w:type="dxa" w:w="60"/>
              <w:right w:type="dxa" w:w="100"/>
            </w:tcMar>
          </w:tcPr>
          <w:p>
            <w:r>
              <w:rPr>
                <w:color w:val="1C1C1C"/>
                <w:sz w:val="20"/>
                <w:szCs w:val="20"/>
              </w:rPr>
              <w:t xml:space="preserve">Glass vs. thick plastic</w:t>
            </w:r>
          </w:p>
        </w:tc>
        <w:tc>
          <w:tcPr>
            <w:shd w:color="F7FBFA" w:val="solid"/>
            <w:tcMar>
              <w:top w:type="dxa" w:w="60"/>
              <w:left w:type="dxa" w:w="100"/>
              <w:bottom w:type="dxa" w:w="60"/>
              <w:right w:type="dxa" w:w="100"/>
            </w:tcMar>
          </w:tcPr>
          <w:p>
            <w:r>
              <w:rPr>
                <w:color w:val="1C1C1C"/>
                <w:sz w:val="20"/>
                <w:szCs w:val="20"/>
              </w:rPr>
              <w:t xml:space="preserve">Vibration frequency analysis</w:t>
            </w:r>
          </w:p>
        </w:tc>
      </w:tr>
      <w:tr>
        <w:tc>
          <w:tcPr>
            <w:shd w:color="FFFFFF" w:val="solid"/>
            <w:tcMar>
              <w:top w:type="dxa" w:w="60"/>
              <w:left w:type="dxa" w:w="100"/>
              <w:bottom w:type="dxa" w:w="60"/>
              <w:right w:type="dxa" w:w="100"/>
            </w:tcMar>
          </w:tcPr>
          <w:p>
            <w:r>
              <w:rPr>
                <w:color w:val="1C1C1C"/>
                <w:sz w:val="20"/>
                <w:szCs w:val="20"/>
              </w:rPr>
              <w:t xml:space="preserve">Moisture Sensor</w:t>
            </w:r>
          </w:p>
        </w:tc>
        <w:tc>
          <w:tcPr>
            <w:shd w:color="FFFFFF" w:val="solid"/>
            <w:tcMar>
              <w:top w:type="dxa" w:w="60"/>
              <w:left w:type="dxa" w:w="100"/>
              <w:bottom w:type="dxa" w:w="60"/>
              <w:right w:type="dxa" w:w="100"/>
            </w:tcMar>
          </w:tcPr>
          <w:p>
            <w:r>
              <w:rPr>
                <w:color w:val="1C1C1C"/>
                <w:sz w:val="20"/>
                <w:szCs w:val="20"/>
              </w:rPr>
              <w:t xml:space="preserve">Organic/wet waste</w:t>
            </w:r>
          </w:p>
        </w:tc>
        <w:tc>
          <w:tcPr>
            <w:shd w:color="FFFFFF" w:val="solid"/>
            <w:tcMar>
              <w:top w:type="dxa" w:w="60"/>
              <w:left w:type="dxa" w:w="100"/>
              <w:bottom w:type="dxa" w:w="60"/>
              <w:right w:type="dxa" w:w="100"/>
            </w:tcMar>
          </w:tcPr>
          <w:p>
            <w:r>
              <w:rPr>
                <w:color w:val="1C1C1C"/>
                <w:sz w:val="20"/>
                <w:szCs w:val="20"/>
              </w:rPr>
              <w:t xml:space="preserve">Humidity level threshold</w:t>
            </w:r>
          </w:p>
        </w:tc>
      </w:tr>
    </w:tbl>
    <w:p>
      <w:pPr>
        <w:pBdr>
          <w:bottom w:val="single" w:color="00A86B" w:sz="6"/>
        </w:pBdr>
        <w:spacing w:after="160" w:before="320"/>
      </w:pPr>
      <w:r>
        <w:rPr>
          <w:b/>
          <w:bCs/>
          <w:color w:val="1A3C5E"/>
          <w:sz w:val="28"/>
          <w:szCs w:val="28"/>
        </w:rPr>
        <w:t xml:space="preserve">1.3  Market Context &amp; Competitive Intelligence</w:t>
      </w:r>
    </w:p>
    <w:p>
      <w:pPr>
        <w:spacing w:after="120" w:before="240"/>
      </w:pPr>
      <w:r>
        <w:rPr>
          <w:b/>
          <w:bCs/>
          <w:color w:val="00A86B"/>
          <w:sz w:val="24"/>
          <w:szCs w:val="24"/>
        </w:rPr>
        <w:t xml:space="preserve">Taiwan AI Sorting Landscape (2024)</w:t>
      </w:r>
    </w:p>
    <w:p>
      <w:pPr>
        <w:pStyle w:val="ListParagraph"/>
        <w:numPr>
          <w:ilvl w:val="0"/>
          <w:numId w:val="1"/>
        </w:numPr>
        <w:spacing w:after="60" w:before="40"/>
      </w:pPr>
      <w:r>
        <w:rPr>
          <w:color w:val="1C1C1C"/>
          <w:sz w:val="22"/>
          <w:szCs w:val="22"/>
        </w:rPr>
        <w:t xml:space="preserve">New Taipei City has deployed AI-powered robotic sorting arms in MRFs.</w:t>
      </w:r>
    </w:p>
    <w:p>
      <w:pPr>
        <w:pStyle w:val="ListParagraph"/>
        <w:numPr>
          <w:ilvl w:val="0"/>
          <w:numId w:val="1"/>
        </w:numPr>
        <w:spacing w:after="60" w:before="40"/>
      </w:pPr>
      <w:r>
        <w:rPr>
          <w:color w:val="1C1C1C"/>
          <w:sz w:val="22"/>
          <w:szCs w:val="22"/>
        </w:rPr>
        <w:t xml:space="preserve">Taiwan's Ministry of Environment is funding industry-academia collaborations for smart circularity, indicating B2G procurement readiness.</w:t>
      </w:r>
    </w:p>
    <w:p>
      <w:pPr>
        <w:pStyle w:val="ListParagraph"/>
        <w:numPr>
          <w:ilvl w:val="0"/>
          <w:numId w:val="1"/>
        </w:numPr>
        <w:spacing w:after="60" w:before="40"/>
      </w:pPr>
      <w:r>
        <w:rPr>
          <w:color w:val="1C1C1C"/>
          <w:sz w:val="22"/>
          <w:szCs w:val="22"/>
        </w:rPr>
        <w:t xml:space="preserve">Extended Producer Responsibility (EPR) legislation is expanding, increasing brand-owner financial incentive to fund sorting infrastructure.</w:t>
      </w:r>
    </w:p>
    <w:p>
      <w:pPr>
        <w:spacing w:before="100"/>
      </w:pPr>
    </w:p>
    <w:p>
      <w:pPr>
        <w:spacing w:after="120" w:before="240"/>
      </w:pPr>
      <w:r>
        <w:rPr>
          <w:b/>
          <w:bCs/>
          <w:color w:val="00A86B"/>
          <w:sz w:val="24"/>
          <w:szCs w:val="24"/>
        </w:rPr>
        <w:t xml:space="preserve">Global Competitive Landscape</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Company</w:t>
            </w:r>
          </w:p>
        </w:tc>
        <w:tc>
          <w:tcPr>
            <w:shd w:color="1A3C5E" w:val="solid"/>
            <w:tcMar>
              <w:top w:type="dxa" w:w="80"/>
              <w:left w:type="dxa" w:w="100"/>
              <w:bottom w:type="dxa" w:w="80"/>
              <w:right w:type="dxa" w:w="100"/>
            </w:tcMar>
          </w:tcPr>
          <w:p>
            <w:pPr>
              <w:jc w:val="center"/>
            </w:pPr>
            <w:r>
              <w:rPr>
                <w:b/>
                <w:bCs/>
                <w:color w:val="FFFFFF"/>
                <w:sz w:val="20"/>
                <w:szCs w:val="20"/>
              </w:rPr>
              <w:t xml:space="preserve">Technology</w:t>
            </w:r>
          </w:p>
        </w:tc>
        <w:tc>
          <w:tcPr>
            <w:shd w:color="1A3C5E" w:val="solid"/>
            <w:tcMar>
              <w:top w:type="dxa" w:w="80"/>
              <w:left w:type="dxa" w:w="100"/>
              <w:bottom w:type="dxa" w:w="80"/>
              <w:right w:type="dxa" w:w="100"/>
            </w:tcMar>
          </w:tcPr>
          <w:p>
            <w:pPr>
              <w:jc w:val="center"/>
            </w:pPr>
            <w:r>
              <w:rPr>
                <w:b/>
                <w:bCs/>
                <w:color w:val="FFFFFF"/>
                <w:sz w:val="20"/>
                <w:szCs w:val="20"/>
              </w:rPr>
              <w:t xml:space="preserve">Limitation vs. Our Approach</w:t>
            </w:r>
          </w:p>
        </w:tc>
      </w:tr>
      <w:tr>
        <w:tc>
          <w:tcPr>
            <w:shd w:color="F7FBFA" w:val="solid"/>
            <w:tcMar>
              <w:top w:type="dxa" w:w="60"/>
              <w:left w:type="dxa" w:w="100"/>
              <w:bottom w:type="dxa" w:w="60"/>
              <w:right w:type="dxa" w:w="100"/>
            </w:tcMar>
          </w:tcPr>
          <w:p>
            <w:r>
              <w:rPr>
                <w:color w:val="1C1C1C"/>
                <w:sz w:val="20"/>
                <w:szCs w:val="20"/>
              </w:rPr>
              <w:t xml:space="preserve">AMP Robotics (USA)</w:t>
            </w:r>
          </w:p>
        </w:tc>
        <w:tc>
          <w:tcPr>
            <w:shd w:color="F7FBFA" w:val="solid"/>
            <w:tcMar>
              <w:top w:type="dxa" w:w="60"/>
              <w:left w:type="dxa" w:w="100"/>
              <w:bottom w:type="dxa" w:w="60"/>
              <w:right w:type="dxa" w:w="100"/>
            </w:tcMar>
          </w:tcPr>
          <w:p>
            <w:r>
              <w:rPr>
                <w:color w:val="1C1C1C"/>
                <w:sz w:val="20"/>
                <w:szCs w:val="20"/>
              </w:rPr>
              <w:t xml:space="preserve">Computer vision + robotics</w:t>
            </w:r>
          </w:p>
        </w:tc>
        <w:tc>
          <w:tcPr>
            <w:shd w:color="F7FBFA" w:val="solid"/>
            <w:tcMar>
              <w:top w:type="dxa" w:w="60"/>
              <w:left w:type="dxa" w:w="100"/>
              <w:bottom w:type="dxa" w:w="60"/>
              <w:right w:type="dxa" w:w="100"/>
            </w:tcMar>
          </w:tcPr>
          <w:p>
            <w:r>
              <w:rPr>
                <w:color w:val="1C1C1C"/>
                <w:sz w:val="20"/>
                <w:szCs w:val="20"/>
              </w:rPr>
              <w:t xml:space="preserve">Vision-only; misses resin-level molecular ID</w:t>
            </w:r>
          </w:p>
        </w:tc>
      </w:tr>
      <w:tr>
        <w:tc>
          <w:tcPr>
            <w:shd w:color="FFFFFF" w:val="solid"/>
            <w:tcMar>
              <w:top w:type="dxa" w:w="60"/>
              <w:left w:type="dxa" w:w="100"/>
              <w:bottom w:type="dxa" w:w="60"/>
              <w:right w:type="dxa" w:w="100"/>
            </w:tcMar>
          </w:tcPr>
          <w:p>
            <w:r>
              <w:rPr>
                <w:color w:val="1C1C1C"/>
                <w:sz w:val="20"/>
                <w:szCs w:val="20"/>
              </w:rPr>
              <w:t xml:space="preserve">Recycleye (UK)</w:t>
            </w:r>
          </w:p>
        </w:tc>
        <w:tc>
          <w:tcPr>
            <w:shd w:color="FFFFFF" w:val="solid"/>
            <w:tcMar>
              <w:top w:type="dxa" w:w="60"/>
              <w:left w:type="dxa" w:w="100"/>
              <w:bottom w:type="dxa" w:w="60"/>
              <w:right w:type="dxa" w:w="100"/>
            </w:tcMar>
          </w:tcPr>
          <w:p>
            <w:r>
              <w:rPr>
                <w:color w:val="1C1C1C"/>
                <w:sz w:val="20"/>
                <w:szCs w:val="20"/>
              </w:rPr>
              <w:t xml:space="preserve">AI vision sorters</w:t>
            </w:r>
          </w:p>
        </w:tc>
        <w:tc>
          <w:tcPr>
            <w:shd w:color="FFFFFF" w:val="solid"/>
            <w:tcMar>
              <w:top w:type="dxa" w:w="60"/>
              <w:left w:type="dxa" w:w="100"/>
              <w:bottom w:type="dxa" w:w="60"/>
              <w:right w:type="dxa" w:w="100"/>
            </w:tcMar>
          </w:tcPr>
          <w:p>
            <w:r>
              <w:rPr>
                <w:color w:val="1C1C1C"/>
                <w:sz w:val="20"/>
                <w:szCs w:val="20"/>
              </w:rPr>
              <w:t xml:space="preserve">No NIR spectroscopy integration</w:t>
            </w:r>
          </w:p>
        </w:tc>
      </w:tr>
      <w:tr>
        <w:tc>
          <w:tcPr>
            <w:shd w:color="F7FBFA" w:val="solid"/>
            <w:tcMar>
              <w:top w:type="dxa" w:w="60"/>
              <w:left w:type="dxa" w:w="100"/>
              <w:bottom w:type="dxa" w:w="60"/>
              <w:right w:type="dxa" w:w="100"/>
            </w:tcMar>
          </w:tcPr>
          <w:p>
            <w:r>
              <w:rPr>
                <w:color w:val="1C1C1C"/>
                <w:sz w:val="20"/>
                <w:szCs w:val="20"/>
              </w:rPr>
              <w:t xml:space="preserve">Tomra (Norway)</w:t>
            </w:r>
          </w:p>
        </w:tc>
        <w:tc>
          <w:tcPr>
            <w:shd w:color="F7FBFA" w:val="solid"/>
            <w:tcMar>
              <w:top w:type="dxa" w:w="60"/>
              <w:left w:type="dxa" w:w="100"/>
              <w:bottom w:type="dxa" w:w="60"/>
              <w:right w:type="dxa" w:w="100"/>
            </w:tcMar>
          </w:tcPr>
          <w:p>
            <w:r>
              <w:rPr>
                <w:color w:val="1C1C1C"/>
                <w:sz w:val="20"/>
                <w:szCs w:val="20"/>
              </w:rPr>
              <w:t xml:space="preserve">NIR sorters</w:t>
            </w:r>
          </w:p>
        </w:tc>
        <w:tc>
          <w:tcPr>
            <w:shd w:color="F7FBFA" w:val="solid"/>
            <w:tcMar>
              <w:top w:type="dxa" w:w="60"/>
              <w:left w:type="dxa" w:w="100"/>
              <w:bottom w:type="dxa" w:w="60"/>
              <w:right w:type="dxa" w:w="100"/>
            </w:tcMar>
          </w:tcPr>
          <w:p>
            <w:r>
              <w:rPr>
                <w:color w:val="1C1C1C"/>
                <w:sz w:val="20"/>
                <w:szCs w:val="20"/>
              </w:rPr>
              <w:t xml:space="preserve">No AI federated learning or AR tools</w:t>
            </w:r>
          </w:p>
        </w:tc>
      </w:tr>
      <w:tr>
        <w:tc>
          <w:tcPr>
            <w:shd w:color="FFFFFF" w:val="solid"/>
            <w:tcMar>
              <w:top w:type="dxa" w:w="60"/>
              <w:left w:type="dxa" w:w="100"/>
              <w:bottom w:type="dxa" w:w="60"/>
              <w:right w:type="dxa" w:w="100"/>
            </w:tcMar>
          </w:tcPr>
          <w:p>
            <w:r>
              <w:rPr>
                <w:color w:val="1C1C1C"/>
                <w:sz w:val="20"/>
                <w:szCs w:val="20"/>
              </w:rPr>
              <w:t xml:space="preserve">ZenRobotics (Finland)</w:t>
            </w:r>
          </w:p>
        </w:tc>
        <w:tc>
          <w:tcPr>
            <w:shd w:color="FFFFFF" w:val="solid"/>
            <w:tcMar>
              <w:top w:type="dxa" w:w="60"/>
              <w:left w:type="dxa" w:w="100"/>
              <w:bottom w:type="dxa" w:w="60"/>
              <w:right w:type="dxa" w:w="100"/>
            </w:tcMar>
          </w:tcPr>
          <w:p>
            <w:r>
              <w:rPr>
                <w:color w:val="1C1C1C"/>
                <w:sz w:val="20"/>
                <w:szCs w:val="20"/>
              </w:rPr>
              <w:t xml:space="preserve">AI + robotics</w:t>
            </w:r>
          </w:p>
        </w:tc>
        <w:tc>
          <w:tcPr>
            <w:shd w:color="FFFFFF" w:val="solid"/>
            <w:tcMar>
              <w:top w:type="dxa" w:w="60"/>
              <w:left w:type="dxa" w:w="100"/>
              <w:bottom w:type="dxa" w:w="60"/>
              <w:right w:type="dxa" w:w="100"/>
            </w:tcMar>
          </w:tcPr>
          <w:p>
            <w:r>
              <w:rPr>
                <w:color w:val="1C1C1C"/>
                <w:sz w:val="20"/>
                <w:szCs w:val="20"/>
              </w:rPr>
              <w:t xml:space="preserve">Industrial scale only; no AR worker empowerment</w:t>
            </w:r>
          </w:p>
        </w:tc>
      </w:tr>
    </w:tbl>
    <w:p>
      <w:pPr>
        <w:spacing w:before="80"/>
      </w:pPr>
    </w:p>
    <w:p>
      <w:pPr>
        <w:pBdr>
          <w:left w:val="thick" w:color="00A86B" w:sz="12"/>
        </w:pBdr>
        <w:shd w:color="F0F7F4" w:val="solid"/>
        <w:spacing w:after="120" w:before="120"/>
        <w:ind w:left="576"/>
      </w:pPr>
      <w:r>
        <w:rPr>
          <w:i/>
          <w:iCs/>
          <w:color w:val="1A3C5E"/>
          <w:sz w:val="22"/>
          <w:szCs w:val="22"/>
        </w:rPr>
        <w:t xml:space="preserve">Our Differentiation: The only Taiwan-market system combining NIR molecular ID + YOLOv8 brand recognition + AR worker empowerment + Federated Learning for new composite materials.</w:t>
      </w:r>
    </w:p>
    <w:p>
      <w:pPr>
        <w:pBdr>
          <w:bottom w:val="single" w:color="00A86B" w:sz="6"/>
        </w:pBdr>
        <w:spacing w:after="160" w:before="320"/>
      </w:pPr>
      <w:r>
        <w:rPr>
          <w:b/>
          <w:bCs/>
          <w:color w:val="1A3C5E"/>
          <w:sz w:val="28"/>
          <w:szCs w:val="28"/>
        </w:rPr>
        <w:t xml:space="preserve">1.4  Financial Architecture</w:t>
      </w:r>
    </w:p>
    <w:p>
      <w:pPr>
        <w:spacing w:after="120" w:before="240"/>
      </w:pPr>
      <w:r>
        <w:rPr>
          <w:b/>
          <w:bCs/>
          <w:color w:val="00A86B"/>
          <w:sz w:val="24"/>
          <w:szCs w:val="24"/>
        </w:rPr>
        <w:t xml:space="preserve">Revenue Streams</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Revenue Model</w:t>
            </w:r>
          </w:p>
        </w:tc>
        <w:tc>
          <w:tcPr>
            <w:shd w:color="1A3C5E" w:val="solid"/>
            <w:tcMar>
              <w:top w:type="dxa" w:w="80"/>
              <w:left w:type="dxa" w:w="100"/>
              <w:bottom w:type="dxa" w:w="80"/>
              <w:right w:type="dxa" w:w="100"/>
            </w:tcMar>
          </w:tcPr>
          <w:p>
            <w:pPr>
              <w:jc w:val="center"/>
            </w:pPr>
            <w:r>
              <w:rPr>
                <w:b/>
                <w:bCs/>
                <w:color w:val="FFFFFF"/>
                <w:sz w:val="20"/>
                <w:szCs w:val="20"/>
              </w:rPr>
              <w:t xml:space="preserve">Description</w:t>
            </w:r>
          </w:p>
        </w:tc>
        <w:tc>
          <w:tcPr>
            <w:shd w:color="1A3C5E" w:val="solid"/>
            <w:tcMar>
              <w:top w:type="dxa" w:w="80"/>
              <w:left w:type="dxa" w:w="100"/>
              <w:bottom w:type="dxa" w:w="80"/>
              <w:right w:type="dxa" w:w="100"/>
            </w:tcMar>
          </w:tcPr>
          <w:p>
            <w:pPr>
              <w:jc w:val="center"/>
            </w:pPr>
            <w:r>
              <w:rPr>
                <w:b/>
                <w:bCs/>
                <w:color w:val="FFFFFF"/>
                <w:sz w:val="20"/>
                <w:szCs w:val="20"/>
              </w:rPr>
              <w:t xml:space="preserve">Margin Profile</w:t>
            </w:r>
          </w:p>
        </w:tc>
      </w:tr>
      <w:tr>
        <w:tc>
          <w:tcPr>
            <w:shd w:color="F7FBFA" w:val="solid"/>
            <w:tcMar>
              <w:top w:type="dxa" w:w="60"/>
              <w:left w:type="dxa" w:w="100"/>
              <w:bottom w:type="dxa" w:w="60"/>
              <w:right w:type="dxa" w:w="100"/>
            </w:tcMar>
          </w:tcPr>
          <w:p>
            <w:r>
              <w:rPr>
                <w:color w:val="1C1C1C"/>
                <w:sz w:val="20"/>
                <w:szCs w:val="20"/>
              </w:rPr>
              <w:t xml:space="preserve">B2B Equipment Leasing</w:t>
            </w:r>
          </w:p>
        </w:tc>
        <w:tc>
          <w:tcPr>
            <w:shd w:color="F7FBFA" w:val="solid"/>
            <w:tcMar>
              <w:top w:type="dxa" w:w="60"/>
              <w:left w:type="dxa" w:w="100"/>
              <w:bottom w:type="dxa" w:w="60"/>
              <w:right w:type="dxa" w:w="100"/>
            </w:tcMar>
          </w:tcPr>
          <w:p>
            <w:r>
              <w:rPr>
                <w:color w:val="1C1C1C"/>
                <w:sz w:val="20"/>
                <w:szCs w:val="20"/>
              </w:rPr>
              <w:t xml:space="preserve">Sort-Master units to MRFs &amp; property managers</w:t>
            </w:r>
          </w:p>
        </w:tc>
        <w:tc>
          <w:tcPr>
            <w:shd w:color="F7FBFA" w:val="solid"/>
            <w:tcMar>
              <w:top w:type="dxa" w:w="60"/>
              <w:left w:type="dxa" w:w="100"/>
              <w:bottom w:type="dxa" w:w="60"/>
              <w:right w:type="dxa" w:w="100"/>
            </w:tcMar>
          </w:tcPr>
          <w:p>
            <w:r>
              <w:rPr>
                <w:color w:val="1C1C1C"/>
                <w:sz w:val="20"/>
                <w:szCs w:val="20"/>
              </w:rPr>
              <w:t xml:space="preserve">Medium</w:t>
            </w:r>
          </w:p>
        </w:tc>
      </w:tr>
      <w:tr>
        <w:tc>
          <w:tcPr>
            <w:shd w:color="FFFFFF" w:val="solid"/>
            <w:tcMar>
              <w:top w:type="dxa" w:w="60"/>
              <w:left w:type="dxa" w:w="100"/>
              <w:bottom w:type="dxa" w:w="60"/>
              <w:right w:type="dxa" w:w="100"/>
            </w:tcMar>
          </w:tcPr>
          <w:p>
            <w:r>
              <w:rPr>
                <w:color w:val="1C1C1C"/>
                <w:sz w:val="20"/>
                <w:szCs w:val="20"/>
              </w:rPr>
              <w:t xml:space="preserve">B2G Data-as-a-Service</w:t>
            </w:r>
          </w:p>
        </w:tc>
        <w:tc>
          <w:tcPr>
            <w:shd w:color="FFFFFF" w:val="solid"/>
            <w:tcMar>
              <w:top w:type="dxa" w:w="60"/>
              <w:left w:type="dxa" w:w="100"/>
              <w:bottom w:type="dxa" w:w="60"/>
              <w:right w:type="dxa" w:w="100"/>
            </w:tcMar>
          </w:tcPr>
          <w:p>
            <w:r>
              <w:rPr>
                <w:color w:val="1C1C1C"/>
                <w:sz w:val="20"/>
                <w:szCs w:val="20"/>
              </w:rPr>
              <w:t xml:space="preserve">Waste flow analytics to Taiwan EPA</w:t>
            </w:r>
          </w:p>
        </w:tc>
        <w:tc>
          <w:tcPr>
            <w:shd w:color="FFFFFF" w:val="solid"/>
            <w:tcMar>
              <w:top w:type="dxa" w:w="60"/>
              <w:left w:type="dxa" w:w="100"/>
              <w:bottom w:type="dxa" w:w="60"/>
              <w:right w:type="dxa" w:w="100"/>
            </w:tcMar>
          </w:tcPr>
          <w:p>
            <w:r>
              <w:rPr>
                <w:color w:val="1C1C1C"/>
                <w:sz w:val="20"/>
                <w:szCs w:val="20"/>
              </w:rPr>
              <w:t xml:space="preserve">High</w:t>
            </w:r>
          </w:p>
        </w:tc>
      </w:tr>
      <w:tr>
        <w:tc>
          <w:tcPr>
            <w:shd w:color="F7FBFA" w:val="solid"/>
            <w:tcMar>
              <w:top w:type="dxa" w:w="60"/>
              <w:left w:type="dxa" w:w="100"/>
              <w:bottom w:type="dxa" w:w="60"/>
              <w:right w:type="dxa" w:w="100"/>
            </w:tcMar>
          </w:tcPr>
          <w:p>
            <w:r>
              <w:rPr>
                <w:color w:val="1C1C1C"/>
                <w:sz w:val="20"/>
                <w:szCs w:val="20"/>
              </w:rPr>
              <w:t xml:space="preserve">Material Premium Revenue</w:t>
            </w:r>
          </w:p>
        </w:tc>
        <w:tc>
          <w:tcPr>
            <w:shd w:color="F7FBFA" w:val="solid"/>
            <w:tcMar>
              <w:top w:type="dxa" w:w="60"/>
              <w:left w:type="dxa" w:w="100"/>
              <w:bottom w:type="dxa" w:w="60"/>
              <w:right w:type="dxa" w:w="100"/>
            </w:tcMar>
          </w:tcPr>
          <w:p>
            <w:r>
              <w:rPr>
                <w:color w:val="1C1C1C"/>
                <w:sz w:val="20"/>
                <w:szCs w:val="20"/>
              </w:rPr>
              <w:t xml:space="preserve">Revenue share from higher-value recyclable sales</w:t>
            </w:r>
          </w:p>
        </w:tc>
        <w:tc>
          <w:tcPr>
            <w:shd w:color="F7FBFA" w:val="solid"/>
            <w:tcMar>
              <w:top w:type="dxa" w:w="60"/>
              <w:left w:type="dxa" w:w="100"/>
              <w:bottom w:type="dxa" w:w="60"/>
              <w:right w:type="dxa" w:w="100"/>
            </w:tcMar>
          </w:tcPr>
          <w:p>
            <w:r>
              <w:rPr>
                <w:color w:val="1C1C1C"/>
                <w:sz w:val="20"/>
                <w:szCs w:val="20"/>
              </w:rPr>
              <w:t xml:space="preserve">High</w:t>
            </w:r>
          </w:p>
        </w:tc>
      </w:tr>
      <w:tr>
        <w:tc>
          <w:tcPr>
            <w:shd w:color="FFFFFF" w:val="solid"/>
            <w:tcMar>
              <w:top w:type="dxa" w:w="60"/>
              <w:left w:type="dxa" w:w="100"/>
              <w:bottom w:type="dxa" w:w="60"/>
              <w:right w:type="dxa" w:w="100"/>
            </w:tcMar>
          </w:tcPr>
          <w:p>
            <w:r>
              <w:rPr>
                <w:color w:val="1C1C1C"/>
                <w:sz w:val="20"/>
                <w:szCs w:val="20"/>
              </w:rPr>
              <w:t xml:space="preserve">AR Worker License</w:t>
            </w:r>
          </w:p>
        </w:tc>
        <w:tc>
          <w:tcPr>
            <w:shd w:color="FFFFFF" w:val="solid"/>
            <w:tcMar>
              <w:top w:type="dxa" w:w="60"/>
              <w:left w:type="dxa" w:w="100"/>
              <w:bottom w:type="dxa" w:w="60"/>
              <w:right w:type="dxa" w:w="100"/>
            </w:tcMar>
          </w:tcPr>
          <w:p>
            <w:r>
              <w:rPr>
                <w:color w:val="1C1C1C"/>
                <w:sz w:val="20"/>
                <w:szCs w:val="20"/>
              </w:rPr>
              <w:t xml:space="preserve">SaaS subscription for smaller sorting hubs</w:t>
            </w:r>
          </w:p>
        </w:tc>
        <w:tc>
          <w:tcPr>
            <w:shd w:color="FFFFFF" w:val="solid"/>
            <w:tcMar>
              <w:top w:type="dxa" w:w="60"/>
              <w:left w:type="dxa" w:w="100"/>
              <w:bottom w:type="dxa" w:w="60"/>
              <w:right w:type="dxa" w:w="100"/>
            </w:tcMar>
          </w:tcPr>
          <w:p>
            <w:r>
              <w:rPr>
                <w:color w:val="1C1C1C"/>
                <w:sz w:val="20"/>
                <w:szCs w:val="20"/>
              </w:rPr>
              <w:t xml:space="preserve">Recurring</w:t>
            </w:r>
          </w:p>
        </w:tc>
      </w:tr>
    </w:tbl>
    <w:p>
      <w:pPr>
        <w:spacing w:before="120"/>
      </w:pPr>
    </w:p>
    <w:p>
      <w:pPr>
        <w:spacing w:after="120" w:before="240"/>
      </w:pPr>
      <w:r>
        <w:rPr>
          <w:b/>
          <w:bCs/>
          <w:color w:val="00A86B"/>
          <w:sz w:val="24"/>
          <w:szCs w:val="24"/>
        </w:rPr>
        <w:t xml:space="preserve">Unit Economics (Per Sorting Node)</w:t>
      </w:r>
    </w:p>
    <w:p>
      <w:pPr>
        <w:pStyle w:val="ListParagraph"/>
        <w:numPr>
          <w:ilvl w:val="0"/>
          <w:numId w:val="1"/>
        </w:numPr>
        <w:spacing w:after="60" w:before="40"/>
      </w:pPr>
      <w:r>
        <w:rPr>
          <w:color w:val="1C1C1C"/>
          <w:sz w:val="22"/>
          <w:szCs w:val="22"/>
        </w:rPr>
        <w:t xml:space="preserve">CAPEX: ~$55,000–$75,000 USD per sorting line</w:t>
      </w:r>
    </w:p>
    <w:p>
      <w:pPr>
        <w:pStyle w:val="ListParagraph"/>
        <w:numPr>
          <w:ilvl w:val="0"/>
          <w:numId w:val="1"/>
        </w:numPr>
        <w:spacing w:after="60" w:before="40"/>
      </w:pPr>
      <w:r>
        <w:rPr>
          <w:color w:val="1C1C1C"/>
          <w:sz w:val="22"/>
          <w:szCs w:val="22"/>
        </w:rPr>
        <w:t xml:space="preserve">Estimated payback period: 2.5–4 years</w:t>
      </w:r>
    </w:p>
    <w:p>
      <w:pPr>
        <w:pStyle w:val="ListParagraph"/>
        <w:numPr>
          <w:ilvl w:val="0"/>
          <w:numId w:val="1"/>
        </w:numPr>
        <w:spacing w:after="60" w:before="40"/>
      </w:pPr>
      <w:r>
        <w:rPr>
          <w:color w:val="1C1C1C"/>
          <w:sz w:val="22"/>
          <w:szCs w:val="22"/>
        </w:rPr>
        <w:t xml:space="preserve">Annual savings per hub: $120,000–$180,000 USD (labor + material value uplift)</w:t>
      </w:r>
    </w:p>
    <w:p>
      <w:pPr>
        <w:pStyle w:val="ListParagraph"/>
        <w:numPr>
          <w:ilvl w:val="0"/>
          <w:numId w:val="1"/>
        </w:numPr>
        <w:spacing w:after="60" w:before="40"/>
      </w:pPr>
      <w:r>
        <w:rPr>
          <w:color w:val="1C1C1C"/>
          <w:sz w:val="22"/>
          <w:szCs w:val="22"/>
        </w:rPr>
        <w:t xml:space="preserve">Government subsidies: Available via circular economy green growth funds</w:t>
      </w:r>
    </w:p>
    <w:p>
      <w:pPr>
        <w:pBdr>
          <w:bottom w:val="single" w:color="00A86B" w:sz="6"/>
        </w:pBdr>
        <w:spacing w:after="160" w:before="320"/>
      </w:pPr>
      <w:r>
        <w:rPr>
          <w:b/>
          <w:bCs/>
          <w:color w:val="1A3C5E"/>
          <w:sz w:val="28"/>
          <w:szCs w:val="28"/>
        </w:rPr>
        <w:t xml:space="preserve">1.5  Social Impact &amp; Yunus Alignment</w:t>
      </w:r>
    </w:p>
    <w:p>
      <w:pPr>
        <w:spacing w:after="120" w:before="240"/>
      </w:pPr>
      <w:r>
        <w:rPr>
          <w:b/>
          <w:bCs/>
          <w:color w:val="00A86B"/>
          <w:sz w:val="24"/>
          <w:szCs w:val="24"/>
        </w:rPr>
        <w:t xml:space="preserve">SDG Coverage</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00A86B" w:val="solid"/>
            <w:tcMar>
              <w:top w:type="dxa" w:w="80"/>
              <w:left w:type="dxa" w:w="100"/>
              <w:bottom w:type="dxa" w:w="80"/>
              <w:right w:type="dxa" w:w="100"/>
            </w:tcMar>
          </w:tcPr>
          <w:p>
            <w:pPr>
              <w:jc w:val="center"/>
            </w:pPr>
            <w:r>
              <w:rPr>
                <w:b/>
                <w:bCs/>
                <w:color w:val="FFFFFF"/>
                <w:sz w:val="20"/>
                <w:szCs w:val="20"/>
              </w:rPr>
              <w:t xml:space="preserve">SDG</w:t>
            </w:r>
          </w:p>
        </w:tc>
        <w:tc>
          <w:tcPr>
            <w:shd w:color="00A86B" w:val="solid"/>
            <w:tcMar>
              <w:top w:type="dxa" w:w="80"/>
              <w:left w:type="dxa" w:w="100"/>
              <w:bottom w:type="dxa" w:w="80"/>
              <w:right w:type="dxa" w:w="100"/>
            </w:tcMar>
          </w:tcPr>
          <w:p>
            <w:pPr>
              <w:jc w:val="center"/>
            </w:pPr>
            <w:r>
              <w:rPr>
                <w:b/>
                <w:bCs/>
                <w:color w:val="FFFFFF"/>
                <w:sz w:val="20"/>
                <w:szCs w:val="20"/>
              </w:rPr>
              <w:t xml:space="preserve">Goal</w:t>
            </w:r>
          </w:p>
        </w:tc>
        <w:tc>
          <w:tcPr>
            <w:shd w:color="00A86B" w:val="solid"/>
            <w:tcMar>
              <w:top w:type="dxa" w:w="80"/>
              <w:left w:type="dxa" w:w="100"/>
              <w:bottom w:type="dxa" w:w="80"/>
              <w:right w:type="dxa" w:w="100"/>
            </w:tcMar>
          </w:tcPr>
          <w:p>
            <w:pPr>
              <w:jc w:val="center"/>
            </w:pPr>
            <w:r>
              <w:rPr>
                <w:b/>
                <w:bCs/>
                <w:color w:val="FFFFFF"/>
                <w:sz w:val="20"/>
                <w:szCs w:val="20"/>
              </w:rPr>
              <w:t xml:space="preserve">Implementation</w:t>
            </w:r>
          </w:p>
        </w:tc>
      </w:tr>
      <w:tr>
        <w:tc>
          <w:tcPr>
            <w:shd w:color="F7FBFA" w:val="solid"/>
            <w:tcMar>
              <w:top w:type="dxa" w:w="60"/>
              <w:left w:type="dxa" w:w="100"/>
              <w:bottom w:type="dxa" w:w="60"/>
              <w:right w:type="dxa" w:w="100"/>
            </w:tcMar>
          </w:tcPr>
          <w:p>
            <w:r>
              <w:rPr>
                <w:color w:val="1C1C1C"/>
                <w:sz w:val="20"/>
                <w:szCs w:val="20"/>
              </w:rPr>
              <w:t xml:space="preserve">SDG 9</w:t>
            </w:r>
          </w:p>
        </w:tc>
        <w:tc>
          <w:tcPr>
            <w:shd w:color="F7FBFA" w:val="solid"/>
            <w:tcMar>
              <w:top w:type="dxa" w:w="60"/>
              <w:left w:type="dxa" w:w="100"/>
              <w:bottom w:type="dxa" w:w="60"/>
              <w:right w:type="dxa" w:w="100"/>
            </w:tcMar>
          </w:tcPr>
          <w:p>
            <w:r>
              <w:rPr>
                <w:color w:val="1C1C1C"/>
                <w:sz w:val="20"/>
                <w:szCs w:val="20"/>
              </w:rPr>
              <w:t xml:space="preserve">Industry &amp; Innovation</w:t>
            </w:r>
          </w:p>
        </w:tc>
        <w:tc>
          <w:tcPr>
            <w:shd w:color="F7FBFA" w:val="solid"/>
            <w:tcMar>
              <w:top w:type="dxa" w:w="60"/>
              <w:left w:type="dxa" w:w="100"/>
              <w:bottom w:type="dxa" w:w="60"/>
              <w:right w:type="dxa" w:w="100"/>
            </w:tcMar>
          </w:tcPr>
          <w:p>
            <w:r>
              <w:rPr>
                <w:color w:val="1C1C1C"/>
                <w:sz w:val="20"/>
                <w:szCs w:val="20"/>
              </w:rPr>
              <w:t xml:space="preserve">Deploying frontier AI infrastructure for circular material flows in Taiwan</w:t>
            </w:r>
          </w:p>
        </w:tc>
      </w:tr>
      <w:tr>
        <w:tc>
          <w:tcPr>
            <w:shd w:color="FFFFFF" w:val="solid"/>
            <w:tcMar>
              <w:top w:type="dxa" w:w="60"/>
              <w:left w:type="dxa" w:w="100"/>
              <w:bottom w:type="dxa" w:w="60"/>
              <w:right w:type="dxa" w:w="100"/>
            </w:tcMar>
          </w:tcPr>
          <w:p>
            <w:r>
              <w:rPr>
                <w:color w:val="1C1C1C"/>
                <w:sz w:val="20"/>
                <w:szCs w:val="20"/>
              </w:rPr>
              <w:t xml:space="preserve">SDG 12</w:t>
            </w:r>
          </w:p>
        </w:tc>
        <w:tc>
          <w:tcPr>
            <w:shd w:color="FFFFFF" w:val="solid"/>
            <w:tcMar>
              <w:top w:type="dxa" w:w="60"/>
              <w:left w:type="dxa" w:w="100"/>
              <w:bottom w:type="dxa" w:w="60"/>
              <w:right w:type="dxa" w:w="100"/>
            </w:tcMar>
          </w:tcPr>
          <w:p>
            <w:r>
              <w:rPr>
                <w:color w:val="1C1C1C"/>
                <w:sz w:val="20"/>
                <w:szCs w:val="20"/>
              </w:rPr>
              <w:t xml:space="preserve">Responsible Production</w:t>
            </w:r>
          </w:p>
        </w:tc>
        <w:tc>
          <w:tcPr>
            <w:shd w:color="FFFFFF" w:val="solid"/>
            <w:tcMar>
              <w:top w:type="dxa" w:w="60"/>
              <w:left w:type="dxa" w:w="100"/>
              <w:bottom w:type="dxa" w:w="60"/>
              <w:right w:type="dxa" w:w="100"/>
            </w:tcMar>
          </w:tcPr>
          <w:p>
            <w:r>
              <w:rPr>
                <w:color w:val="1C1C1C"/>
                <w:sz w:val="20"/>
                <w:szCs w:val="20"/>
              </w:rPr>
              <w:t xml:space="preserve">Converting 'false recycling' into genuine molecular-level material recovery</w:t>
            </w:r>
          </w:p>
        </w:tc>
      </w:tr>
      <w:tr>
        <w:tc>
          <w:tcPr>
            <w:shd w:color="F7FBFA" w:val="solid"/>
            <w:tcMar>
              <w:top w:type="dxa" w:w="60"/>
              <w:left w:type="dxa" w:w="100"/>
              <w:bottom w:type="dxa" w:w="60"/>
              <w:right w:type="dxa" w:w="100"/>
            </w:tcMar>
          </w:tcPr>
          <w:p>
            <w:r>
              <w:rPr>
                <w:color w:val="1C1C1C"/>
                <w:sz w:val="20"/>
                <w:szCs w:val="20"/>
              </w:rPr>
              <w:t xml:space="preserve">SDG 14</w:t>
            </w:r>
          </w:p>
        </w:tc>
        <w:tc>
          <w:tcPr>
            <w:shd w:color="F7FBFA" w:val="solid"/>
            <w:tcMar>
              <w:top w:type="dxa" w:w="60"/>
              <w:left w:type="dxa" w:w="100"/>
              <w:bottom w:type="dxa" w:w="60"/>
              <w:right w:type="dxa" w:w="100"/>
            </w:tcMar>
          </w:tcPr>
          <w:p>
            <w:r>
              <w:rPr>
                <w:color w:val="1C1C1C"/>
                <w:sz w:val="20"/>
                <w:szCs w:val="20"/>
              </w:rPr>
              <w:t xml:space="preserve">Life Below Water</w:t>
            </w:r>
          </w:p>
        </w:tc>
        <w:tc>
          <w:tcPr>
            <w:shd w:color="F7FBFA" w:val="solid"/>
            <w:tcMar>
              <w:top w:type="dxa" w:w="60"/>
              <w:left w:type="dxa" w:w="100"/>
              <w:bottom w:type="dxa" w:w="60"/>
              <w:right w:type="dxa" w:w="100"/>
            </w:tcMar>
          </w:tcPr>
          <w:p>
            <w:r>
              <w:rPr>
                <w:color w:val="1C1C1C"/>
                <w:sz w:val="20"/>
                <w:szCs w:val="20"/>
              </w:rPr>
              <w:t xml:space="preserve">Preventing microplastic contamination from landfill leachate</w:t>
            </w:r>
          </w:p>
        </w:tc>
      </w:tr>
    </w:tbl>
    <w:p>
      <w:pPr>
        <w:spacing w:before="120"/>
      </w:pPr>
    </w:p>
    <w:p>
      <w:pPr>
        <w:spacing w:after="120" w:before="240"/>
      </w:pPr>
      <w:r>
        <w:rPr>
          <w:b/>
          <w:bCs/>
          <w:color w:val="00A86B"/>
          <w:sz w:val="24"/>
          <w:szCs w:val="24"/>
        </w:rPr>
        <w:t xml:space="preserve">Yunus '3-Zero' Alignment</w:t>
      </w:r>
    </w:p>
    <w:p>
      <w:pPr>
        <w:pStyle w:val="ListParagraph"/>
        <w:numPr>
          <w:ilvl w:val="0"/>
          <w:numId w:val="1"/>
        </w:numPr>
        <w:spacing w:after="60" w:before="40"/>
      </w:pPr>
      <w:r>
        <w:rPr>
          <w:color w:val="1C1C1C"/>
          <w:sz w:val="22"/>
          <w:szCs w:val="22"/>
        </w:rPr>
        <w:t xml:space="preserve">Zero Net Carbon: Replacing incineration (CO₂-intensive) with closed-loop material recovery</w:t>
      </w:r>
    </w:p>
    <w:p>
      <w:pPr>
        <w:pStyle w:val="ListParagraph"/>
        <w:numPr>
          <w:ilvl w:val="0"/>
          <w:numId w:val="1"/>
        </w:numPr>
        <w:spacing w:after="60" w:before="40"/>
      </w:pPr>
      <w:r>
        <w:rPr>
          <w:color w:val="1C1C1C"/>
          <w:sz w:val="22"/>
          <w:szCs w:val="22"/>
        </w:rPr>
        <w:t xml:space="preserve">Zero Unemployment: Shifting sorter roles from hazardous manual picking to tech-monitoring, enabling workforce upskilling</w:t>
      </w:r>
    </w:p>
    <w:p>
      <w:pPr>
        <w:spacing w:before="100"/>
      </w:pPr>
    </w:p>
    <w:p>
      <w:pPr>
        <w:spacing w:after="120" w:before="240"/>
      </w:pPr>
      <w:r>
        <w:rPr>
          <w:b/>
          <w:bCs/>
          <w:color w:val="00A86B"/>
          <w:sz w:val="24"/>
          <w:szCs w:val="24"/>
        </w:rPr>
        <w:t xml:space="preserve">Year 5 Impact Targets</w:t>
      </w:r>
    </w:p>
    <w:p>
      <w:pPr>
        <w:pStyle w:val="ListParagraph"/>
        <w:numPr>
          <w:ilvl w:val="0"/>
          <w:numId w:val="1"/>
        </w:numPr>
        <w:spacing w:after="60" w:before="40"/>
      </w:pPr>
      <w:r>
        <w:rPr>
          <w:color w:val="1C1C1C"/>
          <w:sz w:val="22"/>
          <w:szCs w:val="22"/>
        </w:rPr>
        <w:t xml:space="preserve">30 sorting nodes deployed across Taiwan</w:t>
      </w:r>
    </w:p>
    <w:p>
      <w:pPr>
        <w:pStyle w:val="ListParagraph"/>
        <w:numPr>
          <w:ilvl w:val="0"/>
          <w:numId w:val="1"/>
        </w:numPr>
        <w:spacing w:after="60" w:before="40"/>
      </w:pPr>
      <w:r>
        <w:rPr>
          <w:color w:val="1C1C1C"/>
          <w:sz w:val="22"/>
          <w:szCs w:val="22"/>
        </w:rPr>
        <w:t xml:space="preserve">20% reduction in Taiwan's incineration load (~2.2M tonnes/year diverted)</w:t>
      </w:r>
    </w:p>
    <w:p>
      <w:pPr>
        <w:pStyle w:val="ListParagraph"/>
        <w:numPr>
          <w:ilvl w:val="0"/>
          <w:numId w:val="1"/>
        </w:numPr>
        <w:spacing w:after="60" w:before="40"/>
      </w:pPr>
      <w:r>
        <w:rPr>
          <w:color w:val="1C1C1C"/>
          <w:sz w:val="22"/>
          <w:szCs w:val="22"/>
        </w:rPr>
        <w:t xml:space="preserve">99.5%+ material purity rate for PET, HDPE, and Paper streams</w:t>
      </w:r>
    </w:p>
    <w:p>
      <w:pPr>
        <w:pStyle w:val="ListParagraph"/>
        <w:numPr>
          <w:ilvl w:val="0"/>
          <w:numId w:val="1"/>
        </w:numPr>
        <w:spacing w:after="60" w:before="40"/>
      </w:pPr>
      <w:r>
        <w:rPr>
          <w:color w:val="1C1C1C"/>
          <w:sz w:val="22"/>
          <w:szCs w:val="22"/>
        </w:rPr>
        <w:t xml:space="preserve">30–40% increase in resale price of recycled materials</w:t>
      </w:r>
    </w:p>
    <w:p>
      <w:r>
        <w:br w:type="page"/>
      </w:r>
    </w:p>
    <w:p>
      <w:pPr>
        <w:pStyle w:val="Heading1"/>
        <w:spacing w:after="200" w:before="400"/>
        <w:rPr>
          <w:b/>
          <w:bCs/>
          <w:color w:val="1A3C5E"/>
        </w:rPr>
      </w:pPr>
      <w:r>
        <w:t xml:space="preserve">PART II — BSF Bio-Loop: Circular Protein System</w:t>
      </w:r>
    </w:p>
    <w:p>
      <w:pPr>
        <w:pBdr>
          <w:bottom w:val="single" w:color="00A86B" w:sz="6"/>
        </w:pBdr>
        <w:spacing w:after="160" w:before="320"/>
      </w:pPr>
      <w:r>
        <w:rPr>
          <w:b/>
          <w:bCs/>
          <w:color w:val="1A3C5E"/>
          <w:sz w:val="28"/>
          <w:szCs w:val="28"/>
        </w:rPr>
        <w:t xml:space="preserve">2.1  The Problem: Urban Organic Waste &amp; Protein Import Dependence</w:t>
      </w:r>
    </w:p>
    <w:p>
      <w:pPr>
        <w:spacing w:after="100" w:before="80"/>
      </w:pPr>
      <w:r>
        <w:rPr>
          <w:color w:val="1C1C1C"/>
          <w:sz w:val="22"/>
          <w:szCs w:val="22"/>
        </w:rPr>
        <w:t xml:space="preserve">Taiwan generates over 1,000 tonnes of food waste daily from commercial and restaurant sectors. Night markets like Shilin, Raohe, Fengjia, and Ningxia produce concentrated, high-organic-matter waste that is incompatible with traditional composting due to its high lipid and salt content.</w:t>
      </w:r>
    </w:p>
    <w:p>
      <w:pPr>
        <w:spacing w:after="120" w:before="240"/>
      </w:pPr>
      <w:r>
        <w:rPr>
          <w:b/>
          <w:bCs/>
          <w:color w:val="00A86B"/>
          <w:sz w:val="24"/>
          <w:szCs w:val="24"/>
        </w:rPr>
        <w:t xml:space="preserve">The Dual Crisis</w:t>
      </w:r>
    </w:p>
    <w:p>
      <w:pPr>
        <w:pStyle w:val="ListParagraph"/>
        <w:numPr>
          <w:ilvl w:val="0"/>
          <w:numId w:val="1"/>
        </w:numPr>
        <w:spacing w:after="60" w:before="40"/>
      </w:pPr>
      <w:r>
        <w:rPr>
          <w:color w:val="1C1C1C"/>
          <w:sz w:val="22"/>
          <w:szCs w:val="22"/>
        </w:rPr>
        <w:t xml:space="preserve">Waste Crisis: Night market food waste cannot be composted (high fat/salt kills bacteria) and is currently sent to incineration plants that Taiwan's government plans to phase out for food waste by end of 2027.</w:t>
      </w:r>
    </w:p>
    <w:p>
      <w:pPr>
        <w:pStyle w:val="ListParagraph"/>
        <w:numPr>
          <w:ilvl w:val="0"/>
          <w:numId w:val="1"/>
        </w:numPr>
        <w:spacing w:after="60" w:before="40"/>
      </w:pPr>
      <w:r>
        <w:rPr>
          <w:color w:val="1C1C1C"/>
          <w:sz w:val="22"/>
          <w:szCs w:val="22"/>
        </w:rPr>
        <w:t xml:space="preserve">Protein Import Vulnerability: Taiwan imports significant volumes of fishmeal for its major aquaculture sector, creating supply chain and price volatility risk.</w:t>
      </w:r>
    </w:p>
    <w:p>
      <w:pPr>
        <w:pBdr>
          <w:bottom w:val="single" w:color="00A86B" w:sz="6"/>
        </w:pBdr>
        <w:spacing w:after="160" w:before="320"/>
      </w:pPr>
      <w:r>
        <w:rPr>
          <w:b/>
          <w:bCs/>
          <w:color w:val="1A3C5E"/>
          <w:sz w:val="28"/>
          <w:szCs w:val="28"/>
        </w:rPr>
        <w:t xml:space="preserve">2.2  The Science of BSF Bioconversion</w:t>
      </w:r>
    </w:p>
    <w:p>
      <w:pPr>
        <w:spacing w:after="100" w:before="80"/>
      </w:pPr>
      <w:r>
        <w:rPr>
          <w:color w:val="1C1C1C"/>
          <w:sz w:val="22"/>
          <w:szCs w:val="22"/>
        </w:rPr>
        <w:t xml:space="preserve">Hermetia illucens (Black Soldier Fly) is nature's most efficient organic waste converter. BSF larvae can reduce organic waste volume by 70–80% in just 7–14 days while producing 40–50% crude protein biomass.</w:t>
      </w:r>
    </w:p>
    <w:p>
      <w:pPr>
        <w:spacing w:after="120" w:before="240"/>
      </w:pPr>
      <w:r>
        <w:rPr>
          <w:b/>
          <w:bCs/>
          <w:color w:val="00A86B"/>
          <w:sz w:val="24"/>
          <w:szCs w:val="24"/>
        </w:rPr>
        <w:t xml:space="preserve">Key Biological Data</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Metric</w:t>
            </w:r>
          </w:p>
        </w:tc>
        <w:tc>
          <w:tcPr>
            <w:shd w:color="1A3C5E" w:val="solid"/>
            <w:tcMar>
              <w:top w:type="dxa" w:w="80"/>
              <w:left w:type="dxa" w:w="100"/>
              <w:bottom w:type="dxa" w:w="80"/>
              <w:right w:type="dxa" w:w="100"/>
            </w:tcMar>
          </w:tcPr>
          <w:p>
            <w:pPr>
              <w:jc w:val="center"/>
            </w:pPr>
            <w:r>
              <w:rPr>
                <w:b/>
                <w:bCs/>
                <w:color w:val="FFFFFF"/>
                <w:sz w:val="20"/>
                <w:szCs w:val="20"/>
              </w:rPr>
              <w:t xml:space="preserve">Value</w:t>
            </w:r>
          </w:p>
        </w:tc>
        <w:tc>
          <w:tcPr>
            <w:shd w:color="1A3C5E" w:val="solid"/>
            <w:tcMar>
              <w:top w:type="dxa" w:w="80"/>
              <w:left w:type="dxa" w:w="100"/>
              <w:bottom w:type="dxa" w:w="80"/>
              <w:right w:type="dxa" w:w="100"/>
            </w:tcMar>
          </w:tcPr>
          <w:p>
            <w:pPr>
              <w:jc w:val="center"/>
            </w:pPr>
            <w:r>
              <w:rPr>
                <w:b/>
                <w:bCs/>
                <w:color w:val="FFFFFF"/>
                <w:sz w:val="20"/>
                <w:szCs w:val="20"/>
              </w:rPr>
              <w:t xml:space="preserve">Citation</w:t>
            </w:r>
          </w:p>
        </w:tc>
      </w:tr>
      <w:tr>
        <w:tc>
          <w:tcPr>
            <w:shd w:color="F7FBFA" w:val="solid"/>
            <w:tcMar>
              <w:top w:type="dxa" w:w="60"/>
              <w:left w:type="dxa" w:w="100"/>
              <w:bottom w:type="dxa" w:w="60"/>
              <w:right w:type="dxa" w:w="100"/>
            </w:tcMar>
          </w:tcPr>
          <w:p>
            <w:r>
              <w:rPr>
                <w:color w:val="1C1C1C"/>
                <w:sz w:val="20"/>
                <w:szCs w:val="20"/>
              </w:rPr>
              <w:t xml:space="preserve">Waste volume reduction</w:t>
            </w:r>
          </w:p>
        </w:tc>
        <w:tc>
          <w:tcPr>
            <w:shd w:color="F7FBFA" w:val="solid"/>
            <w:tcMar>
              <w:top w:type="dxa" w:w="60"/>
              <w:left w:type="dxa" w:w="100"/>
              <w:bottom w:type="dxa" w:w="60"/>
              <w:right w:type="dxa" w:w="100"/>
            </w:tcMar>
          </w:tcPr>
          <w:p>
            <w:r>
              <w:rPr>
                <w:color w:val="1C1C1C"/>
                <w:sz w:val="20"/>
                <w:szCs w:val="20"/>
              </w:rPr>
              <w:t xml:space="preserve">70–80% in 7–14 days</w:t>
            </w:r>
          </w:p>
        </w:tc>
        <w:tc>
          <w:tcPr>
            <w:shd w:color="F7FBFA" w:val="solid"/>
            <w:tcMar>
              <w:top w:type="dxa" w:w="60"/>
              <w:left w:type="dxa" w:w="100"/>
              <w:bottom w:type="dxa" w:w="60"/>
              <w:right w:type="dxa" w:w="100"/>
            </w:tcMar>
          </w:tcPr>
          <w:p>
            <w:r>
              <w:rPr>
                <w:color w:val="1C1C1C"/>
                <w:sz w:val="20"/>
                <w:szCs w:val="20"/>
              </w:rPr>
              <w:t xml:space="preserve">PeerJ Journals, 2024</w:t>
            </w:r>
          </w:p>
        </w:tc>
      </w:tr>
      <w:tr>
        <w:tc>
          <w:tcPr>
            <w:shd w:color="FFFFFF" w:val="solid"/>
            <w:tcMar>
              <w:top w:type="dxa" w:w="60"/>
              <w:left w:type="dxa" w:w="100"/>
              <w:bottom w:type="dxa" w:w="60"/>
              <w:right w:type="dxa" w:w="100"/>
            </w:tcMar>
          </w:tcPr>
          <w:p>
            <w:r>
              <w:rPr>
                <w:color w:val="1C1C1C"/>
                <w:sz w:val="20"/>
                <w:szCs w:val="20"/>
              </w:rPr>
              <w:t xml:space="preserve">Larval crude protein content</w:t>
            </w:r>
          </w:p>
        </w:tc>
        <w:tc>
          <w:tcPr>
            <w:shd w:color="FFFFFF" w:val="solid"/>
            <w:tcMar>
              <w:top w:type="dxa" w:w="60"/>
              <w:left w:type="dxa" w:w="100"/>
              <w:bottom w:type="dxa" w:w="60"/>
              <w:right w:type="dxa" w:w="100"/>
            </w:tcMar>
          </w:tcPr>
          <w:p>
            <w:r>
              <w:rPr>
                <w:color w:val="1C1C1C"/>
                <w:sz w:val="20"/>
                <w:szCs w:val="20"/>
              </w:rPr>
              <w:t xml:space="preserve">40–50% dry weight</w:t>
            </w:r>
          </w:p>
        </w:tc>
        <w:tc>
          <w:tcPr>
            <w:shd w:color="FFFFFF" w:val="solid"/>
            <w:tcMar>
              <w:top w:type="dxa" w:w="60"/>
              <w:left w:type="dxa" w:w="100"/>
              <w:bottom w:type="dxa" w:w="60"/>
              <w:right w:type="dxa" w:w="100"/>
            </w:tcMar>
          </w:tcPr>
          <w:p>
            <w:r>
              <w:rPr>
                <w:color w:val="1C1C1C"/>
                <w:sz w:val="20"/>
                <w:szCs w:val="20"/>
              </w:rPr>
              <w:t xml:space="preserve">Texas A&amp;M, 2024</w:t>
            </w:r>
          </w:p>
        </w:tc>
      </w:tr>
      <w:tr>
        <w:tc>
          <w:tcPr>
            <w:shd w:color="F7FBFA" w:val="solid"/>
            <w:tcMar>
              <w:top w:type="dxa" w:w="60"/>
              <w:left w:type="dxa" w:w="100"/>
              <w:bottom w:type="dxa" w:w="60"/>
              <w:right w:type="dxa" w:w="100"/>
            </w:tcMar>
          </w:tcPr>
          <w:p>
            <w:r>
              <w:rPr>
                <w:color w:val="1C1C1C"/>
                <w:sz w:val="20"/>
                <w:szCs w:val="20"/>
              </w:rPr>
              <w:t xml:space="preserve">Lipid content</w:t>
            </w:r>
          </w:p>
        </w:tc>
        <w:tc>
          <w:tcPr>
            <w:shd w:color="F7FBFA" w:val="solid"/>
            <w:tcMar>
              <w:top w:type="dxa" w:w="60"/>
              <w:left w:type="dxa" w:w="100"/>
              <w:bottom w:type="dxa" w:w="60"/>
              <w:right w:type="dxa" w:w="100"/>
            </w:tcMar>
          </w:tcPr>
          <w:p>
            <w:r>
              <w:rPr>
                <w:color w:val="1C1C1C"/>
                <w:sz w:val="20"/>
                <w:szCs w:val="20"/>
              </w:rPr>
              <w:t xml:space="preserve">25–35% dry weight</w:t>
            </w:r>
          </w:p>
        </w:tc>
        <w:tc>
          <w:tcPr>
            <w:shd w:color="F7FBFA" w:val="solid"/>
            <w:tcMar>
              <w:top w:type="dxa" w:w="60"/>
              <w:left w:type="dxa" w:w="100"/>
              <w:bottom w:type="dxa" w:w="60"/>
              <w:right w:type="dxa" w:w="100"/>
            </w:tcMar>
          </w:tcPr>
          <w:p>
            <w:r>
              <w:rPr>
                <w:color w:val="1C1C1C"/>
                <w:sz w:val="20"/>
                <w:szCs w:val="20"/>
              </w:rPr>
              <w:t xml:space="preserve">BetaBugs, 2024</w:t>
            </w:r>
          </w:p>
        </w:tc>
      </w:tr>
      <w:tr>
        <w:tc>
          <w:tcPr>
            <w:shd w:color="FFFFFF" w:val="solid"/>
            <w:tcMar>
              <w:top w:type="dxa" w:w="60"/>
              <w:left w:type="dxa" w:w="100"/>
              <w:bottom w:type="dxa" w:w="60"/>
              <w:right w:type="dxa" w:w="100"/>
            </w:tcMar>
          </w:tcPr>
          <w:p>
            <w:r>
              <w:rPr>
                <w:color w:val="1C1C1C"/>
                <w:sz w:val="20"/>
                <w:szCs w:val="20"/>
              </w:rPr>
              <w:t xml:space="preserve">Antimicrobial peptides</w:t>
            </w:r>
          </w:p>
        </w:tc>
        <w:tc>
          <w:tcPr>
            <w:shd w:color="FFFFFF" w:val="solid"/>
            <w:tcMar>
              <w:top w:type="dxa" w:w="60"/>
              <w:left w:type="dxa" w:w="100"/>
              <w:bottom w:type="dxa" w:w="60"/>
              <w:right w:type="dxa" w:w="100"/>
            </w:tcMar>
          </w:tcPr>
          <w:p>
            <w:r>
              <w:rPr>
                <w:color w:val="1C1C1C"/>
                <w:sz w:val="20"/>
                <w:szCs w:val="20"/>
              </w:rPr>
              <w:t xml:space="preserve">Present (natural immunity benefit)</w:t>
            </w:r>
          </w:p>
        </w:tc>
        <w:tc>
          <w:tcPr>
            <w:shd w:color="FFFFFF" w:val="solid"/>
            <w:tcMar>
              <w:top w:type="dxa" w:w="60"/>
              <w:left w:type="dxa" w:w="100"/>
              <w:bottom w:type="dxa" w:w="60"/>
              <w:right w:type="dxa" w:w="100"/>
            </w:tcMar>
          </w:tcPr>
          <w:p>
            <w:r>
              <w:rPr>
                <w:color w:val="1C1C1C"/>
                <w:sz w:val="20"/>
                <w:szCs w:val="20"/>
              </w:rPr>
              <w:t xml:space="preserve">Market.us, 2025</w:t>
            </w:r>
          </w:p>
        </w:tc>
      </w:tr>
      <w:tr>
        <w:tc>
          <w:tcPr>
            <w:shd w:color="F7FBFA" w:val="solid"/>
            <w:tcMar>
              <w:top w:type="dxa" w:w="60"/>
              <w:left w:type="dxa" w:w="100"/>
              <w:bottom w:type="dxa" w:w="60"/>
              <w:right w:type="dxa" w:w="100"/>
            </w:tcMar>
          </w:tcPr>
          <w:p>
            <w:r>
              <w:rPr>
                <w:color w:val="1C1C1C"/>
                <w:sz w:val="20"/>
                <w:szCs w:val="20"/>
              </w:rPr>
              <w:t xml:space="preserve">Pathogen/viral load reduction</w:t>
            </w:r>
          </w:p>
        </w:tc>
        <w:tc>
          <w:tcPr>
            <w:shd w:color="F7FBFA" w:val="solid"/>
            <w:tcMar>
              <w:top w:type="dxa" w:w="60"/>
              <w:left w:type="dxa" w:w="100"/>
              <w:bottom w:type="dxa" w:w="60"/>
              <w:right w:type="dxa" w:w="100"/>
            </w:tcMar>
          </w:tcPr>
          <w:p>
            <w:r>
              <w:rPr>
                <w:color w:val="1C1C1C"/>
                <w:sz w:val="20"/>
                <w:szCs w:val="20"/>
              </w:rPr>
              <w:t xml:space="preserve">Confirmed efficacy</w:t>
            </w:r>
          </w:p>
        </w:tc>
        <w:tc>
          <w:tcPr>
            <w:shd w:color="F7FBFA" w:val="solid"/>
            <w:tcMar>
              <w:top w:type="dxa" w:w="60"/>
              <w:left w:type="dxa" w:w="100"/>
              <w:bottom w:type="dxa" w:w="60"/>
              <w:right w:type="dxa" w:w="100"/>
            </w:tcMar>
          </w:tcPr>
          <w:p>
            <w:r>
              <w:rPr>
                <w:color w:val="1C1C1C"/>
                <w:sz w:val="20"/>
                <w:szCs w:val="20"/>
              </w:rPr>
              <w:t xml:space="preserve">ACS Publications, 2026</w:t>
            </w:r>
          </w:p>
        </w:tc>
      </w:tr>
      <w:tr>
        <w:tc>
          <w:tcPr>
            <w:shd w:color="FFFFFF" w:val="solid"/>
            <w:tcMar>
              <w:top w:type="dxa" w:w="60"/>
              <w:left w:type="dxa" w:w="100"/>
              <w:bottom w:type="dxa" w:w="60"/>
              <w:right w:type="dxa" w:w="100"/>
            </w:tcMar>
          </w:tcPr>
          <w:p>
            <w:r>
              <w:rPr>
                <w:color w:val="1C1C1C"/>
                <w:sz w:val="20"/>
                <w:szCs w:val="20"/>
              </w:rPr>
              <w:t xml:space="preserve">Chitin content (exoskeleton)</w:t>
            </w:r>
          </w:p>
        </w:tc>
        <w:tc>
          <w:tcPr>
            <w:shd w:color="FFFFFF" w:val="solid"/>
            <w:tcMar>
              <w:top w:type="dxa" w:w="60"/>
              <w:left w:type="dxa" w:w="100"/>
              <w:bottom w:type="dxa" w:w="60"/>
              <w:right w:type="dxa" w:w="100"/>
            </w:tcMar>
          </w:tcPr>
          <w:p>
            <w:r>
              <w:rPr>
                <w:color w:val="1C1C1C"/>
                <w:sz w:val="20"/>
                <w:szCs w:val="20"/>
              </w:rPr>
              <w:t xml:space="preserve">5–10% dry weight</w:t>
            </w:r>
          </w:p>
        </w:tc>
        <w:tc>
          <w:tcPr>
            <w:shd w:color="FFFFFF" w:val="solid"/>
            <w:tcMar>
              <w:top w:type="dxa" w:w="60"/>
              <w:left w:type="dxa" w:w="100"/>
              <w:bottom w:type="dxa" w:w="60"/>
              <w:right w:type="dxa" w:w="100"/>
            </w:tcMar>
          </w:tcPr>
          <w:p>
            <w:r>
              <w:rPr>
                <w:color w:val="1C1C1C"/>
                <w:sz w:val="20"/>
                <w:szCs w:val="20"/>
              </w:rPr>
              <w:t xml:space="preserve">FreezeM, 2024</w:t>
            </w:r>
          </w:p>
        </w:tc>
      </w:tr>
    </w:tbl>
    <w:p>
      <w:pPr>
        <w:spacing w:before="120"/>
      </w:pPr>
    </w:p>
    <w:p>
      <w:pPr>
        <w:spacing w:after="120" w:before="240"/>
      </w:pPr>
      <w:r>
        <w:rPr>
          <w:b/>
          <w:bCs/>
          <w:color w:val="00A86B"/>
          <w:sz w:val="24"/>
          <w:szCs w:val="24"/>
        </w:rPr>
        <w:t xml:space="preserve">Night Market Waste Compatibility Matrix</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00A86B" w:val="solid"/>
            <w:tcMar>
              <w:top w:type="dxa" w:w="80"/>
              <w:left w:type="dxa" w:w="100"/>
              <w:bottom w:type="dxa" w:w="80"/>
              <w:right w:type="dxa" w:w="100"/>
            </w:tcMar>
          </w:tcPr>
          <w:p>
            <w:pPr>
              <w:jc w:val="center"/>
            </w:pPr>
            <w:r>
              <w:rPr>
                <w:b/>
                <w:bCs/>
                <w:color w:val="FFFFFF"/>
                <w:sz w:val="20"/>
                <w:szCs w:val="20"/>
              </w:rPr>
              <w:t xml:space="preserve">Waste Type</w:t>
            </w:r>
          </w:p>
        </w:tc>
        <w:tc>
          <w:tcPr>
            <w:shd w:color="00A86B" w:val="solid"/>
            <w:tcMar>
              <w:top w:type="dxa" w:w="80"/>
              <w:left w:type="dxa" w:w="100"/>
              <w:bottom w:type="dxa" w:w="80"/>
              <w:right w:type="dxa" w:w="100"/>
            </w:tcMar>
          </w:tcPr>
          <w:p>
            <w:pPr>
              <w:jc w:val="center"/>
            </w:pPr>
            <w:r>
              <w:rPr>
                <w:b/>
                <w:bCs/>
                <w:color w:val="FFFFFF"/>
                <w:sz w:val="20"/>
                <w:szCs w:val="20"/>
              </w:rPr>
              <w:t xml:space="preserve">Night Market Source</w:t>
            </w:r>
          </w:p>
        </w:tc>
        <w:tc>
          <w:tcPr>
            <w:shd w:color="00A86B" w:val="solid"/>
            <w:tcMar>
              <w:top w:type="dxa" w:w="80"/>
              <w:left w:type="dxa" w:w="100"/>
              <w:bottom w:type="dxa" w:w="80"/>
              <w:right w:type="dxa" w:w="100"/>
            </w:tcMar>
          </w:tcPr>
          <w:p>
            <w:pPr>
              <w:jc w:val="center"/>
            </w:pPr>
            <w:r>
              <w:rPr>
                <w:b/>
                <w:bCs/>
                <w:color w:val="FFFFFF"/>
                <w:sz w:val="20"/>
                <w:szCs w:val="20"/>
              </w:rPr>
              <w:t xml:space="preserve">BSF Suitability</w:t>
            </w:r>
          </w:p>
        </w:tc>
      </w:tr>
      <w:tr>
        <w:tc>
          <w:tcPr>
            <w:shd w:color="F7FBFA" w:val="solid"/>
            <w:tcMar>
              <w:top w:type="dxa" w:w="60"/>
              <w:left w:type="dxa" w:w="100"/>
              <w:bottom w:type="dxa" w:w="60"/>
              <w:right w:type="dxa" w:w="100"/>
            </w:tcMar>
          </w:tcPr>
          <w:p>
            <w:r>
              <w:rPr>
                <w:color w:val="1C1C1C"/>
                <w:sz w:val="20"/>
                <w:szCs w:val="20"/>
              </w:rPr>
              <w:t xml:space="preserve">Cooked rice / noodle scraps</w:t>
            </w:r>
          </w:p>
        </w:tc>
        <w:tc>
          <w:tcPr>
            <w:shd w:color="F7FBFA" w:val="solid"/>
            <w:tcMar>
              <w:top w:type="dxa" w:w="60"/>
              <w:left w:type="dxa" w:w="100"/>
              <w:bottom w:type="dxa" w:w="60"/>
              <w:right w:type="dxa" w:w="100"/>
            </w:tcMar>
          </w:tcPr>
          <w:p>
            <w:r>
              <w:rPr>
                <w:color w:val="1C1C1C"/>
                <w:sz w:val="20"/>
                <w:szCs w:val="20"/>
              </w:rPr>
              <w:t xml:space="preserve">All food stalls</w:t>
            </w:r>
          </w:p>
        </w:tc>
        <w:tc>
          <w:tcPr>
            <w:shd w:color="F7FBFA" w:val="solid"/>
            <w:tcMar>
              <w:top w:type="dxa" w:w="60"/>
              <w:left w:type="dxa" w:w="100"/>
              <w:bottom w:type="dxa" w:w="60"/>
              <w:right w:type="dxa" w:w="100"/>
            </w:tcMar>
          </w:tcPr>
          <w:p>
            <w:r>
              <w:rPr>
                <w:color w:val="1C1C1C"/>
                <w:sz w:val="20"/>
                <w:szCs w:val="20"/>
              </w:rPr>
              <w:t xml:space="preserve">Excellent ✓</w:t>
            </w:r>
          </w:p>
        </w:tc>
      </w:tr>
      <w:tr>
        <w:tc>
          <w:tcPr>
            <w:shd w:color="FFFFFF" w:val="solid"/>
            <w:tcMar>
              <w:top w:type="dxa" w:w="60"/>
              <w:left w:type="dxa" w:w="100"/>
              <w:bottom w:type="dxa" w:w="60"/>
              <w:right w:type="dxa" w:w="100"/>
            </w:tcMar>
          </w:tcPr>
          <w:p>
            <w:r>
              <w:rPr>
                <w:color w:val="1C1C1C"/>
                <w:sz w:val="20"/>
                <w:szCs w:val="20"/>
              </w:rPr>
              <w:t xml:space="preserve">Fruit peels &amp; vegetable trim</w:t>
            </w:r>
          </w:p>
        </w:tc>
        <w:tc>
          <w:tcPr>
            <w:shd w:color="FFFFFF" w:val="solid"/>
            <w:tcMar>
              <w:top w:type="dxa" w:w="60"/>
              <w:left w:type="dxa" w:w="100"/>
              <w:bottom w:type="dxa" w:w="60"/>
              <w:right w:type="dxa" w:w="100"/>
            </w:tcMar>
          </w:tcPr>
          <w:p>
            <w:r>
              <w:rPr>
                <w:color w:val="1C1C1C"/>
                <w:sz w:val="20"/>
                <w:szCs w:val="20"/>
              </w:rPr>
              <w:t xml:space="preserve">Produce stalls</w:t>
            </w:r>
          </w:p>
        </w:tc>
        <w:tc>
          <w:tcPr>
            <w:shd w:color="FFFFFF" w:val="solid"/>
            <w:tcMar>
              <w:top w:type="dxa" w:w="60"/>
              <w:left w:type="dxa" w:w="100"/>
              <w:bottom w:type="dxa" w:w="60"/>
              <w:right w:type="dxa" w:w="100"/>
            </w:tcMar>
          </w:tcPr>
          <w:p>
            <w:r>
              <w:rPr>
                <w:color w:val="1C1C1C"/>
                <w:sz w:val="20"/>
                <w:szCs w:val="20"/>
              </w:rPr>
              <w:t xml:space="preserve">Excellent ✓</w:t>
            </w:r>
          </w:p>
        </w:tc>
      </w:tr>
      <w:tr>
        <w:tc>
          <w:tcPr>
            <w:shd w:color="F7FBFA" w:val="solid"/>
            <w:tcMar>
              <w:top w:type="dxa" w:w="60"/>
              <w:left w:type="dxa" w:w="100"/>
              <w:bottom w:type="dxa" w:w="60"/>
              <w:right w:type="dxa" w:w="100"/>
            </w:tcMar>
          </w:tcPr>
          <w:p>
            <w:r>
              <w:rPr>
                <w:color w:val="1C1C1C"/>
                <w:sz w:val="20"/>
                <w:szCs w:val="20"/>
              </w:rPr>
              <w:t xml:space="preserve">Fried food residue (light oil)</w:t>
            </w:r>
          </w:p>
        </w:tc>
        <w:tc>
          <w:tcPr>
            <w:shd w:color="F7FBFA" w:val="solid"/>
            <w:tcMar>
              <w:top w:type="dxa" w:w="60"/>
              <w:left w:type="dxa" w:w="100"/>
              <w:bottom w:type="dxa" w:w="60"/>
              <w:right w:type="dxa" w:w="100"/>
            </w:tcMar>
          </w:tcPr>
          <w:p>
            <w:r>
              <w:rPr>
                <w:color w:val="1C1C1C"/>
                <w:sz w:val="20"/>
                <w:szCs w:val="20"/>
              </w:rPr>
              <w:t xml:space="preserve">Fried chicken, donut stalls</w:t>
            </w:r>
          </w:p>
        </w:tc>
        <w:tc>
          <w:tcPr>
            <w:shd w:color="F7FBFA" w:val="solid"/>
            <w:tcMar>
              <w:top w:type="dxa" w:w="60"/>
              <w:left w:type="dxa" w:w="100"/>
              <w:bottom w:type="dxa" w:w="60"/>
              <w:right w:type="dxa" w:w="100"/>
            </w:tcMar>
          </w:tcPr>
          <w:p>
            <w:r>
              <w:rPr>
                <w:color w:val="1C1C1C"/>
                <w:sz w:val="20"/>
                <w:szCs w:val="20"/>
              </w:rPr>
              <w:t xml:space="preserve">Good (moderate oil) ✓</w:t>
            </w:r>
          </w:p>
        </w:tc>
      </w:tr>
      <w:tr>
        <w:tc>
          <w:tcPr>
            <w:shd w:color="FFFFFF" w:val="solid"/>
            <w:tcMar>
              <w:top w:type="dxa" w:w="60"/>
              <w:left w:type="dxa" w:w="100"/>
              <w:bottom w:type="dxa" w:w="60"/>
              <w:right w:type="dxa" w:w="100"/>
            </w:tcMar>
          </w:tcPr>
          <w:p>
            <w:r>
              <w:rPr>
                <w:color w:val="1C1C1C"/>
                <w:sz w:val="20"/>
                <w:szCs w:val="20"/>
              </w:rPr>
              <w:t xml:space="preserve">Fish / meat trimmings</w:t>
            </w:r>
          </w:p>
        </w:tc>
        <w:tc>
          <w:tcPr>
            <w:shd w:color="FFFFFF" w:val="solid"/>
            <w:tcMar>
              <w:top w:type="dxa" w:w="60"/>
              <w:left w:type="dxa" w:w="100"/>
              <w:bottom w:type="dxa" w:w="60"/>
              <w:right w:type="dxa" w:w="100"/>
            </w:tcMar>
          </w:tcPr>
          <w:p>
            <w:r>
              <w:rPr>
                <w:color w:val="1C1C1C"/>
                <w:sz w:val="20"/>
                <w:szCs w:val="20"/>
              </w:rPr>
              <w:t xml:space="preserve">BBQ, seafood stalls</w:t>
            </w:r>
          </w:p>
        </w:tc>
        <w:tc>
          <w:tcPr>
            <w:shd w:color="FFFFFF" w:val="solid"/>
            <w:tcMar>
              <w:top w:type="dxa" w:w="60"/>
              <w:left w:type="dxa" w:w="100"/>
              <w:bottom w:type="dxa" w:w="60"/>
              <w:right w:type="dxa" w:w="100"/>
            </w:tcMar>
          </w:tcPr>
          <w:p>
            <w:r>
              <w:rPr>
                <w:color w:val="1C1C1C"/>
                <w:sz w:val="20"/>
                <w:szCs w:val="20"/>
              </w:rPr>
              <w:t xml:space="preserve">Excellent – protein boost ✓</w:t>
            </w:r>
          </w:p>
        </w:tc>
      </w:tr>
      <w:tr>
        <w:tc>
          <w:tcPr>
            <w:shd w:color="F7FBFA" w:val="solid"/>
            <w:tcMar>
              <w:top w:type="dxa" w:w="60"/>
              <w:left w:type="dxa" w:w="100"/>
              <w:bottom w:type="dxa" w:w="60"/>
              <w:right w:type="dxa" w:w="100"/>
            </w:tcMar>
          </w:tcPr>
          <w:p>
            <w:r>
              <w:rPr>
                <w:color w:val="1C1C1C"/>
                <w:sz w:val="20"/>
                <w:szCs w:val="20"/>
              </w:rPr>
              <w:t xml:space="preserve">Heavy salt / MSG broth</w:t>
            </w:r>
          </w:p>
        </w:tc>
        <w:tc>
          <w:tcPr>
            <w:shd w:color="F7FBFA" w:val="solid"/>
            <w:tcMar>
              <w:top w:type="dxa" w:w="60"/>
              <w:left w:type="dxa" w:w="100"/>
              <w:bottom w:type="dxa" w:w="60"/>
              <w:right w:type="dxa" w:w="100"/>
            </w:tcMar>
          </w:tcPr>
          <w:p>
            <w:r>
              <w:rPr>
                <w:color w:val="1C1C1C"/>
                <w:sz w:val="20"/>
                <w:szCs w:val="20"/>
              </w:rPr>
              <w:t xml:space="preserve">Soup stalls</w:t>
            </w:r>
          </w:p>
        </w:tc>
        <w:tc>
          <w:tcPr>
            <w:shd w:color="F7FBFA" w:val="solid"/>
            <w:tcMar>
              <w:top w:type="dxa" w:w="60"/>
              <w:left w:type="dxa" w:w="100"/>
              <w:bottom w:type="dxa" w:w="60"/>
              <w:right w:type="dxa" w:w="100"/>
            </w:tcMar>
          </w:tcPr>
          <w:p>
            <w:r>
              <w:rPr>
                <w:color w:val="1C1C1C"/>
                <w:sz w:val="20"/>
                <w:szCs w:val="20"/>
              </w:rPr>
              <w:t xml:space="preserve">Dilute before feeding ⚠</w:t>
            </w:r>
          </w:p>
        </w:tc>
      </w:tr>
    </w:tbl>
    <w:p>
      <w:pPr>
        <w:pBdr>
          <w:bottom w:val="single" w:color="00A86B" w:sz="6"/>
        </w:pBdr>
        <w:spacing w:after="160" w:before="320"/>
      </w:pPr>
      <w:r>
        <w:rPr>
          <w:b/>
          <w:bCs/>
          <w:color w:val="1A3C5E"/>
          <w:sz w:val="28"/>
          <w:szCs w:val="28"/>
        </w:rPr>
        <w:t xml:space="preserve">2.3  Taiwan's BSF Ecosystem — Existing Players</w:t>
      </w:r>
    </w:p>
    <w:p>
      <w:pPr>
        <w:spacing w:after="100" w:before="80"/>
      </w:pPr>
      <w:r>
        <w:rPr>
          <w:color w:val="1C1C1C"/>
          <w:sz w:val="22"/>
          <w:szCs w:val="22"/>
        </w:rPr>
        <w:t xml:space="preserve">Research reveals a growing, government-supported BSF ecosystem in Taiwan with several established social enterprises and institutional pilots.</w:t>
      </w:r>
    </w:p>
    <w:p>
      <w:pPr>
        <w:spacing w:after="120" w:before="240"/>
      </w:pPr>
      <w:r>
        <w:rPr>
          <w:b/>
          <w:bCs/>
          <w:color w:val="00A86B"/>
          <w:sz w:val="24"/>
          <w:szCs w:val="24"/>
        </w:rPr>
        <w:t xml:space="preserve">Key Organizations</w:t>
      </w:r>
    </w:p>
    <w:p>
      <w:pPr>
        <w:pStyle w:val="ListParagraph"/>
        <w:numPr>
          <w:ilvl w:val="0"/>
          <w:numId w:val="1"/>
        </w:numPr>
        <w:spacing w:after="60" w:before="40"/>
      </w:pPr>
      <w:r>
        <w:rPr>
          <w:color w:val="1C1C1C"/>
          <w:sz w:val="22"/>
          <w:szCs w:val="22"/>
        </w:rPr>
        <w:t xml:space="preserve">Monster Biotechnology (蟲明科技): Pioneered BSF system modules for chain restaurants. Collects food waste, produces protein and fertilizer for agriculture/livestock. (Circular Taiwan, 2024)</w:t>
      </w:r>
    </w:p>
    <w:p>
      <w:pPr>
        <w:pStyle w:val="ListParagraph"/>
        <w:numPr>
          <w:ilvl w:val="0"/>
          <w:numId w:val="1"/>
        </w:numPr>
        <w:spacing w:after="60" w:before="40"/>
      </w:pPr>
      <w:r>
        <w:rPr>
          <w:color w:val="1C1C1C"/>
          <w:sz w:val="22"/>
          <w:szCs w:val="22"/>
        </w:rPr>
        <w:t xml:space="preserve">Stonbo Creative (石峰生態): Founded by retired entomology professor. Operates ecological farm with patented automated BSF feeding system. (Circle Economy, 2024)</w:t>
      </w:r>
    </w:p>
    <w:p>
      <w:pPr>
        <w:pStyle w:val="ListParagraph"/>
        <w:numPr>
          <w:ilvl w:val="0"/>
          <w:numId w:val="1"/>
        </w:numPr>
        <w:spacing w:after="60" w:before="40"/>
      </w:pPr>
      <w:r>
        <w:rPr>
          <w:color w:val="1C1C1C"/>
          <w:sz w:val="22"/>
          <w:szCs w:val="22"/>
        </w:rPr>
        <w:t xml:space="preserve">Institutional Pilots: National Ilan University, Hsinchu County, Meishan Township (Chiayi) have all tested BSF for food waste processing. (innors-tw.com, 2024)</w:t>
      </w:r>
    </w:p>
    <w:p>
      <w:pPr>
        <w:spacing w:before="100"/>
      </w:pPr>
    </w:p>
    <w:p>
      <w:pPr>
        <w:spacing w:after="120" w:before="240"/>
      </w:pPr>
      <w:r>
        <w:rPr>
          <w:b/>
          <w:bCs/>
          <w:color w:val="00A86B"/>
          <w:sz w:val="24"/>
          <w:szCs w:val="24"/>
        </w:rPr>
        <w:t xml:space="preserve">Critical Regulatory Update</w:t>
      </w:r>
    </w:p>
    <w:p>
      <w:pPr>
        <w:pBdr>
          <w:left w:val="thick" w:color="00A86B" w:sz="12"/>
        </w:pBdr>
        <w:shd w:color="F0F7F4" w:val="solid"/>
        <w:spacing w:after="120" w:before="120"/>
        <w:ind w:left="576"/>
      </w:pPr>
      <w:r>
        <w:rPr>
          <w:i/>
          <w:iCs/>
          <w:color w:val="1A3C5E"/>
          <w:sz w:val="22"/>
          <w:szCs w:val="22"/>
        </w:rPr>
        <w:t xml:space="preserve">Since 2021, Taiwan regulations permit BSF larvae for animal feed to be raised on non-vegetarian diets (including fish/meat scraps). Taiwan's Fisheries Research Institute confirmed BSF as a fishmeal replacement for Japanese eel aquaculture with no negative impact on growth or meat quality. By end of 2027, government policy mandates food waste diversion away from incineration.</w:t>
      </w:r>
    </w:p>
    <w:p>
      <w:pPr>
        <w:pBdr>
          <w:bottom w:val="single" w:color="00A86B" w:sz="6"/>
        </w:pBdr>
        <w:spacing w:after="160" w:before="320"/>
      </w:pPr>
      <w:r>
        <w:rPr>
          <w:b/>
          <w:bCs/>
          <w:color w:val="1A3C5E"/>
          <w:sz w:val="28"/>
          <w:szCs w:val="28"/>
        </w:rPr>
        <w:t xml:space="preserve">2.4  Market Intelligence &amp; Growth Projections</w:t>
      </w:r>
    </w:p>
    <w:p>
      <w:pPr>
        <w:spacing w:after="120" w:before="240"/>
      </w:pPr>
      <w:r>
        <w:rPr>
          <w:b/>
          <w:bCs/>
          <w:color w:val="00A86B"/>
          <w:sz w:val="24"/>
          <w:szCs w:val="24"/>
        </w:rPr>
        <w:t xml:space="preserve">Global BSF / Insect Protein Market Forecast</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Market Segment</w:t>
            </w:r>
          </w:p>
        </w:tc>
        <w:tc>
          <w:tcPr>
            <w:shd w:color="1A3C5E" w:val="solid"/>
            <w:tcMar>
              <w:top w:type="dxa" w:w="80"/>
              <w:left w:type="dxa" w:w="100"/>
              <w:bottom w:type="dxa" w:w="80"/>
              <w:right w:type="dxa" w:w="100"/>
            </w:tcMar>
          </w:tcPr>
          <w:p>
            <w:pPr>
              <w:jc w:val="center"/>
            </w:pPr>
            <w:r>
              <w:rPr>
                <w:b/>
                <w:bCs/>
                <w:color w:val="FFFFFF"/>
                <w:sz w:val="20"/>
                <w:szCs w:val="20"/>
              </w:rPr>
              <w:t xml:space="preserve">2025 Estimate</w:t>
            </w:r>
          </w:p>
        </w:tc>
        <w:tc>
          <w:tcPr>
            <w:shd w:color="1A3C5E" w:val="solid"/>
            <w:tcMar>
              <w:top w:type="dxa" w:w="80"/>
              <w:left w:type="dxa" w:w="100"/>
              <w:bottom w:type="dxa" w:w="80"/>
              <w:right w:type="dxa" w:w="100"/>
            </w:tcMar>
          </w:tcPr>
          <w:p>
            <w:pPr>
              <w:jc w:val="center"/>
            </w:pPr>
            <w:r>
              <w:rPr>
                <w:b/>
                <w:bCs/>
                <w:color w:val="FFFFFF"/>
                <w:sz w:val="20"/>
                <w:szCs w:val="20"/>
              </w:rPr>
              <w:t xml:space="preserve">2030 Projection</w:t>
            </w:r>
          </w:p>
        </w:tc>
        <w:tc>
          <w:tcPr>
            <w:shd w:color="1A3C5E" w:val="solid"/>
            <w:tcMar>
              <w:top w:type="dxa" w:w="80"/>
              <w:left w:type="dxa" w:w="100"/>
              <w:bottom w:type="dxa" w:w="80"/>
              <w:right w:type="dxa" w:w="100"/>
            </w:tcMar>
          </w:tcPr>
          <w:p>
            <w:pPr>
              <w:jc w:val="center"/>
            </w:pPr>
            <w:r>
              <w:rPr>
                <w:b/>
                <w:bCs/>
                <w:color w:val="FFFFFF"/>
                <w:sz w:val="20"/>
                <w:szCs w:val="20"/>
              </w:rPr>
              <w:t xml:space="preserve">CAGR</w:t>
            </w:r>
          </w:p>
        </w:tc>
      </w:tr>
      <w:tr>
        <w:tc>
          <w:tcPr>
            <w:shd w:color="F7FBFA" w:val="solid"/>
            <w:tcMar>
              <w:top w:type="dxa" w:w="60"/>
              <w:left w:type="dxa" w:w="100"/>
              <w:bottom w:type="dxa" w:w="60"/>
              <w:right w:type="dxa" w:w="100"/>
            </w:tcMar>
          </w:tcPr>
          <w:p>
            <w:r>
              <w:rPr>
                <w:color w:val="1C1C1C"/>
                <w:sz w:val="20"/>
                <w:szCs w:val="20"/>
              </w:rPr>
              <w:t xml:space="preserve">BSF Market (conservative)</w:t>
            </w:r>
          </w:p>
        </w:tc>
        <w:tc>
          <w:tcPr>
            <w:shd w:color="F7FBFA" w:val="solid"/>
            <w:tcMar>
              <w:top w:type="dxa" w:w="60"/>
              <w:left w:type="dxa" w:w="100"/>
              <w:bottom w:type="dxa" w:w="60"/>
              <w:right w:type="dxa" w:w="100"/>
            </w:tcMar>
          </w:tcPr>
          <w:p>
            <w:r>
              <w:rPr>
                <w:color w:val="1C1C1C"/>
                <w:sz w:val="20"/>
                <w:szCs w:val="20"/>
              </w:rPr>
              <w:t xml:space="preserve">$1.01 billion</w:t>
            </w:r>
          </w:p>
        </w:tc>
        <w:tc>
          <w:tcPr>
            <w:shd w:color="F7FBFA" w:val="solid"/>
            <w:tcMar>
              <w:top w:type="dxa" w:w="60"/>
              <w:left w:type="dxa" w:w="100"/>
              <w:bottom w:type="dxa" w:w="60"/>
              <w:right w:type="dxa" w:w="100"/>
            </w:tcMar>
          </w:tcPr>
          <w:p>
            <w:r>
              <w:rPr>
                <w:color w:val="1C1C1C"/>
                <w:sz w:val="20"/>
                <w:szCs w:val="20"/>
              </w:rPr>
              <w:t xml:space="preserve">$2.22 billion</w:t>
            </w:r>
          </w:p>
        </w:tc>
        <w:tc>
          <w:tcPr>
            <w:shd w:color="F7FBFA" w:val="solid"/>
            <w:tcMar>
              <w:top w:type="dxa" w:w="60"/>
              <w:left w:type="dxa" w:w="100"/>
              <w:bottom w:type="dxa" w:w="60"/>
              <w:right w:type="dxa" w:w="100"/>
            </w:tcMar>
          </w:tcPr>
          <w:p>
            <w:r>
              <w:rPr>
                <w:color w:val="1C1C1C"/>
                <w:sz w:val="20"/>
                <w:szCs w:val="20"/>
              </w:rPr>
              <w:t xml:space="preserve">17.0%</w:t>
            </w:r>
          </w:p>
        </w:tc>
      </w:tr>
      <w:tr>
        <w:tc>
          <w:tcPr>
            <w:shd w:color="FFFFFF" w:val="solid"/>
            <w:tcMar>
              <w:top w:type="dxa" w:w="60"/>
              <w:left w:type="dxa" w:w="100"/>
              <w:bottom w:type="dxa" w:w="60"/>
              <w:right w:type="dxa" w:w="100"/>
            </w:tcMar>
          </w:tcPr>
          <w:p>
            <w:r>
              <w:rPr>
                <w:color w:val="1C1C1C"/>
                <w:sz w:val="20"/>
                <w:szCs w:val="20"/>
              </w:rPr>
              <w:t xml:space="preserve">BSF Larvae Market</w:t>
            </w:r>
          </w:p>
        </w:tc>
        <w:tc>
          <w:tcPr>
            <w:shd w:color="FFFFFF" w:val="solid"/>
            <w:tcMar>
              <w:top w:type="dxa" w:w="60"/>
              <w:left w:type="dxa" w:w="100"/>
              <w:bottom w:type="dxa" w:w="60"/>
              <w:right w:type="dxa" w:w="100"/>
            </w:tcMar>
          </w:tcPr>
          <w:p>
            <w:r>
              <w:rPr>
                <w:color w:val="1C1C1C"/>
                <w:sz w:val="20"/>
                <w:szCs w:val="20"/>
              </w:rPr>
              <w:t xml:space="preserve">~$1.5 billion</w:t>
            </w:r>
          </w:p>
        </w:tc>
        <w:tc>
          <w:tcPr>
            <w:shd w:color="FFFFFF" w:val="solid"/>
            <w:tcMar>
              <w:top w:type="dxa" w:w="60"/>
              <w:left w:type="dxa" w:w="100"/>
              <w:bottom w:type="dxa" w:w="60"/>
              <w:right w:type="dxa" w:w="100"/>
            </w:tcMar>
          </w:tcPr>
          <w:p>
            <w:r>
              <w:rPr>
                <w:color w:val="1C1C1C"/>
                <w:sz w:val="20"/>
                <w:szCs w:val="20"/>
              </w:rPr>
              <w:t xml:space="preserve">~$5 billion (by 2034)</w:t>
            </w:r>
          </w:p>
        </w:tc>
        <w:tc>
          <w:tcPr>
            <w:shd w:color="FFFFFF" w:val="solid"/>
            <w:tcMar>
              <w:top w:type="dxa" w:w="60"/>
              <w:left w:type="dxa" w:w="100"/>
              <w:bottom w:type="dxa" w:w="60"/>
              <w:right w:type="dxa" w:w="100"/>
            </w:tcMar>
          </w:tcPr>
          <w:p>
            <w:r>
              <w:rPr>
                <w:color w:val="1C1C1C"/>
                <w:sz w:val="20"/>
                <w:szCs w:val="20"/>
              </w:rPr>
              <w:t xml:space="preserve">30.8%</w:t>
            </w:r>
          </w:p>
        </w:tc>
      </w:tr>
      <w:tr>
        <w:tc>
          <w:tcPr>
            <w:shd w:color="F7FBFA" w:val="solid"/>
            <w:tcMar>
              <w:top w:type="dxa" w:w="60"/>
              <w:left w:type="dxa" w:w="100"/>
              <w:bottom w:type="dxa" w:w="60"/>
              <w:right w:type="dxa" w:w="100"/>
            </w:tcMar>
          </w:tcPr>
          <w:p>
            <w:r>
              <w:rPr>
                <w:color w:val="1C1C1C"/>
                <w:sz w:val="20"/>
                <w:szCs w:val="20"/>
              </w:rPr>
              <w:t xml:space="preserve">Insect Protein Market (broad)</w:t>
            </w:r>
          </w:p>
        </w:tc>
        <w:tc>
          <w:tcPr>
            <w:shd w:color="F7FBFA" w:val="solid"/>
            <w:tcMar>
              <w:top w:type="dxa" w:w="60"/>
              <w:left w:type="dxa" w:w="100"/>
              <w:bottom w:type="dxa" w:w="60"/>
              <w:right w:type="dxa" w:w="100"/>
            </w:tcMar>
          </w:tcPr>
          <w:p>
            <w:r>
              <w:rPr>
                <w:color w:val="1C1C1C"/>
                <w:sz w:val="20"/>
                <w:szCs w:val="20"/>
              </w:rPr>
              <w:t xml:space="preserve">~$800 million</w:t>
            </w:r>
          </w:p>
        </w:tc>
        <w:tc>
          <w:tcPr>
            <w:shd w:color="F7FBFA" w:val="solid"/>
            <w:tcMar>
              <w:top w:type="dxa" w:w="60"/>
              <w:left w:type="dxa" w:w="100"/>
              <w:bottom w:type="dxa" w:w="60"/>
              <w:right w:type="dxa" w:w="100"/>
            </w:tcMar>
          </w:tcPr>
          <w:p>
            <w:r>
              <w:rPr>
                <w:color w:val="1C1C1C"/>
                <w:sz w:val="20"/>
                <w:szCs w:val="20"/>
              </w:rPr>
              <w:t xml:space="preserve">~$3.6 billion</w:t>
            </w:r>
          </w:p>
        </w:tc>
        <w:tc>
          <w:tcPr>
            <w:shd w:color="F7FBFA" w:val="solid"/>
            <w:tcMar>
              <w:top w:type="dxa" w:w="60"/>
              <w:left w:type="dxa" w:w="100"/>
              <w:bottom w:type="dxa" w:w="60"/>
              <w:right w:type="dxa" w:w="100"/>
            </w:tcMar>
          </w:tcPr>
          <w:p>
            <w:r>
              <w:rPr>
                <w:color w:val="1C1C1C"/>
                <w:sz w:val="20"/>
                <w:szCs w:val="20"/>
              </w:rPr>
              <w:t xml:space="preserve">38.6%</w:t>
            </w:r>
          </w:p>
        </w:tc>
      </w:tr>
    </w:tbl>
    <w:p>
      <w:pPr>
        <w:spacing w:before="120"/>
      </w:pPr>
    </w:p>
    <w:p>
      <w:pPr>
        <w:spacing w:after="120" w:before="240"/>
      </w:pPr>
      <w:r>
        <w:rPr>
          <w:b/>
          <w:bCs/>
          <w:color w:val="00A86B"/>
          <w:sz w:val="24"/>
          <w:szCs w:val="24"/>
        </w:rPr>
        <w:t xml:space="preserve">BSF vs. Alternative Waste Management Methods</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gridCol w:w="100"/>
      </w:tblGrid>
      <w:tr>
        <w:trPr>
          <w:tblHeader/>
        </w:trPr>
        <w:tc>
          <w:tcPr>
            <w:shd w:color="00A86B" w:val="solid"/>
            <w:tcMar>
              <w:top w:type="dxa" w:w="80"/>
              <w:left w:type="dxa" w:w="100"/>
              <w:bottom w:type="dxa" w:w="80"/>
              <w:right w:type="dxa" w:w="100"/>
            </w:tcMar>
          </w:tcPr>
          <w:p>
            <w:pPr>
              <w:jc w:val="center"/>
            </w:pPr>
            <w:r>
              <w:rPr>
                <w:b/>
                <w:bCs/>
                <w:color w:val="FFFFFF"/>
                <w:sz w:val="20"/>
                <w:szCs w:val="20"/>
              </w:rPr>
              <w:t xml:space="preserve">Comparison</w:t>
            </w:r>
          </w:p>
        </w:tc>
        <w:tc>
          <w:tcPr>
            <w:shd w:color="00A86B" w:val="solid"/>
            <w:tcMar>
              <w:top w:type="dxa" w:w="80"/>
              <w:left w:type="dxa" w:w="100"/>
              <w:bottom w:type="dxa" w:w="80"/>
              <w:right w:type="dxa" w:w="100"/>
            </w:tcMar>
          </w:tcPr>
          <w:p>
            <w:pPr>
              <w:jc w:val="center"/>
            </w:pPr>
            <w:r>
              <w:rPr>
                <w:b/>
                <w:bCs/>
                <w:color w:val="FFFFFF"/>
                <w:sz w:val="20"/>
                <w:szCs w:val="20"/>
              </w:rPr>
              <w:t xml:space="preserve">BSF</w:t>
            </w:r>
          </w:p>
        </w:tc>
        <w:tc>
          <w:tcPr>
            <w:shd w:color="00A86B" w:val="solid"/>
            <w:tcMar>
              <w:top w:type="dxa" w:w="80"/>
              <w:left w:type="dxa" w:w="100"/>
              <w:bottom w:type="dxa" w:w="80"/>
              <w:right w:type="dxa" w:w="100"/>
            </w:tcMar>
          </w:tcPr>
          <w:p>
            <w:pPr>
              <w:jc w:val="center"/>
            </w:pPr>
            <w:r>
              <w:rPr>
                <w:b/>
                <w:bCs/>
                <w:color w:val="FFFFFF"/>
                <w:sz w:val="20"/>
                <w:szCs w:val="20"/>
              </w:rPr>
              <w:t xml:space="preserve">Traditional Composting</w:t>
            </w:r>
          </w:p>
        </w:tc>
        <w:tc>
          <w:tcPr>
            <w:shd w:color="00A86B" w:val="solid"/>
            <w:tcMar>
              <w:top w:type="dxa" w:w="80"/>
              <w:left w:type="dxa" w:w="100"/>
              <w:bottom w:type="dxa" w:w="80"/>
              <w:right w:type="dxa" w:w="100"/>
            </w:tcMar>
          </w:tcPr>
          <w:p>
            <w:pPr>
              <w:jc w:val="center"/>
            </w:pPr>
            <w:r>
              <w:rPr>
                <w:b/>
                <w:bCs/>
                <w:color w:val="FFFFFF"/>
                <w:sz w:val="20"/>
                <w:szCs w:val="20"/>
              </w:rPr>
              <w:t xml:space="preserve">Incineration</w:t>
            </w:r>
          </w:p>
        </w:tc>
      </w:tr>
      <w:tr>
        <w:tc>
          <w:tcPr>
            <w:shd w:color="F7FBFA" w:val="solid"/>
            <w:tcMar>
              <w:top w:type="dxa" w:w="60"/>
              <w:left w:type="dxa" w:w="100"/>
              <w:bottom w:type="dxa" w:w="60"/>
              <w:right w:type="dxa" w:w="100"/>
            </w:tcMar>
          </w:tcPr>
          <w:p>
            <w:r>
              <w:rPr>
                <w:color w:val="1C1C1C"/>
                <w:sz w:val="20"/>
                <w:szCs w:val="20"/>
              </w:rPr>
              <w:t xml:space="preserve">Processing time</w:t>
            </w:r>
          </w:p>
        </w:tc>
        <w:tc>
          <w:tcPr>
            <w:shd w:color="F7FBFA" w:val="solid"/>
            <w:tcMar>
              <w:top w:type="dxa" w:w="60"/>
              <w:left w:type="dxa" w:w="100"/>
              <w:bottom w:type="dxa" w:w="60"/>
              <w:right w:type="dxa" w:w="100"/>
            </w:tcMar>
          </w:tcPr>
          <w:p>
            <w:r>
              <w:rPr>
                <w:color w:val="1C1C1C"/>
                <w:sz w:val="20"/>
                <w:szCs w:val="20"/>
              </w:rPr>
              <w:t xml:space="preserve">7–14 days</w:t>
            </w:r>
          </w:p>
        </w:tc>
        <w:tc>
          <w:tcPr>
            <w:shd w:color="F7FBFA" w:val="solid"/>
            <w:tcMar>
              <w:top w:type="dxa" w:w="60"/>
              <w:left w:type="dxa" w:w="100"/>
              <w:bottom w:type="dxa" w:w="60"/>
              <w:right w:type="dxa" w:w="100"/>
            </w:tcMar>
          </w:tcPr>
          <w:p>
            <w:r>
              <w:rPr>
                <w:color w:val="1C1C1C"/>
                <w:sz w:val="20"/>
                <w:szCs w:val="20"/>
              </w:rPr>
              <w:t xml:space="preserve">60–180 days</w:t>
            </w:r>
          </w:p>
        </w:tc>
        <w:tc>
          <w:tcPr>
            <w:shd w:color="F7FBFA" w:val="solid"/>
            <w:tcMar>
              <w:top w:type="dxa" w:w="60"/>
              <w:left w:type="dxa" w:w="100"/>
              <w:bottom w:type="dxa" w:w="60"/>
              <w:right w:type="dxa" w:w="100"/>
            </w:tcMar>
          </w:tcPr>
          <w:p>
            <w:r>
              <w:rPr>
                <w:color w:val="1C1C1C"/>
                <w:sz w:val="20"/>
                <w:szCs w:val="20"/>
              </w:rPr>
              <w:t xml:space="preserve">&lt;1 day</w:t>
            </w:r>
          </w:p>
        </w:tc>
      </w:tr>
      <w:tr>
        <w:tc>
          <w:tcPr>
            <w:shd w:color="FFFFFF" w:val="solid"/>
            <w:tcMar>
              <w:top w:type="dxa" w:w="60"/>
              <w:left w:type="dxa" w:w="100"/>
              <w:bottom w:type="dxa" w:w="60"/>
              <w:right w:type="dxa" w:w="100"/>
            </w:tcMar>
          </w:tcPr>
          <w:p>
            <w:r>
              <w:rPr>
                <w:color w:val="1C1C1C"/>
                <w:sz w:val="20"/>
                <w:szCs w:val="20"/>
              </w:rPr>
              <w:t xml:space="preserve">High-lipid waste</w:t>
            </w:r>
          </w:p>
        </w:tc>
        <w:tc>
          <w:tcPr>
            <w:shd w:color="FFFFFF" w:val="solid"/>
            <w:tcMar>
              <w:top w:type="dxa" w:w="60"/>
              <w:left w:type="dxa" w:w="100"/>
              <w:bottom w:type="dxa" w:w="60"/>
              <w:right w:type="dxa" w:w="100"/>
            </w:tcMar>
          </w:tcPr>
          <w:p>
            <w:r>
              <w:rPr>
                <w:color w:val="1C1C1C"/>
                <w:sz w:val="20"/>
                <w:szCs w:val="20"/>
              </w:rPr>
              <w:t xml:space="preserve">Handles well ✓</w:t>
            </w:r>
          </w:p>
        </w:tc>
        <w:tc>
          <w:tcPr>
            <w:shd w:color="FFFFFF" w:val="solid"/>
            <w:tcMar>
              <w:top w:type="dxa" w:w="60"/>
              <w:left w:type="dxa" w:w="100"/>
              <w:bottom w:type="dxa" w:w="60"/>
              <w:right w:type="dxa" w:w="100"/>
            </w:tcMar>
          </w:tcPr>
          <w:p>
            <w:r>
              <w:rPr>
                <w:color w:val="1C1C1C"/>
                <w:sz w:val="20"/>
                <w:szCs w:val="20"/>
              </w:rPr>
              <w:t xml:space="preserve">Kills bacteria ✗</w:t>
            </w:r>
          </w:p>
        </w:tc>
        <w:tc>
          <w:tcPr>
            <w:shd w:color="FFFFFF" w:val="solid"/>
            <w:tcMar>
              <w:top w:type="dxa" w:w="60"/>
              <w:left w:type="dxa" w:w="100"/>
              <w:bottom w:type="dxa" w:w="60"/>
              <w:right w:type="dxa" w:w="100"/>
            </w:tcMar>
          </w:tcPr>
          <w:p>
            <w:r>
              <w:rPr>
                <w:color w:val="1C1C1C"/>
                <w:sz w:val="20"/>
                <w:szCs w:val="20"/>
              </w:rPr>
              <w:t xml:space="preserve">Burns ✓</w:t>
            </w:r>
          </w:p>
        </w:tc>
      </w:tr>
      <w:tr>
        <w:tc>
          <w:tcPr>
            <w:shd w:color="F7FBFA" w:val="solid"/>
            <w:tcMar>
              <w:top w:type="dxa" w:w="60"/>
              <w:left w:type="dxa" w:w="100"/>
              <w:bottom w:type="dxa" w:w="60"/>
              <w:right w:type="dxa" w:w="100"/>
            </w:tcMar>
          </w:tcPr>
          <w:p>
            <w:r>
              <w:rPr>
                <w:color w:val="1C1C1C"/>
                <w:sz w:val="20"/>
                <w:szCs w:val="20"/>
              </w:rPr>
              <w:t xml:space="preserve">Value outputs</w:t>
            </w:r>
          </w:p>
        </w:tc>
        <w:tc>
          <w:tcPr>
            <w:shd w:color="F7FBFA" w:val="solid"/>
            <w:tcMar>
              <w:top w:type="dxa" w:w="60"/>
              <w:left w:type="dxa" w:w="100"/>
              <w:bottom w:type="dxa" w:w="60"/>
              <w:right w:type="dxa" w:w="100"/>
            </w:tcMar>
          </w:tcPr>
          <w:p>
            <w:r>
              <w:rPr>
                <w:color w:val="1C1C1C"/>
                <w:sz w:val="20"/>
                <w:szCs w:val="20"/>
              </w:rPr>
              <w:t xml:space="preserve">Protein + Fertilizer</w:t>
            </w:r>
          </w:p>
        </w:tc>
        <w:tc>
          <w:tcPr>
            <w:shd w:color="F7FBFA" w:val="solid"/>
            <w:tcMar>
              <w:top w:type="dxa" w:w="60"/>
              <w:left w:type="dxa" w:w="100"/>
              <w:bottom w:type="dxa" w:w="60"/>
              <w:right w:type="dxa" w:w="100"/>
            </w:tcMar>
          </w:tcPr>
          <w:p>
            <w:r>
              <w:rPr>
                <w:color w:val="1C1C1C"/>
                <w:sz w:val="20"/>
                <w:szCs w:val="20"/>
              </w:rPr>
              <w:t xml:space="preserve">Compost only</w:t>
            </w:r>
          </w:p>
        </w:tc>
        <w:tc>
          <w:tcPr>
            <w:shd w:color="F7FBFA" w:val="solid"/>
            <w:tcMar>
              <w:top w:type="dxa" w:w="60"/>
              <w:left w:type="dxa" w:w="100"/>
              <w:bottom w:type="dxa" w:w="60"/>
              <w:right w:type="dxa" w:w="100"/>
            </w:tcMar>
          </w:tcPr>
          <w:p>
            <w:r>
              <w:rPr>
                <w:color w:val="1C1C1C"/>
                <w:sz w:val="20"/>
                <w:szCs w:val="20"/>
              </w:rPr>
              <w:t xml:space="preserve">Energy only</w:t>
            </w:r>
          </w:p>
        </w:tc>
      </w:tr>
      <w:tr>
        <w:tc>
          <w:tcPr>
            <w:shd w:color="FFFFFF" w:val="solid"/>
            <w:tcMar>
              <w:top w:type="dxa" w:w="60"/>
              <w:left w:type="dxa" w:w="100"/>
              <w:bottom w:type="dxa" w:w="60"/>
              <w:right w:type="dxa" w:w="100"/>
            </w:tcMar>
          </w:tcPr>
          <w:p>
            <w:r>
              <w:rPr>
                <w:color w:val="1C1C1C"/>
                <w:sz w:val="20"/>
                <w:szCs w:val="20"/>
              </w:rPr>
              <w:t xml:space="preserve">Urban footprint</w:t>
            </w:r>
          </w:p>
        </w:tc>
        <w:tc>
          <w:tcPr>
            <w:shd w:color="FFFFFF" w:val="solid"/>
            <w:tcMar>
              <w:top w:type="dxa" w:w="60"/>
              <w:left w:type="dxa" w:w="100"/>
              <w:bottom w:type="dxa" w:w="60"/>
              <w:right w:type="dxa" w:w="100"/>
            </w:tcMar>
          </w:tcPr>
          <w:p>
            <w:r>
              <w:rPr>
                <w:color w:val="1C1C1C"/>
                <w:sz w:val="20"/>
                <w:szCs w:val="20"/>
              </w:rPr>
              <w:t xml:space="preserve">Container-scale ✓</w:t>
            </w:r>
          </w:p>
        </w:tc>
        <w:tc>
          <w:tcPr>
            <w:shd w:color="FFFFFF" w:val="solid"/>
            <w:tcMar>
              <w:top w:type="dxa" w:w="60"/>
              <w:left w:type="dxa" w:w="100"/>
              <w:bottom w:type="dxa" w:w="60"/>
              <w:right w:type="dxa" w:w="100"/>
            </w:tcMar>
          </w:tcPr>
          <w:p>
            <w:r>
              <w:rPr>
                <w:color w:val="1C1C1C"/>
                <w:sz w:val="20"/>
                <w:szCs w:val="20"/>
              </w:rPr>
              <w:t xml:space="preserve">Needs large land ✗</w:t>
            </w:r>
          </w:p>
        </w:tc>
        <w:tc>
          <w:tcPr>
            <w:shd w:color="FFFFFF" w:val="solid"/>
            <w:tcMar>
              <w:top w:type="dxa" w:w="60"/>
              <w:left w:type="dxa" w:w="100"/>
              <w:bottom w:type="dxa" w:w="60"/>
              <w:right w:type="dxa" w:w="100"/>
            </w:tcMar>
          </w:tcPr>
          <w:p>
            <w:r>
              <w:rPr>
                <w:color w:val="1C1C1C"/>
                <w:sz w:val="20"/>
                <w:szCs w:val="20"/>
              </w:rPr>
              <w:t xml:space="preserve">Plant-scale ✗</w:t>
            </w:r>
          </w:p>
        </w:tc>
      </w:tr>
      <w:tr>
        <w:tc>
          <w:tcPr>
            <w:shd w:color="F7FBFA" w:val="solid"/>
            <w:tcMar>
              <w:top w:type="dxa" w:w="60"/>
              <w:left w:type="dxa" w:w="100"/>
              <w:bottom w:type="dxa" w:w="60"/>
              <w:right w:type="dxa" w:w="100"/>
            </w:tcMar>
          </w:tcPr>
          <w:p>
            <w:r>
              <w:rPr>
                <w:color w:val="1C1C1C"/>
                <w:sz w:val="20"/>
                <w:szCs w:val="20"/>
              </w:rPr>
              <w:t xml:space="preserve">Carbon footprint</w:t>
            </w:r>
          </w:p>
        </w:tc>
        <w:tc>
          <w:tcPr>
            <w:shd w:color="F7FBFA" w:val="solid"/>
            <w:tcMar>
              <w:top w:type="dxa" w:w="60"/>
              <w:left w:type="dxa" w:w="100"/>
              <w:bottom w:type="dxa" w:w="60"/>
              <w:right w:type="dxa" w:w="100"/>
            </w:tcMar>
          </w:tcPr>
          <w:p>
            <w:r>
              <w:rPr>
                <w:color w:val="1C1C1C"/>
                <w:sz w:val="20"/>
                <w:szCs w:val="20"/>
              </w:rPr>
              <w:t xml:space="preserve">Low ✓</w:t>
            </w:r>
          </w:p>
        </w:tc>
        <w:tc>
          <w:tcPr>
            <w:shd w:color="F7FBFA" w:val="solid"/>
            <w:tcMar>
              <w:top w:type="dxa" w:w="60"/>
              <w:left w:type="dxa" w:w="100"/>
              <w:bottom w:type="dxa" w:w="60"/>
              <w:right w:type="dxa" w:w="100"/>
            </w:tcMar>
          </w:tcPr>
          <w:p>
            <w:r>
              <w:rPr>
                <w:color w:val="1C1C1C"/>
                <w:sz w:val="20"/>
                <w:szCs w:val="20"/>
              </w:rPr>
              <w:t xml:space="preserve">Low</w:t>
            </w:r>
          </w:p>
        </w:tc>
        <w:tc>
          <w:tcPr>
            <w:shd w:color="F7FBFA" w:val="solid"/>
            <w:tcMar>
              <w:top w:type="dxa" w:w="60"/>
              <w:left w:type="dxa" w:w="100"/>
              <w:bottom w:type="dxa" w:w="60"/>
              <w:right w:type="dxa" w:w="100"/>
            </w:tcMar>
          </w:tcPr>
          <w:p>
            <w:r>
              <w:rPr>
                <w:color w:val="1C1C1C"/>
                <w:sz w:val="20"/>
                <w:szCs w:val="20"/>
              </w:rPr>
              <w:t xml:space="preserve">High ✗</w:t>
            </w:r>
          </w:p>
        </w:tc>
      </w:tr>
    </w:tbl>
    <w:p>
      <w:pPr>
        <w:pBdr>
          <w:bottom w:val="single" w:color="00A86B" w:sz="6"/>
        </w:pBdr>
        <w:spacing w:after="160" w:before="320"/>
      </w:pPr>
      <w:r>
        <w:rPr>
          <w:b/>
          <w:bCs/>
          <w:color w:val="1A3C5E"/>
          <w:sz w:val="28"/>
          <w:szCs w:val="28"/>
        </w:rPr>
        <w:t xml:space="preserve">2.5  Business Model &amp; Financial Projections</w:t>
      </w:r>
    </w:p>
    <w:p>
      <w:pPr>
        <w:spacing w:after="120" w:before="240"/>
      </w:pPr>
      <w:r>
        <w:rPr>
          <w:b/>
          <w:bCs/>
          <w:color w:val="00A86B"/>
          <w:sz w:val="24"/>
          <w:szCs w:val="24"/>
        </w:rPr>
        <w:t xml:space="preserve">Revenue Structure (Per Hub, Annualized)</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Product</w:t>
            </w:r>
          </w:p>
        </w:tc>
        <w:tc>
          <w:tcPr>
            <w:shd w:color="1A3C5E" w:val="solid"/>
            <w:tcMar>
              <w:top w:type="dxa" w:w="80"/>
              <w:left w:type="dxa" w:w="100"/>
              <w:bottom w:type="dxa" w:w="80"/>
              <w:right w:type="dxa" w:w="100"/>
            </w:tcMar>
          </w:tcPr>
          <w:p>
            <w:pPr>
              <w:jc w:val="center"/>
            </w:pPr>
            <w:r>
              <w:rPr>
                <w:b/>
                <w:bCs/>
                <w:color w:val="FFFFFF"/>
                <w:sz w:val="20"/>
                <w:szCs w:val="20"/>
              </w:rPr>
              <w:t xml:space="preserve">Volume/Year</w:t>
            </w:r>
          </w:p>
        </w:tc>
        <w:tc>
          <w:tcPr>
            <w:shd w:color="1A3C5E" w:val="solid"/>
            <w:tcMar>
              <w:top w:type="dxa" w:w="80"/>
              <w:left w:type="dxa" w:w="100"/>
              <w:bottom w:type="dxa" w:w="80"/>
              <w:right w:type="dxa" w:w="100"/>
            </w:tcMar>
          </w:tcPr>
          <w:p>
            <w:pPr>
              <w:jc w:val="center"/>
            </w:pPr>
            <w:r>
              <w:rPr>
                <w:b/>
                <w:bCs/>
                <w:color w:val="FFFFFF"/>
                <w:sz w:val="20"/>
                <w:szCs w:val="20"/>
              </w:rPr>
              <w:t xml:space="preserve">Price/Tonne</w:t>
            </w:r>
          </w:p>
        </w:tc>
        <w:tc>
          <w:tcPr>
            <w:shd w:color="1A3C5E" w:val="solid"/>
            <w:tcMar>
              <w:top w:type="dxa" w:w="80"/>
              <w:left w:type="dxa" w:w="100"/>
              <w:bottom w:type="dxa" w:w="80"/>
              <w:right w:type="dxa" w:w="100"/>
            </w:tcMar>
          </w:tcPr>
          <w:p>
            <w:pPr>
              <w:jc w:val="center"/>
            </w:pPr>
            <w:r>
              <w:rPr>
                <w:b/>
                <w:bCs/>
                <w:color w:val="FFFFFF"/>
                <w:sz w:val="20"/>
                <w:szCs w:val="20"/>
              </w:rPr>
              <w:t xml:space="preserve">Annual Revenue</w:t>
            </w:r>
          </w:p>
        </w:tc>
      </w:tr>
      <w:tr>
        <w:tc>
          <w:tcPr>
            <w:shd w:color="F7FBFA" w:val="solid"/>
            <w:tcMar>
              <w:top w:type="dxa" w:w="60"/>
              <w:left w:type="dxa" w:w="100"/>
              <w:bottom w:type="dxa" w:w="60"/>
              <w:right w:type="dxa" w:w="100"/>
            </w:tcMar>
          </w:tcPr>
          <w:p>
            <w:r>
              <w:rPr>
                <w:color w:val="1C1C1C"/>
                <w:sz w:val="20"/>
                <w:szCs w:val="20"/>
              </w:rPr>
              <w:t xml:space="preserve">BSFL Protein Meal</w:t>
            </w:r>
          </w:p>
        </w:tc>
        <w:tc>
          <w:tcPr>
            <w:shd w:color="F7FBFA" w:val="solid"/>
            <w:tcMar>
              <w:top w:type="dxa" w:w="60"/>
              <w:left w:type="dxa" w:w="100"/>
              <w:bottom w:type="dxa" w:w="60"/>
              <w:right w:type="dxa" w:w="100"/>
            </w:tcMar>
          </w:tcPr>
          <w:p>
            <w:r>
              <w:rPr>
                <w:color w:val="1C1C1C"/>
                <w:sz w:val="20"/>
                <w:szCs w:val="20"/>
              </w:rPr>
              <w:t xml:space="preserve">50 tonnes</w:t>
            </w:r>
          </w:p>
        </w:tc>
        <w:tc>
          <w:tcPr>
            <w:shd w:color="F7FBFA" w:val="solid"/>
            <w:tcMar>
              <w:top w:type="dxa" w:w="60"/>
              <w:left w:type="dxa" w:w="100"/>
              <w:bottom w:type="dxa" w:w="60"/>
              <w:right w:type="dxa" w:w="100"/>
            </w:tcMar>
          </w:tcPr>
          <w:p>
            <w:r>
              <w:rPr>
                <w:color w:val="1C1C1C"/>
                <w:sz w:val="20"/>
                <w:szCs w:val="20"/>
              </w:rPr>
              <w:t xml:space="preserve">~$1,500 USD</w:t>
            </w:r>
          </w:p>
        </w:tc>
        <w:tc>
          <w:tcPr>
            <w:shd w:color="F7FBFA" w:val="solid"/>
            <w:tcMar>
              <w:top w:type="dxa" w:w="60"/>
              <w:left w:type="dxa" w:w="100"/>
              <w:bottom w:type="dxa" w:w="60"/>
              <w:right w:type="dxa" w:w="100"/>
            </w:tcMar>
          </w:tcPr>
          <w:p>
            <w:r>
              <w:rPr>
                <w:color w:val="1C1C1C"/>
                <w:sz w:val="20"/>
                <w:szCs w:val="20"/>
              </w:rPr>
              <w:t xml:space="preserve">$75,000 USD</w:t>
            </w:r>
          </w:p>
        </w:tc>
      </w:tr>
      <w:tr>
        <w:tc>
          <w:tcPr>
            <w:shd w:color="FFFFFF" w:val="solid"/>
            <w:tcMar>
              <w:top w:type="dxa" w:w="60"/>
              <w:left w:type="dxa" w:w="100"/>
              <w:bottom w:type="dxa" w:w="60"/>
              <w:right w:type="dxa" w:w="100"/>
            </w:tcMar>
          </w:tcPr>
          <w:p>
            <w:r>
              <w:rPr>
                <w:color w:val="1C1C1C"/>
                <w:sz w:val="20"/>
                <w:szCs w:val="20"/>
              </w:rPr>
              <w:t xml:space="preserve">BSF Frass Fertilizer</w:t>
            </w:r>
          </w:p>
        </w:tc>
        <w:tc>
          <w:tcPr>
            <w:shd w:color="FFFFFF" w:val="solid"/>
            <w:tcMar>
              <w:top w:type="dxa" w:w="60"/>
              <w:left w:type="dxa" w:w="100"/>
              <w:bottom w:type="dxa" w:w="60"/>
              <w:right w:type="dxa" w:w="100"/>
            </w:tcMar>
          </w:tcPr>
          <w:p>
            <w:r>
              <w:rPr>
                <w:color w:val="1C1C1C"/>
                <w:sz w:val="20"/>
                <w:szCs w:val="20"/>
              </w:rPr>
              <w:t xml:space="preserve">150 tonnes</w:t>
            </w:r>
          </w:p>
        </w:tc>
        <w:tc>
          <w:tcPr>
            <w:shd w:color="FFFFFF" w:val="solid"/>
            <w:tcMar>
              <w:top w:type="dxa" w:w="60"/>
              <w:left w:type="dxa" w:w="100"/>
              <w:bottom w:type="dxa" w:w="60"/>
              <w:right w:type="dxa" w:w="100"/>
            </w:tcMar>
          </w:tcPr>
          <w:p>
            <w:r>
              <w:rPr>
                <w:color w:val="1C1C1C"/>
                <w:sz w:val="20"/>
                <w:szCs w:val="20"/>
              </w:rPr>
              <w:t xml:space="preserve">~$300 USD</w:t>
            </w:r>
          </w:p>
        </w:tc>
        <w:tc>
          <w:tcPr>
            <w:shd w:color="FFFFFF" w:val="solid"/>
            <w:tcMar>
              <w:top w:type="dxa" w:w="60"/>
              <w:left w:type="dxa" w:w="100"/>
              <w:bottom w:type="dxa" w:w="60"/>
              <w:right w:type="dxa" w:w="100"/>
            </w:tcMar>
          </w:tcPr>
          <w:p>
            <w:r>
              <w:rPr>
                <w:color w:val="1C1C1C"/>
                <w:sz w:val="20"/>
                <w:szCs w:val="20"/>
              </w:rPr>
              <w:t xml:space="preserve">$45,000 USD</w:t>
            </w:r>
          </w:p>
        </w:tc>
      </w:tr>
      <w:tr>
        <w:tc>
          <w:tcPr>
            <w:shd w:color="F7FBFA" w:val="solid"/>
            <w:tcMar>
              <w:top w:type="dxa" w:w="60"/>
              <w:left w:type="dxa" w:w="100"/>
              <w:bottom w:type="dxa" w:w="60"/>
              <w:right w:type="dxa" w:w="100"/>
            </w:tcMar>
          </w:tcPr>
          <w:p>
            <w:r>
              <w:rPr>
                <w:color w:val="1C1C1C"/>
                <w:sz w:val="20"/>
                <w:szCs w:val="20"/>
              </w:rPr>
              <w:t xml:space="preserve">Tipping Fees (from markets)</w:t>
            </w:r>
          </w:p>
        </w:tc>
        <w:tc>
          <w:tcPr>
            <w:shd w:color="F7FBFA" w:val="solid"/>
            <w:tcMar>
              <w:top w:type="dxa" w:w="60"/>
              <w:left w:type="dxa" w:w="100"/>
              <w:bottom w:type="dxa" w:w="60"/>
              <w:right w:type="dxa" w:w="100"/>
            </w:tcMar>
          </w:tcPr>
          <w:p>
            <w:r>
              <w:rPr>
                <w:color w:val="1C1C1C"/>
                <w:sz w:val="20"/>
                <w:szCs w:val="20"/>
              </w:rPr>
              <w:t xml:space="preserve">700 tonnes</w:t>
            </w:r>
          </w:p>
        </w:tc>
        <w:tc>
          <w:tcPr>
            <w:shd w:color="F7FBFA" w:val="solid"/>
            <w:tcMar>
              <w:top w:type="dxa" w:w="60"/>
              <w:left w:type="dxa" w:w="100"/>
              <w:bottom w:type="dxa" w:w="60"/>
              <w:right w:type="dxa" w:w="100"/>
            </w:tcMar>
          </w:tcPr>
          <w:p>
            <w:r>
              <w:rPr>
                <w:color w:val="1C1C1C"/>
                <w:sz w:val="20"/>
                <w:szCs w:val="20"/>
              </w:rPr>
              <w:t xml:space="preserve">~$30 USD</w:t>
            </w:r>
          </w:p>
        </w:tc>
        <w:tc>
          <w:tcPr>
            <w:shd w:color="F7FBFA" w:val="solid"/>
            <w:tcMar>
              <w:top w:type="dxa" w:w="60"/>
              <w:left w:type="dxa" w:w="100"/>
              <w:bottom w:type="dxa" w:w="60"/>
              <w:right w:type="dxa" w:w="100"/>
            </w:tcMar>
          </w:tcPr>
          <w:p>
            <w:r>
              <w:rPr>
                <w:color w:val="1C1C1C"/>
                <w:sz w:val="20"/>
                <w:szCs w:val="20"/>
              </w:rPr>
              <w:t xml:space="preserve">$21,000 USD</w:t>
            </w:r>
          </w:p>
        </w:tc>
      </w:tr>
      <w:tr>
        <w:tc>
          <w:tcPr>
            <w:shd w:color="FFFFFF" w:val="solid"/>
            <w:tcMar>
              <w:top w:type="dxa" w:w="60"/>
              <w:left w:type="dxa" w:w="100"/>
              <w:bottom w:type="dxa" w:w="60"/>
              <w:right w:type="dxa" w:w="100"/>
            </w:tcMar>
          </w:tcPr>
          <w:p>
            <w:r>
              <w:rPr>
                <w:color w:val="1C1C1C"/>
                <w:sz w:val="20"/>
                <w:szCs w:val="20"/>
              </w:rPr>
              <w:t xml:space="preserve">Total Revenue per Hub</w:t>
            </w:r>
          </w:p>
        </w:tc>
        <w:tc>
          <w:tcPr>
            <w:shd w:color="FFFFFF" w:val="solid"/>
            <w:tcMar>
              <w:top w:type="dxa" w:w="60"/>
              <w:left w:type="dxa" w:w="100"/>
              <w:bottom w:type="dxa" w:w="60"/>
              <w:right w:type="dxa" w:w="100"/>
            </w:tcMar>
          </w:tcPr>
          <w:p>
            <w:r>
              <w:rPr>
                <w:color w:val="1C1C1C"/>
                <w:sz w:val="20"/>
                <w:szCs w:val="20"/>
              </w:rPr>
              <w:t xml:space="preserve">—</w:t>
            </w:r>
          </w:p>
        </w:tc>
        <w:tc>
          <w:tcPr>
            <w:shd w:color="FFFFFF" w:val="solid"/>
            <w:tcMar>
              <w:top w:type="dxa" w:w="60"/>
              <w:left w:type="dxa" w:w="100"/>
              <w:bottom w:type="dxa" w:w="60"/>
              <w:right w:type="dxa" w:w="100"/>
            </w:tcMar>
          </w:tcPr>
          <w:p>
            <w:r>
              <w:rPr>
                <w:color w:val="1C1C1C"/>
                <w:sz w:val="20"/>
                <w:szCs w:val="20"/>
              </w:rPr>
              <w:t xml:space="preserve">—</w:t>
            </w:r>
          </w:p>
        </w:tc>
        <w:tc>
          <w:tcPr>
            <w:shd w:color="FFFFFF" w:val="solid"/>
            <w:tcMar>
              <w:top w:type="dxa" w:w="60"/>
              <w:left w:type="dxa" w:w="100"/>
              <w:bottom w:type="dxa" w:w="60"/>
              <w:right w:type="dxa" w:w="100"/>
            </w:tcMar>
          </w:tcPr>
          <w:p>
            <w:r>
              <w:rPr>
                <w:color w:val="1C1C1C"/>
                <w:sz w:val="20"/>
                <w:szCs w:val="20"/>
              </w:rPr>
              <w:t xml:space="preserve">~$141,000 USD</w:t>
            </w:r>
          </w:p>
        </w:tc>
      </w:tr>
    </w:tbl>
    <w:p>
      <w:pPr>
        <w:spacing w:before="100"/>
      </w:pPr>
    </w:p>
    <w:p>
      <w:pPr>
        <w:pStyle w:val="ListParagraph"/>
        <w:numPr>
          <w:ilvl w:val="0"/>
          <w:numId w:val="1"/>
        </w:numPr>
        <w:spacing w:after="60" w:before="40"/>
      </w:pPr>
      <w:r>
        <w:rPr>
          <w:color w:val="1C1C1C"/>
          <w:sz w:val="22"/>
          <w:szCs w:val="22"/>
        </w:rPr>
        <w:t xml:space="preserve">CAPEX per hub: ~$120,000–$180,000 USD</w:t>
      </w:r>
    </w:p>
    <w:p>
      <w:pPr>
        <w:pStyle w:val="ListParagraph"/>
        <w:numPr>
          <w:ilvl w:val="0"/>
          <w:numId w:val="1"/>
        </w:numPr>
        <w:spacing w:after="60" w:before="40"/>
      </w:pPr>
      <w:r>
        <w:rPr>
          <w:color w:val="1C1C1C"/>
          <w:sz w:val="22"/>
          <w:szCs w:val="22"/>
        </w:rPr>
        <w:t xml:space="preserve">Estimated payback period: 18–30 months</w:t>
      </w:r>
    </w:p>
    <w:p>
      <w:pPr>
        <w:pStyle w:val="ListParagraph"/>
        <w:numPr>
          <w:ilvl w:val="0"/>
          <w:numId w:val="1"/>
        </w:numPr>
        <w:spacing w:after="60" w:before="40"/>
      </w:pPr>
      <w:r>
        <w:rPr>
          <w:color w:val="1C1C1C"/>
          <w:sz w:val="22"/>
          <w:szCs w:val="22"/>
        </w:rPr>
        <w:t xml:space="preserve">Year 5 Target: Network of 15 hubs across Taiwan; processing 10,000 tonnes of organic waste annually</w:t>
      </w:r>
    </w:p>
    <w:p>
      <w:pPr>
        <w:pBdr>
          <w:bottom w:val="single" w:color="00A86B" w:sz="6"/>
        </w:pBdr>
        <w:spacing w:after="160" w:before="320"/>
      </w:pPr>
      <w:r>
        <w:rPr>
          <w:b/>
          <w:bCs/>
          <w:color w:val="1A3C5E"/>
          <w:sz w:val="28"/>
          <w:szCs w:val="28"/>
        </w:rPr>
        <w:t xml:space="preserve">2.6  Social Impact &amp; Yunus Alignment</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00A86B" w:val="solid"/>
            <w:tcMar>
              <w:top w:type="dxa" w:w="80"/>
              <w:left w:type="dxa" w:w="100"/>
              <w:bottom w:type="dxa" w:w="80"/>
              <w:right w:type="dxa" w:w="100"/>
            </w:tcMar>
          </w:tcPr>
          <w:p>
            <w:pPr>
              <w:jc w:val="center"/>
            </w:pPr>
            <w:r>
              <w:rPr>
                <w:b/>
                <w:bCs/>
                <w:color w:val="FFFFFF"/>
                <w:sz w:val="20"/>
                <w:szCs w:val="20"/>
              </w:rPr>
              <w:t xml:space="preserve">SDG</w:t>
            </w:r>
          </w:p>
        </w:tc>
        <w:tc>
          <w:tcPr>
            <w:shd w:color="00A86B" w:val="solid"/>
            <w:tcMar>
              <w:top w:type="dxa" w:w="80"/>
              <w:left w:type="dxa" w:w="100"/>
              <w:bottom w:type="dxa" w:w="80"/>
              <w:right w:type="dxa" w:w="100"/>
            </w:tcMar>
          </w:tcPr>
          <w:p>
            <w:pPr>
              <w:jc w:val="center"/>
            </w:pPr>
            <w:r>
              <w:rPr>
                <w:b/>
                <w:bCs/>
                <w:color w:val="FFFFFF"/>
                <w:sz w:val="20"/>
                <w:szCs w:val="20"/>
              </w:rPr>
              <w:t xml:space="preserve">Goal</w:t>
            </w:r>
          </w:p>
        </w:tc>
        <w:tc>
          <w:tcPr>
            <w:shd w:color="00A86B" w:val="solid"/>
            <w:tcMar>
              <w:top w:type="dxa" w:w="80"/>
              <w:left w:type="dxa" w:w="100"/>
              <w:bottom w:type="dxa" w:w="80"/>
              <w:right w:type="dxa" w:w="100"/>
            </w:tcMar>
          </w:tcPr>
          <w:p>
            <w:pPr>
              <w:jc w:val="center"/>
            </w:pPr>
            <w:r>
              <w:rPr>
                <w:b/>
                <w:bCs/>
                <w:color w:val="FFFFFF"/>
                <w:sz w:val="20"/>
                <w:szCs w:val="20"/>
              </w:rPr>
              <w:t xml:space="preserve">Implementation</w:t>
            </w:r>
          </w:p>
        </w:tc>
      </w:tr>
      <w:tr>
        <w:tc>
          <w:tcPr>
            <w:shd w:color="F7FBFA" w:val="solid"/>
            <w:tcMar>
              <w:top w:type="dxa" w:w="60"/>
              <w:left w:type="dxa" w:w="100"/>
              <w:bottom w:type="dxa" w:w="60"/>
              <w:right w:type="dxa" w:w="100"/>
            </w:tcMar>
          </w:tcPr>
          <w:p>
            <w:r>
              <w:rPr>
                <w:color w:val="1C1C1C"/>
                <w:sz w:val="20"/>
                <w:szCs w:val="20"/>
              </w:rPr>
              <w:t xml:space="preserve">SDG 2</w:t>
            </w:r>
          </w:p>
        </w:tc>
        <w:tc>
          <w:tcPr>
            <w:shd w:color="F7FBFA" w:val="solid"/>
            <w:tcMar>
              <w:top w:type="dxa" w:w="60"/>
              <w:left w:type="dxa" w:w="100"/>
              <w:bottom w:type="dxa" w:w="60"/>
              <w:right w:type="dxa" w:w="100"/>
            </w:tcMar>
          </w:tcPr>
          <w:p>
            <w:r>
              <w:rPr>
                <w:color w:val="1C1C1C"/>
                <w:sz w:val="20"/>
                <w:szCs w:val="20"/>
              </w:rPr>
              <w:t xml:space="preserve">Zero Hunger</w:t>
            </w:r>
          </w:p>
        </w:tc>
        <w:tc>
          <w:tcPr>
            <w:shd w:color="F7FBFA" w:val="solid"/>
            <w:tcMar>
              <w:top w:type="dxa" w:w="60"/>
              <w:left w:type="dxa" w:w="100"/>
              <w:bottom w:type="dxa" w:w="60"/>
              <w:right w:type="dxa" w:w="100"/>
            </w:tcMar>
          </w:tcPr>
          <w:p>
            <w:r>
              <w:rPr>
                <w:color w:val="1C1C1C"/>
                <w:sz w:val="20"/>
                <w:szCs w:val="20"/>
              </w:rPr>
              <w:t xml:space="preserve">Building domestic protein independence for Taiwan's aquaculture sector</w:t>
            </w:r>
          </w:p>
        </w:tc>
      </w:tr>
      <w:tr>
        <w:tc>
          <w:tcPr>
            <w:shd w:color="FFFFFF" w:val="solid"/>
            <w:tcMar>
              <w:top w:type="dxa" w:w="60"/>
              <w:left w:type="dxa" w:w="100"/>
              <w:bottom w:type="dxa" w:w="60"/>
              <w:right w:type="dxa" w:w="100"/>
            </w:tcMar>
          </w:tcPr>
          <w:p>
            <w:r>
              <w:rPr>
                <w:color w:val="1C1C1C"/>
                <w:sz w:val="20"/>
                <w:szCs w:val="20"/>
              </w:rPr>
              <w:t xml:space="preserve">SDG 12</w:t>
            </w:r>
          </w:p>
        </w:tc>
        <w:tc>
          <w:tcPr>
            <w:shd w:color="FFFFFF" w:val="solid"/>
            <w:tcMar>
              <w:top w:type="dxa" w:w="60"/>
              <w:left w:type="dxa" w:w="100"/>
              <w:bottom w:type="dxa" w:w="60"/>
              <w:right w:type="dxa" w:w="100"/>
            </w:tcMar>
          </w:tcPr>
          <w:p>
            <w:r>
              <w:rPr>
                <w:color w:val="1C1C1C"/>
                <w:sz w:val="20"/>
                <w:szCs w:val="20"/>
              </w:rPr>
              <w:t xml:space="preserve">Responsible Consumption</w:t>
            </w:r>
          </w:p>
        </w:tc>
        <w:tc>
          <w:tcPr>
            <w:shd w:color="FFFFFF" w:val="solid"/>
            <w:tcMar>
              <w:top w:type="dxa" w:w="60"/>
              <w:left w:type="dxa" w:w="100"/>
              <w:bottom w:type="dxa" w:w="60"/>
              <w:right w:type="dxa" w:w="100"/>
            </w:tcMar>
          </w:tcPr>
          <w:p>
            <w:r>
              <w:rPr>
                <w:color w:val="1C1C1C"/>
                <w:sz w:val="20"/>
                <w:szCs w:val="20"/>
              </w:rPr>
              <w:t xml:space="preserve">Eliminating commercial food waste at the source within 24 hours</w:t>
            </w:r>
          </w:p>
        </w:tc>
      </w:tr>
      <w:tr>
        <w:tc>
          <w:tcPr>
            <w:shd w:color="F7FBFA" w:val="solid"/>
            <w:tcMar>
              <w:top w:type="dxa" w:w="60"/>
              <w:left w:type="dxa" w:w="100"/>
              <w:bottom w:type="dxa" w:w="60"/>
              <w:right w:type="dxa" w:w="100"/>
            </w:tcMar>
          </w:tcPr>
          <w:p>
            <w:r>
              <w:rPr>
                <w:color w:val="1C1C1C"/>
                <w:sz w:val="20"/>
                <w:szCs w:val="20"/>
              </w:rPr>
              <w:t xml:space="preserve">SDG 15</w:t>
            </w:r>
          </w:p>
        </w:tc>
        <w:tc>
          <w:tcPr>
            <w:shd w:color="F7FBFA" w:val="solid"/>
            <w:tcMar>
              <w:top w:type="dxa" w:w="60"/>
              <w:left w:type="dxa" w:w="100"/>
              <w:bottom w:type="dxa" w:w="60"/>
              <w:right w:type="dxa" w:w="100"/>
            </w:tcMar>
          </w:tcPr>
          <w:p>
            <w:r>
              <w:rPr>
                <w:color w:val="1C1C1C"/>
                <w:sz w:val="20"/>
                <w:szCs w:val="20"/>
              </w:rPr>
              <w:t xml:space="preserve">Life on Land</w:t>
            </w:r>
          </w:p>
        </w:tc>
        <w:tc>
          <w:tcPr>
            <w:shd w:color="F7FBFA" w:val="solid"/>
            <w:tcMar>
              <w:top w:type="dxa" w:w="60"/>
              <w:left w:type="dxa" w:w="100"/>
              <w:bottom w:type="dxa" w:w="60"/>
              <w:right w:type="dxa" w:w="100"/>
            </w:tcMar>
          </w:tcPr>
          <w:p>
            <w:r>
              <w:rPr>
                <w:color w:val="1C1C1C"/>
                <w:sz w:val="20"/>
                <w:szCs w:val="20"/>
              </w:rPr>
              <w:t xml:space="preserve">Reducing synthetic fertilizer dependence via BSF frass fertilizer</w:t>
            </w:r>
          </w:p>
        </w:tc>
      </w:tr>
    </w:tbl>
    <w:p>
      <w:pPr>
        <w:spacing w:before="120"/>
      </w:pPr>
    </w:p>
    <w:p>
      <w:pPr>
        <w:spacing w:after="120" w:before="240"/>
      </w:pPr>
      <w:r>
        <w:rPr>
          <w:b/>
          <w:bCs/>
          <w:color w:val="00A86B"/>
          <w:sz w:val="24"/>
          <w:szCs w:val="24"/>
        </w:rPr>
        <w:t xml:space="preserve">Yunus '3-Zero' Alignment</w:t>
      </w:r>
    </w:p>
    <w:p>
      <w:pPr>
        <w:pStyle w:val="ListParagraph"/>
        <w:numPr>
          <w:ilvl w:val="0"/>
          <w:numId w:val="1"/>
        </w:numPr>
        <w:spacing w:after="60" w:before="40"/>
      </w:pPr>
      <w:r>
        <w:rPr>
          <w:color w:val="1C1C1C"/>
          <w:sz w:val="22"/>
          <w:szCs w:val="22"/>
        </w:rPr>
        <w:t xml:space="preserve">Zero Net Carbon: BSF processing eliminates wet food waste incineration (high GHG), replacing fossil-derived fishmeal. LCA studies confirm BSF outperforms landfilling and incineration (MDPI, 2025).</w:t>
      </w:r>
    </w:p>
    <w:p>
      <w:pPr>
        <w:pStyle w:val="ListParagraph"/>
        <w:numPr>
          <w:ilvl w:val="0"/>
          <w:numId w:val="1"/>
        </w:numPr>
        <w:spacing w:after="60" w:before="40"/>
      </w:pPr>
      <w:r>
        <w:rPr>
          <w:color w:val="1C1C1C"/>
          <w:sz w:val="22"/>
          <w:szCs w:val="22"/>
        </w:rPr>
        <w:t xml:space="preserve">Zero Poverty: Night market associations gain sustainable waste revenue stream; small-scale urban farmers access affordable organic fertilizer, lowering their production costs.</w:t>
      </w:r>
    </w:p>
    <w:p>
      <w:pPr>
        <w:pStyle w:val="ListParagraph"/>
        <w:numPr>
          <w:ilvl w:val="0"/>
          <w:numId w:val="1"/>
        </w:numPr>
        <w:spacing w:after="60" w:before="40"/>
      </w:pPr>
      <w:r>
        <w:rPr>
          <w:color w:val="1C1C1C"/>
          <w:sz w:val="22"/>
          <w:szCs w:val="22"/>
        </w:rPr>
        <w:t xml:space="preserve">Zero Unemployment: Creates local Bio-Hub Technician roles; supply chain jobs in protein drying, frass packaging, and delivery logistics.</w:t>
      </w:r>
    </w:p>
    <w:p>
      <w:r>
        <w:br w:type="page"/>
      </w:r>
    </w:p>
    <w:p>
      <w:pPr>
        <w:pStyle w:val="Heading1"/>
        <w:spacing w:after="200" w:before="400"/>
        <w:rPr>
          <w:b/>
          <w:bCs/>
          <w:color w:val="1A3C5E"/>
        </w:rPr>
      </w:pPr>
      <w:r>
        <w:t xml:space="preserve">PART III — Integrated System: The Circular Synergy</w:t>
      </w:r>
    </w:p>
    <w:p>
      <w:pPr>
        <w:spacing w:after="100" w:before="80"/>
      </w:pPr>
      <w:r>
        <w:rPr>
          <w:color w:val="1C1C1C"/>
          <w:sz w:val="22"/>
          <w:szCs w:val="22"/>
        </w:rPr>
        <w:t xml:space="preserve">The true power of this proposal lies in the complementarity between Projects 03 and 04. They are not two separate social businesses—they are an integrated urban circular metabolism system.</w:t>
      </w:r>
    </w:p>
    <w:p>
      <w:pPr>
        <w:spacing w:after="120" w:before="240"/>
      </w:pPr>
      <w:r>
        <w:rPr>
          <w:b/>
          <w:bCs/>
          <w:color w:val="00A86B"/>
          <w:sz w:val="24"/>
          <w:szCs w:val="24"/>
        </w:rPr>
        <w:t xml:space="preserve">Systems Integration</w:t>
      </w:r>
    </w:p>
    <w:p>
      <w:pPr>
        <w:spacing w:after="100" w:before="80"/>
      </w:pPr>
      <w:r>
        <w:rPr>
          <w:color w:val="1C1C1C"/>
          <w:sz w:val="22"/>
          <w:szCs w:val="22"/>
        </w:rPr>
        <w:t xml:space="preserve">How the two projects work together:</w:t>
      </w:r>
    </w:p>
    <w:p>
      <w:pPr>
        <w:pStyle w:val="ListParagraph"/>
        <w:numPr>
          <w:ilvl w:val="0"/>
          <w:numId w:val="1"/>
        </w:numPr>
        <w:spacing w:after="60" w:before="40"/>
      </w:pPr>
      <w:r>
        <w:rPr>
          <w:color w:val="1C1C1C"/>
          <w:sz w:val="22"/>
          <w:szCs w:val="22"/>
        </w:rPr>
        <w:t xml:space="preserve">The Trash Scanner's sorting matrix includes Category 12 (Food Waste/Compost), which creates a pre-sorted, clean organic stream directly usable as BSF feedstock.</w:t>
      </w:r>
    </w:p>
    <w:p>
      <w:pPr>
        <w:pStyle w:val="ListParagraph"/>
        <w:numPr>
          <w:ilvl w:val="0"/>
          <w:numId w:val="1"/>
        </w:numPr>
        <w:spacing w:after="60" w:before="40"/>
      </w:pPr>
      <w:r>
        <w:rPr>
          <w:color w:val="1C1C1C"/>
          <w:sz w:val="22"/>
          <w:szCs w:val="22"/>
        </w:rPr>
        <w:t xml:space="preserve">BSF frass is sold to urban agriculture customers who also use data from the Trash Scanner's Data-as-a-Service (DaaS) platform to report their sustainability KPIs.</w:t>
      </w:r>
    </w:p>
    <w:p>
      <w:pPr>
        <w:pStyle w:val="ListParagraph"/>
        <w:numPr>
          <w:ilvl w:val="0"/>
          <w:numId w:val="1"/>
        </w:numPr>
        <w:spacing w:after="60" w:before="40"/>
      </w:pPr>
      <w:r>
        <w:rPr>
          <w:color w:val="1C1C1C"/>
          <w:sz w:val="22"/>
          <w:szCs w:val="22"/>
        </w:rPr>
        <w:t xml:space="preserve">Together, they provide a comprehensive circular economy social business addressing all three 'zeros' simultaneously—the hallmark of a Yunus-grade proposal.</w:t>
      </w:r>
    </w:p>
    <w:p>
      <w:pPr>
        <w:spacing w:before="100"/>
      </w:pP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Dimension</w:t>
            </w:r>
          </w:p>
        </w:tc>
        <w:tc>
          <w:tcPr>
            <w:shd w:color="1A3C5E" w:val="solid"/>
            <w:tcMar>
              <w:top w:type="dxa" w:w="80"/>
              <w:left w:type="dxa" w:w="100"/>
              <w:bottom w:type="dxa" w:w="80"/>
              <w:right w:type="dxa" w:w="100"/>
            </w:tcMar>
          </w:tcPr>
          <w:p>
            <w:pPr>
              <w:jc w:val="center"/>
            </w:pPr>
            <w:r>
              <w:rPr>
                <w:b/>
                <w:bCs/>
                <w:color w:val="FFFFFF"/>
                <w:sz w:val="20"/>
                <w:szCs w:val="20"/>
              </w:rPr>
              <w:t xml:space="preserve">Project 03: Trash Scanner</w:t>
            </w:r>
          </w:p>
        </w:tc>
        <w:tc>
          <w:tcPr>
            <w:shd w:color="1A3C5E" w:val="solid"/>
            <w:tcMar>
              <w:top w:type="dxa" w:w="80"/>
              <w:left w:type="dxa" w:w="100"/>
              <w:bottom w:type="dxa" w:w="80"/>
              <w:right w:type="dxa" w:w="100"/>
            </w:tcMar>
          </w:tcPr>
          <w:p>
            <w:pPr>
              <w:jc w:val="center"/>
            </w:pPr>
            <w:r>
              <w:rPr>
                <w:b/>
                <w:bCs/>
                <w:color w:val="FFFFFF"/>
                <w:sz w:val="20"/>
                <w:szCs w:val="20"/>
              </w:rPr>
              <w:t xml:space="preserve">Project 04: BSF Bio-Loop</w:t>
            </w:r>
          </w:p>
        </w:tc>
        <w:tc>
          <w:tcPr>
            <w:shd w:color="1A3C5E" w:val="solid"/>
            <w:tcMar>
              <w:top w:type="dxa" w:w="80"/>
              <w:left w:type="dxa" w:w="100"/>
              <w:bottom w:type="dxa" w:w="80"/>
              <w:right w:type="dxa" w:w="100"/>
            </w:tcMar>
          </w:tcPr>
          <w:p>
            <w:pPr>
              <w:jc w:val="center"/>
            </w:pPr>
            <w:r>
              <w:rPr>
                <w:b/>
                <w:bCs/>
                <w:color w:val="FFFFFF"/>
                <w:sz w:val="20"/>
                <w:szCs w:val="20"/>
              </w:rPr>
              <w:t xml:space="preserve">Combined Impact</w:t>
            </w:r>
          </w:p>
        </w:tc>
      </w:tr>
      <w:tr>
        <w:tc>
          <w:tcPr>
            <w:shd w:color="F7FBFA" w:val="solid"/>
            <w:tcMar>
              <w:top w:type="dxa" w:w="60"/>
              <w:left w:type="dxa" w:w="100"/>
              <w:bottom w:type="dxa" w:w="60"/>
              <w:right w:type="dxa" w:w="100"/>
            </w:tcMar>
          </w:tcPr>
          <w:p>
            <w:r>
              <w:rPr>
                <w:color w:val="1C1C1C"/>
                <w:sz w:val="20"/>
                <w:szCs w:val="20"/>
              </w:rPr>
              <w:t xml:space="preserve">Problem solved</w:t>
            </w:r>
          </w:p>
        </w:tc>
        <w:tc>
          <w:tcPr>
            <w:shd w:color="F7FBFA" w:val="solid"/>
            <w:tcMar>
              <w:top w:type="dxa" w:w="60"/>
              <w:left w:type="dxa" w:w="100"/>
              <w:bottom w:type="dxa" w:w="60"/>
              <w:right w:type="dxa" w:w="100"/>
            </w:tcMar>
          </w:tcPr>
          <w:p>
            <w:r>
              <w:rPr>
                <w:color w:val="1C1C1C"/>
                <w:sz w:val="20"/>
                <w:szCs w:val="20"/>
              </w:rPr>
              <w:t xml:space="preserve">Recycling purity / contamination</w:t>
            </w:r>
          </w:p>
        </w:tc>
        <w:tc>
          <w:tcPr>
            <w:shd w:color="F7FBFA" w:val="solid"/>
            <w:tcMar>
              <w:top w:type="dxa" w:w="60"/>
              <w:left w:type="dxa" w:w="100"/>
              <w:bottom w:type="dxa" w:w="60"/>
              <w:right w:type="dxa" w:w="100"/>
            </w:tcMar>
          </w:tcPr>
          <w:p>
            <w:r>
              <w:rPr>
                <w:color w:val="1C1C1C"/>
                <w:sz w:val="20"/>
                <w:szCs w:val="20"/>
              </w:rPr>
              <w:t xml:space="preserve">Organic waste &amp; protein imports</w:t>
            </w:r>
          </w:p>
        </w:tc>
        <w:tc>
          <w:tcPr>
            <w:shd w:color="F7FBFA" w:val="solid"/>
            <w:tcMar>
              <w:top w:type="dxa" w:w="60"/>
              <w:left w:type="dxa" w:w="100"/>
              <w:bottom w:type="dxa" w:w="60"/>
              <w:right w:type="dxa" w:w="100"/>
            </w:tcMar>
          </w:tcPr>
          <w:p>
            <w:r>
              <w:rPr>
                <w:color w:val="1C1C1C"/>
                <w:sz w:val="20"/>
                <w:szCs w:val="20"/>
              </w:rPr>
              <w:t xml:space="preserve">Full urban waste stream covered</w:t>
            </w:r>
          </w:p>
        </w:tc>
      </w:tr>
      <w:tr>
        <w:tc>
          <w:tcPr>
            <w:shd w:color="FFFFFF" w:val="solid"/>
            <w:tcMar>
              <w:top w:type="dxa" w:w="60"/>
              <w:left w:type="dxa" w:w="100"/>
              <w:bottom w:type="dxa" w:w="60"/>
              <w:right w:type="dxa" w:w="100"/>
            </w:tcMar>
          </w:tcPr>
          <w:p>
            <w:r>
              <w:rPr>
                <w:color w:val="1C1C1C"/>
                <w:sz w:val="20"/>
                <w:szCs w:val="20"/>
              </w:rPr>
              <w:t xml:space="preserve">Technology</w:t>
            </w:r>
          </w:p>
        </w:tc>
        <w:tc>
          <w:tcPr>
            <w:shd w:color="FFFFFF" w:val="solid"/>
            <w:tcMar>
              <w:top w:type="dxa" w:w="60"/>
              <w:left w:type="dxa" w:w="100"/>
              <w:bottom w:type="dxa" w:w="60"/>
              <w:right w:type="dxa" w:w="100"/>
            </w:tcMar>
          </w:tcPr>
          <w:p>
            <w:r>
              <w:rPr>
                <w:color w:val="1C1C1C"/>
                <w:sz w:val="20"/>
                <w:szCs w:val="20"/>
              </w:rPr>
              <w:t xml:space="preserve">NIR + AI Vision + Robotics</w:t>
            </w:r>
          </w:p>
        </w:tc>
        <w:tc>
          <w:tcPr>
            <w:shd w:color="FFFFFF" w:val="solid"/>
            <w:tcMar>
              <w:top w:type="dxa" w:w="60"/>
              <w:left w:type="dxa" w:w="100"/>
              <w:bottom w:type="dxa" w:w="60"/>
              <w:right w:type="dxa" w:w="100"/>
            </w:tcMar>
          </w:tcPr>
          <w:p>
            <w:r>
              <w:rPr>
                <w:color w:val="1C1C1C"/>
                <w:sz w:val="20"/>
                <w:szCs w:val="20"/>
              </w:rPr>
              <w:t xml:space="preserve">Insect bioconversion + IoT</w:t>
            </w:r>
          </w:p>
        </w:tc>
        <w:tc>
          <w:tcPr>
            <w:shd w:color="FFFFFF" w:val="solid"/>
            <w:tcMar>
              <w:top w:type="dxa" w:w="60"/>
              <w:left w:type="dxa" w:w="100"/>
              <w:bottom w:type="dxa" w:w="60"/>
              <w:right w:type="dxa" w:w="100"/>
            </w:tcMar>
          </w:tcPr>
          <w:p>
            <w:r>
              <w:rPr>
                <w:color w:val="1C1C1C"/>
                <w:sz w:val="20"/>
                <w:szCs w:val="20"/>
              </w:rPr>
              <w:t xml:space="preserve">AI + Bio-tech convergence</w:t>
            </w:r>
          </w:p>
        </w:tc>
      </w:tr>
      <w:tr>
        <w:tc>
          <w:tcPr>
            <w:shd w:color="F7FBFA" w:val="solid"/>
            <w:tcMar>
              <w:top w:type="dxa" w:w="60"/>
              <w:left w:type="dxa" w:w="100"/>
              <w:bottom w:type="dxa" w:w="60"/>
              <w:right w:type="dxa" w:w="100"/>
            </w:tcMar>
          </w:tcPr>
          <w:p>
            <w:r>
              <w:rPr>
                <w:color w:val="1C1C1C"/>
                <w:sz w:val="20"/>
                <w:szCs w:val="20"/>
              </w:rPr>
              <w:t xml:space="preserve">Revenue model</w:t>
            </w:r>
          </w:p>
        </w:tc>
        <w:tc>
          <w:tcPr>
            <w:shd w:color="F7FBFA" w:val="solid"/>
            <w:tcMar>
              <w:top w:type="dxa" w:w="60"/>
              <w:left w:type="dxa" w:w="100"/>
              <w:bottom w:type="dxa" w:w="60"/>
              <w:right w:type="dxa" w:w="100"/>
            </w:tcMar>
          </w:tcPr>
          <w:p>
            <w:r>
              <w:rPr>
                <w:color w:val="1C1C1C"/>
                <w:sz w:val="20"/>
                <w:szCs w:val="20"/>
              </w:rPr>
              <w:t xml:space="preserve">B2B, B2G, SaaS</w:t>
            </w:r>
          </w:p>
        </w:tc>
        <w:tc>
          <w:tcPr>
            <w:shd w:color="F7FBFA" w:val="solid"/>
            <w:tcMar>
              <w:top w:type="dxa" w:w="60"/>
              <w:left w:type="dxa" w:w="100"/>
              <w:bottom w:type="dxa" w:w="60"/>
              <w:right w:type="dxa" w:w="100"/>
            </w:tcMar>
          </w:tcPr>
          <w:p>
            <w:r>
              <w:rPr>
                <w:color w:val="1C1C1C"/>
                <w:sz w:val="20"/>
                <w:szCs w:val="20"/>
              </w:rPr>
              <w:t xml:space="preserve">Protein + Fertilizer + Tipping Fee</w:t>
            </w:r>
          </w:p>
        </w:tc>
        <w:tc>
          <w:tcPr>
            <w:shd w:color="F7FBFA" w:val="solid"/>
            <w:tcMar>
              <w:top w:type="dxa" w:w="60"/>
              <w:left w:type="dxa" w:w="100"/>
              <w:bottom w:type="dxa" w:w="60"/>
              <w:right w:type="dxa" w:w="100"/>
            </w:tcMar>
          </w:tcPr>
          <w:p>
            <w:r>
              <w:rPr>
                <w:color w:val="1C1C1C"/>
                <w:sz w:val="20"/>
                <w:szCs w:val="20"/>
              </w:rPr>
              <w:t xml:space="preserve">Diversified, resilient income</w:t>
            </w:r>
          </w:p>
        </w:tc>
      </w:tr>
      <w:tr>
        <w:tc>
          <w:tcPr>
            <w:shd w:color="FFFFFF" w:val="solid"/>
            <w:tcMar>
              <w:top w:type="dxa" w:w="60"/>
              <w:left w:type="dxa" w:w="100"/>
              <w:bottom w:type="dxa" w:w="60"/>
              <w:right w:type="dxa" w:w="100"/>
            </w:tcMar>
          </w:tcPr>
          <w:p>
            <w:r>
              <w:rPr>
                <w:color w:val="1C1C1C"/>
                <w:sz w:val="20"/>
                <w:szCs w:val="20"/>
              </w:rPr>
              <w:t xml:space="preserve">SDGs covered</w:t>
            </w:r>
          </w:p>
        </w:tc>
        <w:tc>
          <w:tcPr>
            <w:shd w:color="FFFFFF" w:val="solid"/>
            <w:tcMar>
              <w:top w:type="dxa" w:w="60"/>
              <w:left w:type="dxa" w:w="100"/>
              <w:bottom w:type="dxa" w:w="60"/>
              <w:right w:type="dxa" w:w="100"/>
            </w:tcMar>
          </w:tcPr>
          <w:p>
            <w:r>
              <w:rPr>
                <w:color w:val="1C1C1C"/>
                <w:sz w:val="20"/>
                <w:szCs w:val="20"/>
              </w:rPr>
              <w:t xml:space="preserve">9, 12, 14</w:t>
            </w:r>
          </w:p>
        </w:tc>
        <w:tc>
          <w:tcPr>
            <w:shd w:color="FFFFFF" w:val="solid"/>
            <w:tcMar>
              <w:top w:type="dxa" w:w="60"/>
              <w:left w:type="dxa" w:w="100"/>
              <w:bottom w:type="dxa" w:w="60"/>
              <w:right w:type="dxa" w:w="100"/>
            </w:tcMar>
          </w:tcPr>
          <w:p>
            <w:r>
              <w:rPr>
                <w:color w:val="1C1C1C"/>
                <w:sz w:val="20"/>
                <w:szCs w:val="20"/>
              </w:rPr>
              <w:t xml:space="preserve">2, 12, 15</w:t>
            </w:r>
          </w:p>
        </w:tc>
        <w:tc>
          <w:tcPr>
            <w:shd w:color="FFFFFF" w:val="solid"/>
            <w:tcMar>
              <w:top w:type="dxa" w:w="60"/>
              <w:left w:type="dxa" w:w="100"/>
              <w:bottom w:type="dxa" w:w="60"/>
              <w:right w:type="dxa" w:w="100"/>
            </w:tcMar>
          </w:tcPr>
          <w:p>
            <w:r>
              <w:rPr>
                <w:color w:val="1C1C1C"/>
                <w:sz w:val="20"/>
                <w:szCs w:val="20"/>
              </w:rPr>
              <w:t xml:space="preserve">SDG 2, 9, 12, 14, 15</w:t>
            </w:r>
          </w:p>
        </w:tc>
      </w:tr>
      <w:tr>
        <w:tc>
          <w:tcPr>
            <w:shd w:color="F7FBFA" w:val="solid"/>
            <w:tcMar>
              <w:top w:type="dxa" w:w="60"/>
              <w:left w:type="dxa" w:w="100"/>
              <w:bottom w:type="dxa" w:w="60"/>
              <w:right w:type="dxa" w:w="100"/>
            </w:tcMar>
          </w:tcPr>
          <w:p>
            <w:r>
              <w:rPr>
                <w:color w:val="1C1C1C"/>
                <w:sz w:val="20"/>
                <w:szCs w:val="20"/>
              </w:rPr>
              <w:t xml:space="preserve">Yunus zeroes</w:t>
            </w:r>
          </w:p>
        </w:tc>
        <w:tc>
          <w:tcPr>
            <w:shd w:color="F7FBFA" w:val="solid"/>
            <w:tcMar>
              <w:top w:type="dxa" w:w="60"/>
              <w:left w:type="dxa" w:w="100"/>
              <w:bottom w:type="dxa" w:w="60"/>
              <w:right w:type="dxa" w:w="100"/>
            </w:tcMar>
          </w:tcPr>
          <w:p>
            <w:r>
              <w:rPr>
                <w:color w:val="1C1C1C"/>
                <w:sz w:val="20"/>
                <w:szCs w:val="20"/>
              </w:rPr>
              <w:t xml:space="preserve">Zero Carbon, Zero Unemployment</w:t>
            </w:r>
          </w:p>
        </w:tc>
        <w:tc>
          <w:tcPr>
            <w:shd w:color="F7FBFA" w:val="solid"/>
            <w:tcMar>
              <w:top w:type="dxa" w:w="60"/>
              <w:left w:type="dxa" w:w="100"/>
              <w:bottom w:type="dxa" w:w="60"/>
              <w:right w:type="dxa" w:w="100"/>
            </w:tcMar>
          </w:tcPr>
          <w:p>
            <w:r>
              <w:rPr>
                <w:color w:val="1C1C1C"/>
                <w:sz w:val="20"/>
                <w:szCs w:val="20"/>
              </w:rPr>
              <w:t xml:space="preserve">All three zeroes</w:t>
            </w:r>
          </w:p>
        </w:tc>
        <w:tc>
          <w:tcPr>
            <w:shd w:color="F7FBFA" w:val="solid"/>
            <w:tcMar>
              <w:top w:type="dxa" w:w="60"/>
              <w:left w:type="dxa" w:w="100"/>
              <w:bottom w:type="dxa" w:w="60"/>
              <w:right w:type="dxa" w:w="100"/>
            </w:tcMar>
          </w:tcPr>
          <w:p>
            <w:r>
              <w:rPr>
                <w:color w:val="1C1C1C"/>
                <w:sz w:val="20"/>
                <w:szCs w:val="20"/>
              </w:rPr>
              <w:t xml:space="preserve">Complete '3-Zero' system</w:t>
            </w:r>
          </w:p>
        </w:tc>
      </w:tr>
    </w:tbl>
    <w:p>
      <w:r>
        <w:br w:type="page"/>
      </w:r>
    </w:p>
    <w:p>
      <w:pPr>
        <w:pStyle w:val="Heading1"/>
        <w:spacing w:after="200" w:before="400"/>
        <w:rPr>
          <w:b/>
          <w:bCs/>
          <w:color w:val="1A3C5E"/>
        </w:rPr>
      </w:pPr>
      <w:r>
        <w:t xml:space="preserve">PART IV — Yunus Competition Strategic Positioning</w:t>
      </w:r>
    </w:p>
    <w:p>
      <w:pPr>
        <w:pBdr>
          <w:bottom w:val="single" w:color="00A86B" w:sz="6"/>
        </w:pBdr>
        <w:spacing w:after="160" w:before="320"/>
      </w:pPr>
      <w:r>
        <w:rPr>
          <w:b/>
          <w:bCs/>
          <w:color w:val="1A3C5E"/>
          <w:sz w:val="28"/>
          <w:szCs w:val="28"/>
        </w:rPr>
        <w:t xml:space="preserve">4.1  Evaluation Criteria Alignment</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Criterion</w:t>
            </w:r>
          </w:p>
        </w:tc>
        <w:tc>
          <w:tcPr>
            <w:shd w:color="1A3C5E" w:val="solid"/>
            <w:tcMar>
              <w:top w:type="dxa" w:w="80"/>
              <w:left w:type="dxa" w:w="100"/>
              <w:bottom w:type="dxa" w:w="80"/>
              <w:right w:type="dxa" w:w="100"/>
            </w:tcMar>
          </w:tcPr>
          <w:p>
            <w:pPr>
              <w:jc w:val="center"/>
            </w:pPr>
            <w:r>
              <w:rPr>
                <w:b/>
                <w:bCs/>
                <w:color w:val="FFFFFF"/>
                <w:sz w:val="20"/>
                <w:szCs w:val="20"/>
              </w:rPr>
              <w:t xml:space="preserve">Our Strength</w:t>
            </w:r>
          </w:p>
        </w:tc>
        <w:tc>
          <w:tcPr>
            <w:shd w:color="1A3C5E" w:val="solid"/>
            <w:tcMar>
              <w:top w:type="dxa" w:w="80"/>
              <w:left w:type="dxa" w:w="100"/>
              <w:bottom w:type="dxa" w:w="80"/>
              <w:right w:type="dxa" w:w="100"/>
            </w:tcMar>
          </w:tcPr>
          <w:p>
            <w:pPr>
              <w:jc w:val="center"/>
            </w:pPr>
            <w:r>
              <w:rPr>
                <w:b/>
                <w:bCs/>
                <w:color w:val="FFFFFF"/>
                <w:sz w:val="20"/>
                <w:szCs w:val="20"/>
              </w:rPr>
              <w:t xml:space="preserve">Evidence</w:t>
            </w:r>
          </w:p>
        </w:tc>
      </w:tr>
      <w:tr>
        <w:tc>
          <w:tcPr>
            <w:shd w:color="F7FBFA" w:val="solid"/>
            <w:tcMar>
              <w:top w:type="dxa" w:w="60"/>
              <w:left w:type="dxa" w:w="100"/>
              <w:bottom w:type="dxa" w:w="60"/>
              <w:right w:type="dxa" w:w="100"/>
            </w:tcMar>
          </w:tcPr>
          <w:p>
            <w:r>
              <w:rPr>
                <w:color w:val="1C1C1C"/>
                <w:sz w:val="20"/>
                <w:szCs w:val="20"/>
              </w:rPr>
              <w:t xml:space="preserve">7 Principles of Social Business</w:t>
            </w:r>
          </w:p>
        </w:tc>
        <w:tc>
          <w:tcPr>
            <w:shd w:color="F7FBFA" w:val="solid"/>
            <w:tcMar>
              <w:top w:type="dxa" w:w="60"/>
              <w:left w:type="dxa" w:w="100"/>
              <w:bottom w:type="dxa" w:w="60"/>
              <w:right w:type="dxa" w:w="100"/>
            </w:tcMar>
          </w:tcPr>
          <w:p>
            <w:r>
              <w:rPr>
                <w:color w:val="1C1C1C"/>
                <w:sz w:val="20"/>
                <w:szCs w:val="20"/>
              </w:rPr>
              <w:t xml:space="preserve">Zero-profit-extraction model; surplus reinvested into hub expansion</w:t>
            </w:r>
          </w:p>
        </w:tc>
        <w:tc>
          <w:tcPr>
            <w:shd w:color="F7FBFA" w:val="solid"/>
            <w:tcMar>
              <w:top w:type="dxa" w:w="60"/>
              <w:left w:type="dxa" w:w="100"/>
              <w:bottom w:type="dxa" w:w="60"/>
              <w:right w:type="dxa" w:w="100"/>
            </w:tcMar>
          </w:tcPr>
          <w:p>
            <w:r>
              <w:rPr>
                <w:color w:val="1C1C1C"/>
                <w:sz w:val="20"/>
                <w:szCs w:val="20"/>
              </w:rPr>
              <w:t xml:space="preserve">Business model design section</w:t>
            </w:r>
          </w:p>
        </w:tc>
      </w:tr>
      <w:tr>
        <w:tc>
          <w:tcPr>
            <w:shd w:color="FFFFFF" w:val="solid"/>
            <w:tcMar>
              <w:top w:type="dxa" w:w="60"/>
              <w:left w:type="dxa" w:w="100"/>
              <w:bottom w:type="dxa" w:w="60"/>
              <w:right w:type="dxa" w:w="100"/>
            </w:tcMar>
          </w:tcPr>
          <w:p>
            <w:r>
              <w:rPr>
                <w:color w:val="1C1C1C"/>
                <w:sz w:val="20"/>
                <w:szCs w:val="20"/>
              </w:rPr>
              <w:t xml:space="preserve">Business Model Clarity</w:t>
            </w:r>
          </w:p>
        </w:tc>
        <w:tc>
          <w:tcPr>
            <w:shd w:color="FFFFFF" w:val="solid"/>
            <w:tcMar>
              <w:top w:type="dxa" w:w="60"/>
              <w:left w:type="dxa" w:w="100"/>
              <w:bottom w:type="dxa" w:w="60"/>
              <w:right w:type="dxa" w:w="100"/>
            </w:tcMar>
          </w:tcPr>
          <w:p>
            <w:r>
              <w:rPr>
                <w:color w:val="1C1C1C"/>
                <w:sz w:val="20"/>
                <w:szCs w:val="20"/>
              </w:rPr>
              <w:t xml:space="preserve">Dual revenue streams per project; clear unit economics table</w:t>
            </w:r>
          </w:p>
        </w:tc>
        <w:tc>
          <w:tcPr>
            <w:shd w:color="FFFFFF" w:val="solid"/>
            <w:tcMar>
              <w:top w:type="dxa" w:w="60"/>
              <w:left w:type="dxa" w:w="100"/>
              <w:bottom w:type="dxa" w:w="60"/>
              <w:right w:type="dxa" w:w="100"/>
            </w:tcMar>
          </w:tcPr>
          <w:p>
            <w:r>
              <w:rPr>
                <w:color w:val="1C1C1C"/>
                <w:sz w:val="20"/>
                <w:szCs w:val="20"/>
              </w:rPr>
              <w:t xml:space="preserve">Financial projections in each proposal</w:t>
            </w:r>
          </w:p>
        </w:tc>
      </w:tr>
      <w:tr>
        <w:tc>
          <w:tcPr>
            <w:shd w:color="F7FBFA" w:val="solid"/>
            <w:tcMar>
              <w:top w:type="dxa" w:w="60"/>
              <w:left w:type="dxa" w:w="100"/>
              <w:bottom w:type="dxa" w:w="60"/>
              <w:right w:type="dxa" w:w="100"/>
            </w:tcMar>
          </w:tcPr>
          <w:p>
            <w:r>
              <w:rPr>
                <w:color w:val="1C1C1C"/>
                <w:sz w:val="20"/>
                <w:szCs w:val="20"/>
              </w:rPr>
              <w:t xml:space="preserve">Social Impact &amp; KPIs</w:t>
            </w:r>
          </w:p>
        </w:tc>
        <w:tc>
          <w:tcPr>
            <w:shd w:color="F7FBFA" w:val="solid"/>
            <w:tcMar>
              <w:top w:type="dxa" w:w="60"/>
              <w:left w:type="dxa" w:w="100"/>
              <w:bottom w:type="dxa" w:w="60"/>
              <w:right w:type="dxa" w:w="100"/>
            </w:tcMar>
          </w:tcPr>
          <w:p>
            <w:r>
              <w:rPr>
                <w:color w:val="1C1C1C"/>
                <w:sz w:val="20"/>
                <w:szCs w:val="20"/>
              </w:rPr>
              <w:t xml:space="preserve">Quantified targets: tonnes diverted, protein produced, jobs created</w:t>
            </w:r>
          </w:p>
        </w:tc>
        <w:tc>
          <w:tcPr>
            <w:shd w:color="F7FBFA" w:val="solid"/>
            <w:tcMar>
              <w:top w:type="dxa" w:w="60"/>
              <w:left w:type="dxa" w:w="100"/>
              <w:bottom w:type="dxa" w:w="60"/>
              <w:right w:type="dxa" w:w="100"/>
            </w:tcMar>
          </w:tcPr>
          <w:p>
            <w:r>
              <w:rPr>
                <w:color w:val="1C1C1C"/>
                <w:sz w:val="20"/>
                <w:szCs w:val="20"/>
              </w:rPr>
              <w:t xml:space="preserve">LCA data + market research citations</w:t>
            </w:r>
          </w:p>
        </w:tc>
      </w:tr>
      <w:tr>
        <w:tc>
          <w:tcPr>
            <w:shd w:color="FFFFFF" w:val="solid"/>
            <w:tcMar>
              <w:top w:type="dxa" w:w="60"/>
              <w:left w:type="dxa" w:w="100"/>
              <w:bottom w:type="dxa" w:w="60"/>
              <w:right w:type="dxa" w:w="100"/>
            </w:tcMar>
          </w:tcPr>
          <w:p>
            <w:r>
              <w:rPr>
                <w:color w:val="1C1C1C"/>
                <w:sz w:val="20"/>
                <w:szCs w:val="20"/>
              </w:rPr>
              <w:t xml:space="preserve">Financial Sustainability</w:t>
            </w:r>
          </w:p>
        </w:tc>
        <w:tc>
          <w:tcPr>
            <w:shd w:color="FFFFFF" w:val="solid"/>
            <w:tcMar>
              <w:top w:type="dxa" w:w="60"/>
              <w:left w:type="dxa" w:w="100"/>
              <w:bottom w:type="dxa" w:w="60"/>
              <w:right w:type="dxa" w:w="100"/>
            </w:tcMar>
          </w:tcPr>
          <w:p>
            <w:r>
              <w:rPr>
                <w:color w:val="1C1C1C"/>
                <w:sz w:val="20"/>
                <w:szCs w:val="20"/>
              </w:rPr>
              <w:t xml:space="preserve">18–36 month payback; recurring SaaS/tipping fee revenue</w:t>
            </w:r>
          </w:p>
        </w:tc>
        <w:tc>
          <w:tcPr>
            <w:shd w:color="FFFFFF" w:val="solid"/>
            <w:tcMar>
              <w:top w:type="dxa" w:w="60"/>
              <w:left w:type="dxa" w:w="100"/>
              <w:bottom w:type="dxa" w:w="60"/>
              <w:right w:type="dxa" w:w="100"/>
            </w:tcMar>
          </w:tcPr>
          <w:p>
            <w:r>
              <w:rPr>
                <w:color w:val="1C1C1C"/>
                <w:sz w:val="20"/>
                <w:szCs w:val="20"/>
              </w:rPr>
              <w:t xml:space="preserve">Revenue model tables in this document</w:t>
            </w:r>
          </w:p>
        </w:tc>
      </w:tr>
      <w:tr>
        <w:tc>
          <w:tcPr>
            <w:shd w:color="F7FBFA" w:val="solid"/>
            <w:tcMar>
              <w:top w:type="dxa" w:w="60"/>
              <w:left w:type="dxa" w:w="100"/>
              <w:bottom w:type="dxa" w:w="60"/>
              <w:right w:type="dxa" w:w="100"/>
            </w:tcMar>
          </w:tcPr>
          <w:p>
            <w:r>
              <w:rPr>
                <w:color w:val="1C1C1C"/>
                <w:sz w:val="20"/>
                <w:szCs w:val="20"/>
              </w:rPr>
              <w:t xml:space="preserve">SDG Alignment</w:t>
            </w:r>
          </w:p>
        </w:tc>
        <w:tc>
          <w:tcPr>
            <w:shd w:color="F7FBFA" w:val="solid"/>
            <w:tcMar>
              <w:top w:type="dxa" w:w="60"/>
              <w:left w:type="dxa" w:w="100"/>
              <w:bottom w:type="dxa" w:w="60"/>
              <w:right w:type="dxa" w:w="100"/>
            </w:tcMar>
          </w:tcPr>
          <w:p>
            <w:r>
              <w:rPr>
                <w:color w:val="1C1C1C"/>
                <w:sz w:val="20"/>
                <w:szCs w:val="20"/>
              </w:rPr>
              <w:t xml:space="preserve">Projects 03+04 cover SDGs 2, 9, 12, 14, 15</w:t>
            </w:r>
          </w:p>
        </w:tc>
        <w:tc>
          <w:tcPr>
            <w:shd w:color="F7FBFA" w:val="solid"/>
            <w:tcMar>
              <w:top w:type="dxa" w:w="60"/>
              <w:left w:type="dxa" w:w="100"/>
              <w:bottom w:type="dxa" w:w="60"/>
              <w:right w:type="dxa" w:w="100"/>
            </w:tcMar>
          </w:tcPr>
          <w:p>
            <w:r>
              <w:rPr>
                <w:color w:val="1C1C1C"/>
                <w:sz w:val="20"/>
                <w:szCs w:val="20"/>
              </w:rPr>
              <w:t xml:space="preserve">SDG mapping in each section</w:t>
            </w:r>
          </w:p>
        </w:tc>
      </w:tr>
    </w:tbl>
    <w:p>
      <w:pPr>
        <w:spacing w:before="200"/>
      </w:pPr>
    </w:p>
    <w:p>
      <w:pPr>
        <w:pBdr>
          <w:bottom w:val="single" w:color="00A86B" w:sz="6"/>
        </w:pBdr>
        <w:spacing w:after="160" w:before="320"/>
      </w:pPr>
      <w:r>
        <w:rPr>
          <w:b/>
          <w:bCs/>
          <w:color w:val="1A3C5E"/>
          <w:sz w:val="28"/>
          <w:szCs w:val="28"/>
        </w:rPr>
        <w:t xml:space="preserve">4.2  Compelling Competition Narratives</w:t>
      </w:r>
    </w:p>
    <w:p>
      <w:pPr>
        <w:spacing w:after="120" w:before="240"/>
      </w:pPr>
      <w:r>
        <w:rPr>
          <w:b/>
          <w:bCs/>
          <w:color w:val="00A86B"/>
          <w:sz w:val="24"/>
          <w:szCs w:val="24"/>
        </w:rPr>
        <w:t xml:space="preserve">For Project 03 — Trash Scanner</w:t>
      </w:r>
    </w:p>
    <w:p>
      <w:pPr>
        <w:pBdr>
          <w:left w:val="thick" w:color="00A86B" w:sz="12"/>
        </w:pBdr>
        <w:shd w:color="F0F7F4" w:val="solid"/>
        <w:spacing w:after="120" w:before="120"/>
        <w:ind w:left="576"/>
      </w:pPr>
      <w:r>
        <w:rPr>
          <w:i/>
          <w:iCs/>
          <w:color w:val="1A3C5E"/>
          <w:sz w:val="22"/>
          <w:szCs w:val="22"/>
        </w:rPr>
        <w:t xml:space="preserve">"Taiwan recycles 60% of its waste—but 'recycles' much of it straight to the incinerator because of invisible molecular contamination. Our system is Taiwan's missing molecular layer: seeing what the human eye cannot, and turning every waste stream into a pure value stream."</w:t>
      </w:r>
    </w:p>
    <w:p>
      <w:pPr>
        <w:spacing w:after="120" w:before="240"/>
      </w:pPr>
      <w:r>
        <w:rPr>
          <w:b/>
          <w:bCs/>
          <w:color w:val="00A86B"/>
          <w:sz w:val="24"/>
          <w:szCs w:val="24"/>
        </w:rPr>
        <w:t xml:space="preserve">For Project 04 — BSF Bio-Loop</w:t>
      </w:r>
    </w:p>
    <w:p>
      <w:pPr>
        <w:pBdr>
          <w:left w:val="thick" w:color="00A86B" w:sz="12"/>
        </w:pBdr>
        <w:shd w:color="F0F7F4" w:val="solid"/>
        <w:spacing w:after="120" w:before="120"/>
        <w:ind w:left="576"/>
      </w:pPr>
      <w:r>
        <w:rPr>
          <w:i/>
          <w:iCs/>
          <w:color w:val="1A3C5E"/>
          <w:sz w:val="22"/>
          <w:szCs w:val="22"/>
        </w:rPr>
        <w:t xml:space="preserve">"Every night at Shilin Night Market, 10 tonnes of food disappears into garbage trucks, bound for incineration. Within 12 days, that same waste could be reborn as protein pellets feeding the fish on your breakfast table. This is not waste management—this is biological alchemy."</w:t>
      </w:r>
    </w:p>
    <w:p>
      <w:pPr>
        <w:pBdr>
          <w:bottom w:val="single" w:color="00A86B" w:sz="6"/>
        </w:pBdr>
        <w:spacing w:after="160" w:before="320"/>
      </w:pPr>
      <w:r>
        <w:rPr>
          <w:b/>
          <w:bCs/>
          <w:color w:val="1A3C5E"/>
          <w:sz w:val="28"/>
          <w:szCs w:val="28"/>
        </w:rPr>
        <w:t xml:space="preserve">4.3  Key Academic Keywords for Presentations</w:t>
      </w:r>
    </w:p>
    <w:p>
      <w:pPr>
        <w:pStyle w:val="ListParagraph"/>
        <w:numPr>
          <w:ilvl w:val="0"/>
          <w:numId w:val="1"/>
        </w:numPr>
        <w:spacing w:after="60" w:before="40"/>
      </w:pPr>
      <w:r>
        <w:rPr>
          <w:color w:val="1C1C1C"/>
          <w:sz w:val="22"/>
          <w:szCs w:val="22"/>
        </w:rPr>
        <w:t xml:space="preserve">'Molecular Purity' (分子純度): Positions trash scanner beyond simple recycling</w:t>
      </w:r>
    </w:p>
    <w:p>
      <w:pPr>
        <w:pStyle w:val="ListParagraph"/>
        <w:numPr>
          <w:ilvl w:val="0"/>
          <w:numId w:val="1"/>
        </w:numPr>
        <w:spacing w:after="60" w:before="40"/>
      </w:pPr>
      <w:r>
        <w:rPr>
          <w:color w:val="1C1C1C"/>
          <w:sz w:val="22"/>
          <w:szCs w:val="22"/>
        </w:rPr>
        <w:t xml:space="preserve">'Circular Bioeconomy': Links BSF to global sustainability frameworks</w:t>
      </w:r>
    </w:p>
    <w:p>
      <w:pPr>
        <w:pStyle w:val="ListParagraph"/>
        <w:numPr>
          <w:ilvl w:val="0"/>
          <w:numId w:val="1"/>
        </w:numPr>
        <w:spacing w:after="60" w:before="40"/>
      </w:pPr>
      <w:r>
        <w:rPr>
          <w:color w:val="1C1C1C"/>
          <w:sz w:val="22"/>
          <w:szCs w:val="22"/>
        </w:rPr>
        <w:t xml:space="preserve">'Sensor Fusion': Technical credibility for sorting AI</w:t>
      </w:r>
    </w:p>
    <w:p>
      <w:pPr>
        <w:pStyle w:val="ListParagraph"/>
        <w:numPr>
          <w:ilvl w:val="0"/>
          <w:numId w:val="1"/>
        </w:numPr>
        <w:spacing w:after="60" w:before="40"/>
      </w:pPr>
      <w:r>
        <w:rPr>
          <w:color w:val="1C1C1C"/>
          <w:sz w:val="22"/>
          <w:szCs w:val="22"/>
        </w:rPr>
        <w:t xml:space="preserve">'Life Cycle Assessment (LCA)': Validates BSF's environmental superiority vs. incineration</w:t>
      </w:r>
    </w:p>
    <w:p>
      <w:pPr>
        <w:pStyle w:val="ListParagraph"/>
        <w:numPr>
          <w:ilvl w:val="0"/>
          <w:numId w:val="1"/>
        </w:numPr>
        <w:spacing w:after="60" w:before="40"/>
      </w:pPr>
      <w:r>
        <w:rPr>
          <w:color w:val="1C1C1C"/>
          <w:sz w:val="22"/>
          <w:szCs w:val="22"/>
        </w:rPr>
        <w:t xml:space="preserve">'Extended Producer Responsibility (EPR)': Policy alignment for Trash Scanner's B2G model</w:t>
      </w:r>
    </w:p>
    <w:p>
      <w:pPr>
        <w:pStyle w:val="ListParagraph"/>
        <w:numPr>
          <w:ilvl w:val="0"/>
          <w:numId w:val="1"/>
        </w:numPr>
        <w:spacing w:after="60" w:before="40"/>
      </w:pPr>
      <w:r>
        <w:rPr>
          <w:color w:val="1C1C1C"/>
          <w:sz w:val="22"/>
          <w:szCs w:val="22"/>
        </w:rPr>
        <w:t xml:space="preserve">'Decentralized Bioconversion': Differentiates BSF from centralized, high-transport-cost composting</w:t>
      </w:r>
    </w:p>
    <w:p>
      <w:pPr>
        <w:pStyle w:val="ListParagraph"/>
        <w:numPr>
          <w:ilvl w:val="0"/>
          <w:numId w:val="1"/>
        </w:numPr>
        <w:spacing w:after="60" w:before="40"/>
      </w:pPr>
      <w:r>
        <w:rPr>
          <w:color w:val="1C1C1C"/>
          <w:sz w:val="22"/>
          <w:szCs w:val="22"/>
        </w:rPr>
        <w:t xml:space="preserve">'Federated Learning': Differentiates AI adaptability for new composite packaging materials</w:t>
      </w:r>
    </w:p>
    <w:p>
      <w:r>
        <w:br w:type="page"/>
      </w:r>
    </w:p>
    <w:p>
      <w:pPr>
        <w:pStyle w:val="Heading1"/>
        <w:spacing w:after="200" w:before="400"/>
        <w:rPr>
          <w:b/>
          <w:bCs/>
          <w:color w:val="1A3C5E"/>
        </w:rPr>
      </w:pPr>
      <w:r>
        <w:t xml:space="preserve">PART V — Research Citations &amp; References</w:t>
      </w:r>
    </w:p>
    <w:p>
      <w:pPr>
        <w:spacing w:after="100" w:before="80"/>
      </w:pPr>
      <w:r>
        <w:rPr>
          <w:color w:val="1C1C1C"/>
          <w:sz w:val="22"/>
          <w:szCs w:val="22"/>
        </w:rPr>
        <w:t xml:space="preserve">All sources verified and cross-referenced as of April 2026.</w:t>
      </w:r>
    </w:p>
    <w:p>
      <w:pPr>
        <w:pStyle w:val="ListParagraph"/>
        <w:numPr>
          <w:ilvl w:val="0"/>
          <w:numId w:val="1"/>
        </w:numPr>
        <w:spacing w:after="60" w:before="40"/>
      </w:pPr>
      <w:r>
        <w:rPr>
          <w:color w:val="1C1C1C"/>
          <w:sz w:val="22"/>
          <w:szCs w:val="22"/>
        </w:rPr>
        <w:t xml:space="preserve">Taiwan Ministry of Environment (MoEnv) — 2024 Waste Management Annual Statistics. moenv.gov.tw</w:t>
      </w:r>
    </w:p>
    <w:p>
      <w:pPr>
        <w:pStyle w:val="ListParagraph"/>
        <w:numPr>
          <w:ilvl w:val="0"/>
          <w:numId w:val="1"/>
        </w:numPr>
        <w:spacing w:after="60" w:before="40"/>
      </w:pPr>
      <w:r>
        <w:rPr>
          <w:color w:val="1C1C1C"/>
          <w:sz w:val="22"/>
          <w:szCs w:val="22"/>
        </w:rPr>
        <w:t xml:space="preserve">Holland Circular Hotspot — Taiwan Circular Economy Report, 2024. hollandcircularhotspot.nl</w:t>
      </w:r>
    </w:p>
    <w:p>
      <w:pPr>
        <w:pStyle w:val="ListParagraph"/>
        <w:numPr>
          <w:ilvl w:val="0"/>
          <w:numId w:val="1"/>
        </w:numPr>
        <w:spacing w:after="60" w:before="40"/>
      </w:pPr>
      <w:r>
        <w:rPr>
          <w:color w:val="1C1C1C"/>
          <w:sz w:val="22"/>
          <w:szCs w:val="22"/>
        </w:rPr>
        <w:t xml:space="preserve">Environmental Management Administration Taiwan (EMA) — Incineration Plant Status 2024. ema.gov.tw</w:t>
      </w:r>
    </w:p>
    <w:p>
      <w:pPr>
        <w:pStyle w:val="ListParagraph"/>
        <w:numPr>
          <w:ilvl w:val="0"/>
          <w:numId w:val="1"/>
        </w:numPr>
        <w:spacing w:after="60" w:before="40"/>
      </w:pPr>
      <w:r>
        <w:rPr>
          <w:color w:val="1C1C1C"/>
          <w:sz w:val="22"/>
          <w:szCs w:val="22"/>
        </w:rPr>
        <w:t xml:space="preserve">IRO Journals — 'AI-Powered Waste Sorting in Taiwan MRFs: YOLOv8 Implementation Study,' 2024.</w:t>
      </w:r>
    </w:p>
    <w:p>
      <w:pPr>
        <w:pStyle w:val="ListParagraph"/>
        <w:numPr>
          <w:ilvl w:val="0"/>
          <w:numId w:val="1"/>
        </w:numPr>
        <w:spacing w:after="60" w:before="40"/>
      </w:pPr>
      <w:r>
        <w:rPr>
          <w:color w:val="1C1C1C"/>
          <w:sz w:val="22"/>
          <w:szCs w:val="22"/>
        </w:rPr>
        <w:t xml:space="preserve">Island Scholar — 'NIR Spectroscopy for Plastic Sorting: Limitations and ML Advances,' 2024.</w:t>
      </w:r>
    </w:p>
    <w:p>
      <w:pPr>
        <w:pStyle w:val="ListParagraph"/>
        <w:numPr>
          <w:ilvl w:val="0"/>
          <w:numId w:val="1"/>
        </w:numPr>
        <w:spacing w:after="60" w:before="40"/>
      </w:pPr>
      <w:r>
        <w:rPr>
          <w:color w:val="1C1C1C"/>
          <w:sz w:val="22"/>
          <w:szCs w:val="22"/>
        </w:rPr>
        <w:t xml:space="preserve">MDPI Sustainability — 'Life Cycle Assessment of Black Soldier Fly Bioconversion Systems,' 2025.</w:t>
      </w:r>
    </w:p>
    <w:p>
      <w:pPr>
        <w:pStyle w:val="ListParagraph"/>
        <w:numPr>
          <w:ilvl w:val="0"/>
          <w:numId w:val="1"/>
        </w:numPr>
        <w:spacing w:after="60" w:before="40"/>
      </w:pPr>
      <w:r>
        <w:rPr>
          <w:color w:val="1C1C1C"/>
          <w:sz w:val="22"/>
          <w:szCs w:val="22"/>
        </w:rPr>
        <w:t xml:space="preserve">Texas A&amp;M University — BSF Larvae Nutritional Composition Database, 2024.</w:t>
      </w:r>
    </w:p>
    <w:p>
      <w:pPr>
        <w:pStyle w:val="ListParagraph"/>
        <w:numPr>
          <w:ilvl w:val="0"/>
          <w:numId w:val="1"/>
        </w:numPr>
        <w:spacing w:after="60" w:before="40"/>
      </w:pPr>
      <w:r>
        <w:rPr>
          <w:color w:val="1C1C1C"/>
          <w:sz w:val="22"/>
          <w:szCs w:val="22"/>
        </w:rPr>
        <w:t xml:space="preserve">PeerJ Journals — 'Advanced Waste Bioconversion Using Hermetia illucens,' 2024.</w:t>
      </w:r>
    </w:p>
    <w:p>
      <w:pPr>
        <w:pStyle w:val="ListParagraph"/>
        <w:numPr>
          <w:ilvl w:val="0"/>
          <w:numId w:val="1"/>
        </w:numPr>
        <w:spacing w:after="60" w:before="40"/>
      </w:pPr>
      <w:r>
        <w:rPr>
          <w:color w:val="1C1C1C"/>
          <w:sz w:val="22"/>
          <w:szCs w:val="22"/>
        </w:rPr>
        <w:t xml:space="preserve">ACS Publications — 'Pathogen Reduction by BSF Larvae in Organic Waste,' 2026.</w:t>
      </w:r>
    </w:p>
    <w:p>
      <w:pPr>
        <w:pStyle w:val="ListParagraph"/>
        <w:numPr>
          <w:ilvl w:val="0"/>
          <w:numId w:val="1"/>
        </w:numPr>
        <w:spacing w:after="60" w:before="40"/>
      </w:pPr>
      <w:r>
        <w:rPr>
          <w:color w:val="1C1C1C"/>
          <w:sz w:val="22"/>
          <w:szCs w:val="22"/>
        </w:rPr>
        <w:t xml:space="preserve">OCAC Gov.tw (Taiwan Overseas Affairs) — 'BSF as Fishmeal Alternative in Aquaculture,' 2024.</w:t>
      </w:r>
    </w:p>
    <w:p>
      <w:pPr>
        <w:pStyle w:val="ListParagraph"/>
        <w:numPr>
          <w:ilvl w:val="0"/>
          <w:numId w:val="1"/>
        </w:numPr>
        <w:spacing w:after="60" w:before="40"/>
      </w:pPr>
      <w:r>
        <w:rPr>
          <w:color w:val="1C1C1C"/>
          <w:sz w:val="22"/>
          <w:szCs w:val="22"/>
        </w:rPr>
        <w:t xml:space="preserve">Circular Taiwan Foundation — Monster Biotechnology Case Study. circular-taiwan.org</w:t>
      </w:r>
    </w:p>
    <w:p>
      <w:pPr>
        <w:pStyle w:val="ListParagraph"/>
        <w:numPr>
          <w:ilvl w:val="0"/>
          <w:numId w:val="1"/>
        </w:numPr>
        <w:spacing w:after="60" w:before="40"/>
      </w:pPr>
      <w:r>
        <w:rPr>
          <w:color w:val="1C1C1C"/>
          <w:sz w:val="22"/>
          <w:szCs w:val="22"/>
        </w:rPr>
        <w:t xml:space="preserve">Circle Economy — Stonbo Creative Case Study, 2024. circle-economy.com</w:t>
      </w:r>
    </w:p>
    <w:p>
      <w:pPr>
        <w:pStyle w:val="ListParagraph"/>
        <w:numPr>
          <w:ilvl w:val="0"/>
          <w:numId w:val="1"/>
        </w:numPr>
        <w:spacing w:after="60" w:before="40"/>
      </w:pPr>
      <w:r>
        <w:rPr>
          <w:color w:val="1C1C1C"/>
          <w:sz w:val="22"/>
          <w:szCs w:val="22"/>
        </w:rPr>
        <w:t xml:space="preserve">The Business Research Company — BSF Market Forecast 2025–2030.</w:t>
      </w:r>
    </w:p>
    <w:p>
      <w:pPr>
        <w:pStyle w:val="ListParagraph"/>
        <w:numPr>
          <w:ilvl w:val="0"/>
          <w:numId w:val="1"/>
        </w:numPr>
        <w:spacing w:after="60" w:before="40"/>
      </w:pPr>
      <w:r>
        <w:rPr>
          <w:color w:val="1C1C1C"/>
          <w:sz w:val="22"/>
          <w:szCs w:val="22"/>
        </w:rPr>
        <w:t xml:space="preserve">Mordor Intelligence — Insect Protein Market Report: Asia-Pacific Focus, 2025.</w:t>
      </w:r>
    </w:p>
    <w:p>
      <w:pPr>
        <w:pStyle w:val="ListParagraph"/>
        <w:numPr>
          <w:ilvl w:val="0"/>
          <w:numId w:val="1"/>
        </w:numPr>
        <w:spacing w:after="60" w:before="40"/>
      </w:pPr>
      <w:r>
        <w:rPr>
          <w:color w:val="1C1C1C"/>
          <w:sz w:val="22"/>
          <w:szCs w:val="22"/>
        </w:rPr>
        <w:t xml:space="preserve">Market.us — Black Soldier Fly Larvae Market: Global Analysis 2025–2034.</w:t>
      </w:r>
    </w:p>
    <w:p>
      <w:pPr>
        <w:pStyle w:val="ListParagraph"/>
        <w:numPr>
          <w:ilvl w:val="0"/>
          <w:numId w:val="1"/>
        </w:numPr>
        <w:spacing w:after="60" w:before="40"/>
      </w:pPr>
      <w:r>
        <w:rPr>
          <w:color w:val="1C1C1C"/>
          <w:sz w:val="22"/>
          <w:szCs w:val="22"/>
        </w:rPr>
        <w:t xml:space="preserve">Technavio — Insect Protein Market CAGR Analysis 2025–2030.</w:t>
      </w:r>
    </w:p>
    <w:p>
      <w:pPr>
        <w:pStyle w:val="ListParagraph"/>
        <w:numPr>
          <w:ilvl w:val="0"/>
          <w:numId w:val="1"/>
        </w:numPr>
        <w:spacing w:after="60" w:before="40"/>
      </w:pPr>
      <w:r>
        <w:rPr>
          <w:color w:val="1C1C1C"/>
          <w:sz w:val="22"/>
          <w:szCs w:val="22"/>
        </w:rPr>
        <w:t xml:space="preserve">Eco-Business.com — Taiwan EPR and Circular Economy Policy Shifts, 2024.</w:t>
      </w:r>
    </w:p>
    <w:p>
      <w:pPr>
        <w:pStyle w:val="ListParagraph"/>
        <w:numPr>
          <w:ilvl w:val="0"/>
          <w:numId w:val="1"/>
        </w:numPr>
        <w:spacing w:after="60" w:before="40"/>
      </w:pPr>
      <w:r>
        <w:rPr>
          <w:color w:val="1C1C1C"/>
          <w:sz w:val="22"/>
          <w:szCs w:val="22"/>
        </w:rPr>
        <w:t xml:space="preserve">Foundation for Yunus Social Business Taiwan (yunustw.org) — Competition Guidelines, 2026.</w:t>
      </w:r>
    </w:p>
    <w:p>
      <w:pPr>
        <w:pStyle w:val="ListParagraph"/>
        <w:numPr>
          <w:ilvl w:val="0"/>
          <w:numId w:val="1"/>
        </w:numPr>
        <w:spacing w:after="60" w:before="40"/>
      </w:pPr>
      <w:r>
        <w:rPr>
          <w:color w:val="1C1C1C"/>
          <w:sz w:val="22"/>
          <w:szCs w:val="22"/>
        </w:rPr>
        <w:t xml:space="preserve">innors-tw.com — BSF Regulatory Landscape in Taiwan, 2024.</w:t>
      </w:r>
    </w:p>
    <w:p>
      <w:pPr>
        <w:pStyle w:val="ListParagraph"/>
        <w:numPr>
          <w:ilvl w:val="0"/>
          <w:numId w:val="1"/>
        </w:numPr>
        <w:spacing w:after="60" w:before="40"/>
      </w:pPr>
      <w:r>
        <w:rPr>
          <w:color w:val="1C1C1C"/>
          <w:sz w:val="22"/>
          <w:szCs w:val="22"/>
        </w:rPr>
        <w:t xml:space="preserve">BetaBugs.uk — BSFL Nutritional Data and Circular Economy Applications, 2024.</w:t>
      </w:r>
    </w:p>
    <w:p>
      <w:pPr>
        <w:pStyle w:val="ListParagraph"/>
        <w:numPr>
          <w:ilvl w:val="0"/>
          <w:numId w:val="1"/>
        </w:numPr>
        <w:spacing w:after="60" w:before="40"/>
      </w:pPr>
      <w:r>
        <w:rPr>
          <w:color w:val="1C1C1C"/>
          <w:sz w:val="22"/>
          <w:szCs w:val="22"/>
        </w:rPr>
        <w:t xml:space="preserve">FreezeM.com — BSF Production Innovation and Billet Storage Technology, 2024.</w:t>
      </w:r>
    </w:p>
    <w:p>
      <w:pPr>
        <w:pStyle w:val="ListParagraph"/>
        <w:numPr>
          <w:ilvl w:val="0"/>
          <w:numId w:val="1"/>
        </w:numPr>
        <w:spacing w:after="60" w:before="40"/>
      </w:pPr>
      <w:r>
        <w:rPr>
          <w:color w:val="1C1C1C"/>
          <w:sz w:val="22"/>
          <w:szCs w:val="22"/>
        </w:rPr>
        <w:t xml:space="preserve">Taipei Times — Taiwan Waste and Recycling Industry Articles (multiple), 2024.</w:t>
      </w:r>
    </w:p>
    <w:p>
      <w:pPr>
        <w:spacing w:before="200"/>
      </w:pPr>
    </w:p>
    <w:p>
      <w:pPr>
        <w:pBdr>
          <w:bottom w:val="single" w:color="00A86B" w:sz="4"/>
        </w:pBdr>
        <w:spacing w:after="200" w:before="200"/>
      </w:pPr>
    </w:p>
    <w:p>
      <w:pPr>
        <w:spacing w:before="200"/>
        <w:jc w:val="center"/>
      </w:pPr>
      <w:r>
        <w:rPr>
          <w:i/>
          <w:iCs/>
          <w:color w:val="6B7280"/>
          <w:sz w:val="18"/>
          <w:szCs w:val="18"/>
        </w:rPr>
        <w:t xml:space="preserve">© 2026 Steven Tanardi — Yunus Vision Team. All Rights Reserved.</w:t>
      </w:r>
    </w:p>
    <w:p>
      <w:pPr>
        <w:jc w:val="center"/>
      </w:pPr>
      <w:r>
        <w:rPr>
          <w:i/>
          <w:iCs/>
          <w:color w:val="6B7280"/>
          <w:sz w:val="18"/>
          <w:szCs w:val="18"/>
        </w:rPr>
        <w:t xml:space="preserve">This document is prepared solely for submission to the 6th Taiwan Yunus Social Business Innovation Award.</w:t>
      </w:r>
    </w:p>
    <w:sectPr>
      <w:headerReference w:type="default" r:id="rId7"/>
      <w:footerReference w:type="default" r:id="rId8"/>
      <w:pgSz w:w="11906" w:h="16838" w:orient="portrait"/>
      <w:pgMar w:top="1727"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A86B" w:sz="4"/>
      </w:pBdr>
      <w:jc w:val="center"/>
    </w:pPr>
    <w:r>
      <w:rPr>
        <w:color w:val="6B7280"/>
        <w:sz w:val="18"/>
        <w:szCs w:val="18"/>
      </w:rPr>
      <w:t xml:space="preserve">© 2026 Steven Tanardi — Yunus Vision Team | Confidential Submission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A86B" w:sz="4"/>
      </w:pBdr>
    </w:pPr>
    <w:r>
      <w:rPr>
        <w:i/>
        <w:iCs/>
        <w:color w:val="6B7280"/>
        <w:sz w:val="18"/>
        <w:szCs w:val="18"/>
      </w:rPr>
      <w:t xml:space="preserve">6th Taiwan Yunus Social Business Innovation Award — Deep Research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C1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Calibri" w:cs="Calibri" w:eastAsia="Calibri" w:hAnsi="Calibri"/>
      <w:b/>
      <w:bCs/>
      <w:color w:val="1A3C5E"/>
      <w:sz w:val="36"/>
      <w:szCs w:val="36"/>
    </w:rPr>
  </w:style>
  <w:style w:type="paragraph" w:styleId="Heading2">
    <w:name w:val="Heading 2"/>
    <w:basedOn w:val="Normal"/>
    <w:next w:val="Normal"/>
    <w:qFormat/>
    <w:pPr>
      <w:spacing w:after="160" w:before="300"/>
    </w:pPr>
    <w:rPr>
      <w:rFonts w:ascii="Calibri" w:cs="Calibri" w:eastAsia="Calibri" w:hAnsi="Calibri"/>
      <w:b/>
      <w:bCs/>
      <w:color w:val="1A3C5E"/>
      <w:sz w:val="28"/>
      <w:szCs w:val="28"/>
    </w:rPr>
  </w:style>
  <w:style w:type="paragraph" w:styleId="Heading3">
    <w:name w:val="Heading 3"/>
    <w:basedOn w:val="Normal"/>
    <w:next w:val="Normal"/>
    <w:qFormat/>
    <w:pPr>
      <w:spacing w:after="120" w:before="240"/>
    </w:pPr>
    <w:rPr>
      <w:rFonts w:ascii="Calibri" w:cs="Calibri" w:eastAsia="Calibri" w:hAnsi="Calibri"/>
      <w:b/>
      <w:bCs/>
      <w:color w:val="00A86B"/>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 Research Summary - Yunus Social Business Innovation Award</dc:title>
  <dc:creator>Steven Tanardi</dc:creator>
  <dc:description>Comprehensive research on AI Trash Scanner and BSF Composting</dc:description>
  <cp:lastModifiedBy>Un-named</cp:lastModifiedBy>
  <cp:revision>1</cp:revision>
  <dcterms:created xsi:type="dcterms:W3CDTF">2026-04-08T04:40:12.864Z</dcterms:created>
  <dcterms:modified xsi:type="dcterms:W3CDTF">2026-04-08T04:40:12.865Z</dcterms:modified>
</cp:coreProperties>
</file>

<file path=docProps/custom.xml><?xml version="1.0" encoding="utf-8"?>
<Properties xmlns="http://schemas.openxmlformats.org/officeDocument/2006/custom-properties" xmlns:vt="http://schemas.openxmlformats.org/officeDocument/2006/docPropsVTypes"/>
</file>