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000"/>
        <w:jc w:val="center"/>
      </w:pPr>
      <w:r>
        <w:rPr>
          <w:rFonts w:ascii="Calibri" w:cs="Calibri" w:eastAsia="Calibri" w:hAnsi="Calibri"/>
          <w:b/>
          <w:bCs/>
          <w:sz w:val="48"/>
          <w:szCs w:val="48"/>
        </w:rPr>
        <w:t xml:space="preserve">6th Taiwan Yunus Innovation Award</w:t>
      </w:r>
    </w:p>
    <w:p>
      <w:pPr>
        <w:spacing w:after="1000"/>
        <w:jc w:val="center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Draf Proposal Resmi — Sistem ReLoop</w:t>
      </w:r>
    </w:p>
    <w:p>
      <w:pPr>
        <w:spacing w:after="80" w:before="80" w:line="360"/>
        <w:jc w:val="center"/>
      </w:pPr>
      <w:r>
        <w:rPr>
          <w:rFonts w:ascii="Calibri" w:cs="Calibri" w:eastAsia="Calibri" w:hAnsi="Calibri"/>
          <w:sz w:val="24"/>
          <w:szCs w:val="24"/>
        </w:rPr>
        <w:t xml:space="preserve">Nama Tim: [Isi nama tim]</w:t>
      </w:r>
    </w:p>
    <w:p>
      <w:pPr>
        <w:spacing w:after="80" w:before="80" w:line="360"/>
        <w:jc w:val="center"/>
      </w:pPr>
      <w:r>
        <w:rPr>
          <w:rFonts w:ascii="Calibri" w:cs="Calibri" w:eastAsia="Calibri" w:hAnsi="Calibri"/>
          <w:sz w:val="24"/>
          <w:szCs w:val="24"/>
        </w:rPr>
        <w:t xml:space="preserve">Nama Proposal: Sistem Peralatan Makan ReLoop</w:t>
      </w:r>
    </w:p>
    <w:p>
      <w:pPr>
        <w:spacing w:after="80" w:before="80" w:line="360"/>
        <w:jc w:val="center"/>
      </w:pPr>
      <w:r>
        <w:rPr>
          <w:rFonts w:ascii="Calibri" w:cs="Calibri" w:eastAsia="Calibri" w:hAnsi="Calibri"/>
          <w:sz w:val="24"/>
          <w:szCs w:val="24"/>
        </w:rPr>
        <w:t xml:space="preserve">Anggota Tim: Steven Tanardi &amp; Tim</w:t>
      </w:r>
    </w:p>
    <w:p>
      <w:pPr>
        <w:spacing w:after="80" w:before="80" w:line="360"/>
        <w:jc w:val="center"/>
      </w:pPr>
      <w:r>
        <w:rPr>
          <w:rFonts w:ascii="Calibri" w:cs="Calibri" w:eastAsia="Calibri" w:hAnsi="Calibri"/>
          <w:sz w:val="24"/>
          <w:szCs w:val="24"/>
        </w:rPr>
        <w:t xml:space="preserve">Kategori: Grup Mahasiswa</w:t>
      </w:r>
    </w:p>
    <w:p>
      <w:r>
        <w:br w:type="page"/>
      </w:r>
    </w:p>
    <w:p>
      <w:pPr>
        <w:pStyle w:val="Heading1"/>
        <w:spacing w:after="120" w:before="240" w:line="36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1. Analisis Masalah Sosial</w:t>
      </w:r>
    </w:p>
    <w:p>
      <w:pPr>
        <w:spacing w:after="80" w:before="80" w:line="360"/>
        <w:jc w:val="left"/>
      </w:pPr>
      <w:r>
        <w:rPr>
          <w:rFonts w:ascii="Calibri" w:cs="Calibri" w:eastAsia="Calibri" w:hAnsi="Calibri"/>
          <w:sz w:val="24"/>
          <w:szCs w:val="24"/>
        </w:rPr>
        <w:t xml:space="preserve">Meskipun tingkat daur ulang tinggi, kotak bento tetap menjadi pendorong utama limbah. Di Kinmen, krisis ini diperbesar karena semua sampah harus dikirim kembali ke Taiwan dengan kapal.</w:t>
      </w:r>
    </w:p>
    <w:p>
      <w:pPr>
        <w:pStyle w:val="Heading1"/>
        <w:spacing w:after="120" w:before="240" w:line="36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2. Visi &amp; Konten Layanan</w:t>
      </w:r>
    </w:p>
    <w:p>
      <w:pPr>
        <w:spacing w:after="80" w:before="80" w:line="360"/>
        <w:jc w:val="left"/>
      </w:pPr>
      <w:r>
        <w:rPr>
          <w:rFonts w:ascii="Calibri" w:cs="Calibri" w:eastAsia="Calibri" w:hAnsi="Calibri"/>
          <w:sz w:val="24"/>
          <w:szCs w:val="24"/>
        </w:rPr>
        <w:t xml:space="preserve">Visi: 'Setiap kotak bento berhak pulang, dan mulai kembali.'</w:t>
      </w:r>
    </w:p>
    <w:p>
      <w:pPr>
        <w:spacing w:after="80" w:before="80" w:line="360"/>
        <w:jc w:val="left"/>
      </w:pPr>
      <w:r>
        <w:rPr>
          <w:rFonts w:ascii="Calibri" w:cs="Calibri" w:eastAsia="Calibri" w:hAnsi="Calibri"/>
          <w:sz w:val="24"/>
          <w:szCs w:val="24"/>
        </w:rPr>
        <w:t xml:space="preserve">Kami menyediakan wadah CPET kedap udara dan jaringan pengembalian pintar asrama.</w:t>
      </w:r>
    </w:p>
    <w:p>
      <w:pPr>
        <w:pStyle w:val="Heading1"/>
        <w:spacing w:after="120" w:before="240" w:line="36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3. Model Bisnis &amp; Kelayakan</w:t>
      </w:r>
    </w:p>
    <w:p>
      <w:pPr>
        <w:spacing w:after="80" w:before="80" w:line="360"/>
        <w:jc w:val="left"/>
      </w:pPr>
      <w:r>
        <w:rPr>
          <w:rFonts w:ascii="Calibri" w:cs="Calibri" w:eastAsia="Calibri" w:hAnsi="Calibri"/>
          <w:sz w:val="24"/>
          <w:szCs w:val="24"/>
        </w:rPr>
        <w:t xml:space="preserve">Model skala ganda kami memastikan kelayakan segera dan skalabilitas masa depan: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color="1A3C5E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Porsi / Hari</w:t>
            </w:r>
          </w:p>
        </w:tc>
        <w:tc>
          <w:tcPr>
            <w:shd w:color="1A3C5E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Sekali Pakai (Total)</w:t>
            </w:r>
          </w:p>
        </w:tc>
        <w:tc>
          <w:tcPr>
            <w:shd w:color="1A3C5E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Layanan ReLoop</w:t>
            </w:r>
          </w:p>
        </w:tc>
        <w:tc>
          <w:tcPr>
            <w:shd w:color="1A3C5E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Penghematan Harian</w:t>
            </w:r>
          </w:p>
        </w:tc>
      </w:tr>
      <w:tr>
        <w:tc>
          <w:tcPr>
            <w:shd w:color="F7FBFA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 (Uji Coba)</w:t>
            </w:r>
          </w:p>
        </w:tc>
        <w:tc>
          <w:tcPr>
            <w:shd w:color="F7FBFA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NT$520</w:t>
            </w:r>
          </w:p>
        </w:tc>
        <w:tc>
          <w:tcPr>
            <w:shd w:color="F7FBFA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NT$400</w:t>
            </w:r>
          </w:p>
        </w:tc>
        <w:tc>
          <w:tcPr>
            <w:shd w:color="F7FBFA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NT$120 💰</w:t>
            </w:r>
          </w:p>
        </w:tc>
      </w:tr>
      <w:tr>
        <w:tc>
          <w:tcPr>
            <w:shd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1.000 (Skala)</w:t>
            </w:r>
          </w:p>
        </w:tc>
        <w:tc>
          <w:tcPr>
            <w:shd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NT$5.200</w:t>
            </w:r>
          </w:p>
        </w:tc>
        <w:tc>
          <w:tcPr>
            <w:shd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NT$4.000</w:t>
            </w:r>
          </w:p>
        </w:tc>
        <w:tc>
          <w:tcPr>
            <w:shd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NT$1.200 🚀</w:t>
            </w:r>
          </w:p>
        </w:tc>
      </w:tr>
      <w:tr>
        <w:tc>
          <w:tcPr>
            <w:shd w:color="F7FBFA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Tahunan (300h)</w:t>
            </w:r>
          </w:p>
        </w:tc>
        <w:tc>
          <w:tcPr>
            <w:shd w:color="F7FBFA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NT$1,56jt</w:t>
            </w:r>
          </w:p>
        </w:tc>
        <w:tc>
          <w:tcPr>
            <w:shd w:color="F7FBFA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NT$1,2jt</w:t>
            </w:r>
          </w:p>
        </w:tc>
        <w:tc>
          <w:tcPr>
            <w:shd w:color="F7FBFA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NT$360rb 🥇</w:t>
            </w:r>
          </w:p>
        </w:tc>
      </w:tr>
    </w:tbl>
    <w:p>
      <w:pPr>
        <w:spacing w:after="80" w:before="80" w:line="360"/>
        <w:jc w:val="left"/>
      </w:pPr>
      <w:r>
        <w:rPr>
          <w:rFonts w:ascii="Calibri" w:cs="Calibri" w:eastAsia="Calibri" w:hAnsi="Calibri"/>
          <w:sz w:val="24"/>
          <w:szCs w:val="24"/>
        </w:rPr>
        <w:t xml:space="preserve">Proyek pilot Fase 0 di NQU menunjukkan periode balik modal 107 hari.</w:t>
      </w:r>
    </w:p>
    <w:p>
      <w:pPr>
        <w:pStyle w:val="Heading1"/>
        <w:spacing w:after="120" w:before="240" w:line="36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4. Inovasi &amp; Keunikan</w:t>
      </w:r>
    </w:p>
    <w:p>
      <w:pPr>
        <w:spacing w:after="80" w:before="80" w:line="360"/>
        <w:jc w:val="left"/>
      </w:pPr>
      <w:r>
        <w:rPr>
          <w:rFonts w:ascii="Calibri" w:cs="Calibri" w:eastAsia="Calibri" w:hAnsi="Calibri"/>
          <w:sz w:val="24"/>
          <w:szCs w:val="24"/>
        </w:rPr>
        <w:t xml:space="preserve">Model 'YouBike untuk Bento' dengan sinergi AI Trash Scanner untuk mencegah kehilangan aset bento.</w:t>
      </w:r>
    </w:p>
    <w:p>
      <w:pPr>
        <w:pStyle w:val="Heading1"/>
        <w:spacing w:after="120" w:before="240" w:line="36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5. Dampak Sosial</w:t>
      </w:r>
    </w:p>
    <w:p>
      <w:pPr>
        <w:spacing w:after="80" w:before="80" w:line="360"/>
        <w:jc w:val="left"/>
      </w:pPr>
      <w:r>
        <w:rPr>
          <w:rFonts w:ascii="Calibri" w:cs="Calibri" w:eastAsia="Calibri" w:hAnsi="Calibri"/>
          <w:sz w:val="24"/>
          <w:szCs w:val="24"/>
        </w:rPr>
        <w:t xml:space="preserve">Menghindari 30.000+ kotak sekali pakai per tahun. Fokus pada visi 3-Zero Yunus dengan mempekerjakan mahasiswa kurang mampu.</w:t>
      </w:r>
    </w:p>
    <w:p>
      <w:pPr>
        <w:pStyle w:val="Heading1"/>
        <w:spacing w:after="120" w:before="240" w:line="36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6. Keberlanjutan Keuangan</w:t>
      </w:r>
    </w:p>
    <w:p>
      <w:pPr>
        <w:spacing w:after="80" w:before="80" w:line="360"/>
        <w:jc w:val="left"/>
      </w:pPr>
      <w:r>
        <w:rPr>
          <w:rFonts w:ascii="Calibri" w:cs="Calibri" w:eastAsia="Calibri" w:hAnsi="Calibri"/>
          <w:sz w:val="24"/>
          <w:szCs w:val="24"/>
        </w:rPr>
        <w:t xml:space="preserve">Internal Rate of Return (IRR) sebesar 42% dengan periode balik modal 1,2 tahun menggunakan standar upah NT$196/jam. Strategi ekspansi bertahap dari Fase 0 ke Fase 1.</w:t>
      </w:r>
    </w:p>
    <w:p>
      <w:pPr>
        <w:pStyle w:val="Heading1"/>
        <w:spacing w:after="120" w:before="240" w:line="36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7. Rencana Sumber Daya Manusia (HR)</w:t>
      </w:r>
    </w:p>
    <w:p>
      <w:pPr>
        <w:spacing w:after="80" w:before="80" w:line="360"/>
        <w:jc w:val="left"/>
      </w:pPr>
      <w:r>
        <w:rPr>
          <w:rFonts w:ascii="Calibri" w:cs="Calibri" w:eastAsia="Calibri" w:hAnsi="Calibri"/>
          <w:sz w:val="24"/>
          <w:szCs w:val="24"/>
        </w:rPr>
        <w:t xml:space="preserve">Lead: Steven Tanardi (Strategi/Keuangan). Tim Teknologi: Pengembangan IoT/LINE. Operasional: Manajemen logistik.</w:t>
      </w:r>
    </w:p>
    <w:sectPr>
      <w:headerReference w:type="default" r:id="rId7"/>
      <w:footerReference w:type="default" r:id="rId8"/>
      <w:pgSz w:w="11906" w:h="16838" w:orient="portrait"/>
      <w:pgMar w:top="1727" w:right="1727" w:bottom="1440" w:left="172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© 2026 Steven Tanardi | Yunus Vision Team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t xml:space="preserve">Penghargaan Inovasi Yunus Taiwan ke-6 - Proposal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2026-04-08T09:22:49.668Z</dcterms:created>
  <dcterms:modified xsi:type="dcterms:W3CDTF">2026-04-08T09:22:49.668Z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