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100"/>
        <w:jc w:val="center"/>
      </w:pPr>
      <w:r>
        <w:rPr>
          <w:rFonts w:ascii="Calibri" w:cs="Calibri" w:eastAsia="Calibri" w:hAnsi="Calibri"/>
          <w:b/>
          <w:bCs/>
          <w:color w:val="1A3C5E"/>
          <w:sz w:val="56"/>
          <w:szCs w:val="56"/>
        </w:rPr>
        <w:t xml:space="preserve">Deep Research Summary</w:t>
      </w:r>
    </w:p>
    <w:p>
      <w:pPr>
        <w:spacing w:after="80"/>
        <w:jc w:val="center"/>
      </w:pPr>
      <w:r>
        <w:rPr>
          <w:rFonts w:ascii="Calibri" w:cs="Calibri" w:eastAsia="Calibri" w:hAnsi="Calibri"/>
          <w:color w:val="00A86B"/>
          <w:sz w:val="32"/>
          <w:szCs w:val="32"/>
        </w:rPr>
        <w:t xml:space="preserve">6th Taiwan Yunus Social Business Innovation Award</w:t>
      </w:r>
    </w:p>
    <w:p>
      <w:pPr>
        <w:spacing w:after="60"/>
        <w:jc w:val="center"/>
      </w:pPr>
      <w:r>
        <w:rPr>
          <w:i/>
          <w:iCs/>
          <w:color w:val="0D2B45"/>
          <w:sz w:val="26"/>
          <w:szCs w:val="26"/>
        </w:rPr>
        <w:t xml:space="preserve">Projects 03 &amp; 04: AI Trash Scanner · BSF Bio-Loop</w:t>
      </w:r>
    </w:p>
    <w:p>
      <w:pPr>
        <w:pBdr>
          <w:bottom w:val="single" w:color="00A86B" w:sz="4"/>
        </w:pBdr>
        <w:spacing w:after="200" w:before="200"/>
      </w:pPr>
    </w:p>
    <w:p>
      <w:pPr>
        <w:spacing w:after="200"/>
        <w:jc w:val="center"/>
      </w:pPr>
      <w:r>
        <w:rPr>
          <w:b/>
          <w:bCs/>
          <w:color w:val="1C1C1C"/>
          <w:sz w:val="22"/>
          <w:szCs w:val="22"/>
        </w:rPr>
        <w:t xml:space="preserve">Prepared by: </w:t>
      </w:r>
      <w:r>
        <w:rPr>
          <w:color w:val="1A3C5E"/>
          <w:sz w:val="22"/>
          <w:szCs w:val="22"/>
        </w:rPr>
        <w:t xml:space="preserve">Steven Tanardi</w:t>
      </w:r>
      <w:r>
        <w:rPr>
          <w:color w:val="6B7280"/>
          <w:sz w:val="22"/>
          <w:szCs w:val="22"/>
        </w:rPr>
        <w:t xml:space="preserve">  |  Date: April 2026  |  Updated: Apr 8, 2026</w:t>
      </w:r>
    </w:p>
    <w:p>
      <w:r>
        <w:br w:type="page"/>
      </w:r>
    </w:p>
    <w:p>
      <w:pPr>
        <w:pStyle w:val="Heading1"/>
        <w:spacing w:after="200" w:before="400"/>
        <w:rPr>
          <w:b/>
          <w:bCs/>
          <w:color w:val="1A3C5E"/>
        </w:rPr>
      </w:pPr>
      <w:r>
        <w:t xml:space="preserve">CRITICAL POLICY CATALYST: Taiwan's 2027 Pig-Feed Ban (African Swine Fever)</w:t>
      </w:r>
    </w:p>
    <w:p>
      <w:pPr>
        <w:pBdr>
          <w:left w:val="thick" w:color="00A86B" w:sz="12"/>
        </w:pBdr>
        <w:shd w:color="F0F7F4" w:val="solid"/>
        <w:spacing w:after="120" w:before="120"/>
        <w:ind w:left="576"/>
      </w:pPr>
      <w:r>
        <w:rPr>
          <w:i/>
          <w:iCs/>
          <w:color w:val="1A3C5E"/>
          <w:sz w:val="22"/>
          <w:szCs w:val="22"/>
        </w:rPr>
        <w:t xml:space="preserve">WARNING: This section documents the most important regulatory development that directly creates the market opportunity for the BSF Bio-Loop. Confirmed by multiple official Taiwanese government sources in 2025-2026.</w:t>
      </w:r>
    </w:p>
    <w:p>
      <w:pPr>
        <w:pBdr>
          <w:bottom w:val="single" w:color="00A86B" w:sz="6"/>
        </w:pBdr>
        <w:spacing w:after="160" w:before="320"/>
      </w:pPr>
      <w:r>
        <w:rPr>
          <w:b/>
          <w:bCs/>
          <w:color w:val="1A3C5E"/>
          <w:sz w:val="28"/>
          <w:szCs w:val="28"/>
        </w:rPr>
        <w:t xml:space="preserve">The Trigger: October 2025 African Swine Fever Outbreak</w:t>
      </w:r>
    </w:p>
    <w:p>
      <w:pPr>
        <w:spacing w:after="100" w:before="80"/>
      </w:pPr>
      <w:r>
        <w:rPr>
          <w:color w:val="1C1C1C"/>
          <w:sz w:val="22"/>
          <w:szCs w:val="22"/>
        </w:rPr>
        <w:t xml:space="preserve">In October 2025, Taiwan experienced an African Swine Fever (ASF) outbreak. Government investigations traced the source directly to unsterilized kitchen waste (廚餘) fed to pigs on commercial farms. ASF is a highly contagious viral disease with no cure and a near-100% fatality rate in pigs—a catastrophic risk to Taiwan's pork industry.</w:t>
      </w:r>
    </w:p>
    <w:p>
      <w:pPr>
        <w:spacing w:after="120" w:before="240"/>
      </w:pPr>
      <w:r>
        <w:rPr>
          <w:b/>
          <w:bCs/>
          <w:color w:val="00A86B"/>
          <w:sz w:val="24"/>
          <w:szCs w:val="24"/>
        </w:rPr>
        <w:t xml:space="preserve">Phased National Ban Timeline</w:t>
      </w: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tblGrid>
      <w:tr>
        <w:trPr>
          <w:tblHeader/>
        </w:trPr>
        <w:tc>
          <w:tcPr>
            <w:shd w:color="C0392B" w:val="solid"/>
            <w:tcMar>
              <w:top w:type="dxa" w:w="80"/>
              <w:left w:type="dxa" w:w="100"/>
              <w:bottom w:type="dxa" w:w="80"/>
              <w:right w:type="dxa" w:w="100"/>
            </w:tcMar>
          </w:tcPr>
          <w:p>
            <w:pPr>
              <w:jc w:val="center"/>
            </w:pPr>
            <w:r>
              <w:rPr>
                <w:b/>
                <w:bCs/>
                <w:color w:val="FFFFFF"/>
                <w:sz w:val="20"/>
                <w:szCs w:val="20"/>
              </w:rPr>
              <w:t xml:space="preserve">Phase</w:t>
            </w:r>
          </w:p>
        </w:tc>
        <w:tc>
          <w:tcPr>
            <w:shd w:color="C0392B" w:val="solid"/>
            <w:tcMar>
              <w:top w:type="dxa" w:w="80"/>
              <w:left w:type="dxa" w:w="100"/>
              <w:bottom w:type="dxa" w:w="80"/>
              <w:right w:type="dxa" w:w="100"/>
            </w:tcMar>
          </w:tcPr>
          <w:p>
            <w:pPr>
              <w:jc w:val="center"/>
            </w:pPr>
            <w:r>
              <w:rPr>
                <w:b/>
                <w:bCs/>
                <w:color w:val="FFFFFF"/>
                <w:sz w:val="20"/>
                <w:szCs w:val="20"/>
              </w:rPr>
              <w:t xml:space="preserve">Timeline</w:t>
            </w:r>
          </w:p>
        </w:tc>
        <w:tc>
          <w:tcPr>
            <w:shd w:color="C0392B" w:val="solid"/>
            <w:tcMar>
              <w:top w:type="dxa" w:w="80"/>
              <w:left w:type="dxa" w:w="100"/>
              <w:bottom w:type="dxa" w:w="80"/>
              <w:right w:type="dxa" w:w="100"/>
            </w:tcMar>
          </w:tcPr>
          <w:p>
            <w:pPr>
              <w:jc w:val="center"/>
            </w:pPr>
            <w:r>
              <w:rPr>
                <w:b/>
                <w:bCs/>
                <w:color w:val="FFFFFF"/>
                <w:sz w:val="20"/>
                <w:szCs w:val="20"/>
              </w:rPr>
              <w:t xml:space="preserve">Rule</w:t>
            </w:r>
          </w:p>
        </w:tc>
      </w:tr>
      <w:tr>
        <w:tc>
          <w:tcPr>
            <w:shd w:color="F7FBFA" w:val="solid"/>
            <w:tcMar>
              <w:top w:type="dxa" w:w="60"/>
              <w:left w:type="dxa" w:w="100"/>
              <w:bottom w:type="dxa" w:w="60"/>
              <w:right w:type="dxa" w:w="100"/>
            </w:tcMar>
          </w:tcPr>
          <w:p>
            <w:r>
              <w:rPr>
                <w:color w:val="1C1C1C"/>
                <w:sz w:val="20"/>
                <w:szCs w:val="20"/>
              </w:rPr>
              <w:t xml:space="preserve">Phase 1 — Immediate</w:t>
            </w:r>
          </w:p>
        </w:tc>
        <w:tc>
          <w:tcPr>
            <w:shd w:color="F7FBFA" w:val="solid"/>
            <w:tcMar>
              <w:top w:type="dxa" w:w="60"/>
              <w:left w:type="dxa" w:w="100"/>
              <w:bottom w:type="dxa" w:w="60"/>
              <w:right w:type="dxa" w:w="100"/>
            </w:tcMar>
          </w:tcPr>
          <w:p>
            <w:r>
              <w:rPr>
                <w:color w:val="1C1C1C"/>
                <w:sz w:val="20"/>
                <w:szCs w:val="20"/>
              </w:rPr>
              <w:t xml:space="preserve">Jan 1, 2026</w:t>
            </w:r>
          </w:p>
        </w:tc>
        <w:tc>
          <w:tcPr>
            <w:shd w:color="F7FBFA" w:val="solid"/>
            <w:tcMar>
              <w:top w:type="dxa" w:w="60"/>
              <w:left w:type="dxa" w:w="100"/>
              <w:bottom w:type="dxa" w:w="60"/>
              <w:right w:type="dxa" w:w="100"/>
            </w:tcMar>
          </w:tcPr>
          <w:p>
            <w:r>
              <w:rPr>
                <w:color w:val="1C1C1C"/>
                <w:sz w:val="20"/>
                <w:szCs w:val="20"/>
              </w:rPr>
              <w:t xml:space="preserve">Household kitchen waste (家戶廚餘) immediately banned from pig feed</w:t>
            </w:r>
          </w:p>
        </w:tc>
      </w:tr>
      <w:tr>
        <w:tc>
          <w:tcPr>
            <w:shd w:color="FFFFFF" w:val="solid"/>
            <w:tcMar>
              <w:top w:type="dxa" w:w="60"/>
              <w:left w:type="dxa" w:w="100"/>
              <w:bottom w:type="dxa" w:w="60"/>
              <w:right w:type="dxa" w:w="100"/>
            </w:tcMar>
          </w:tcPr>
          <w:p>
            <w:r>
              <w:rPr>
                <w:color w:val="1C1C1C"/>
                <w:sz w:val="20"/>
                <w:szCs w:val="20"/>
              </w:rPr>
              <w:t xml:space="preserve">Phase 2 — Regulated</w:t>
            </w:r>
          </w:p>
        </w:tc>
        <w:tc>
          <w:tcPr>
            <w:shd w:color="FFFFFF" w:val="solid"/>
            <w:tcMar>
              <w:top w:type="dxa" w:w="60"/>
              <w:left w:type="dxa" w:w="100"/>
              <w:bottom w:type="dxa" w:w="60"/>
              <w:right w:type="dxa" w:w="100"/>
            </w:tcMar>
          </w:tcPr>
          <w:p>
            <w:r>
              <w:rPr>
                <w:color w:val="1C1C1C"/>
                <w:sz w:val="20"/>
                <w:szCs w:val="20"/>
              </w:rPr>
              <w:t xml:space="preserve">All of 2026</w:t>
            </w:r>
          </w:p>
        </w:tc>
        <w:tc>
          <w:tcPr>
            <w:shd w:color="FFFFFF" w:val="solid"/>
            <w:tcMar>
              <w:top w:type="dxa" w:w="60"/>
              <w:left w:type="dxa" w:w="100"/>
              <w:bottom w:type="dxa" w:w="60"/>
              <w:right w:type="dxa" w:w="100"/>
            </w:tcMar>
          </w:tcPr>
          <w:p>
            <w:r>
              <w:rPr>
                <w:color w:val="1C1C1C"/>
                <w:sz w:val="20"/>
                <w:szCs w:val="20"/>
              </w:rPr>
              <w:t xml:space="preserve">Business food waste permitted ONLY with: heat treatment + real-time CCTV + GPS tracking + local government approval</w:t>
            </w:r>
          </w:p>
        </w:tc>
      </w:tr>
      <w:tr>
        <w:tc>
          <w:tcPr>
            <w:shd w:color="F7FBFA" w:val="solid"/>
            <w:tcMar>
              <w:top w:type="dxa" w:w="60"/>
              <w:left w:type="dxa" w:w="100"/>
              <w:bottom w:type="dxa" w:w="60"/>
              <w:right w:type="dxa" w:w="100"/>
            </w:tcMar>
          </w:tcPr>
          <w:p>
            <w:r>
              <w:rPr>
                <w:color w:val="1C1C1C"/>
                <w:sz w:val="20"/>
                <w:szCs w:val="20"/>
              </w:rPr>
              <w:t xml:space="preserve">Phase 3 — FULL BAN</w:t>
            </w:r>
          </w:p>
        </w:tc>
        <w:tc>
          <w:tcPr>
            <w:shd w:color="F7FBFA" w:val="solid"/>
            <w:tcMar>
              <w:top w:type="dxa" w:w="60"/>
              <w:left w:type="dxa" w:w="100"/>
              <w:bottom w:type="dxa" w:w="60"/>
              <w:right w:type="dxa" w:w="100"/>
            </w:tcMar>
          </w:tcPr>
          <w:p>
            <w:r>
              <w:rPr>
                <w:color w:val="1C1C1C"/>
                <w:sz w:val="20"/>
                <w:szCs w:val="20"/>
              </w:rPr>
              <w:t xml:space="preserve">Jan 1, 2027</w:t>
            </w:r>
          </w:p>
        </w:tc>
        <w:tc>
          <w:tcPr>
            <w:shd w:color="F7FBFA" w:val="solid"/>
            <w:tcMar>
              <w:top w:type="dxa" w:w="60"/>
              <w:left w:type="dxa" w:w="100"/>
              <w:bottom w:type="dxa" w:w="60"/>
              <w:right w:type="dxa" w:w="100"/>
            </w:tcMar>
          </w:tcPr>
          <w:p>
            <w:r>
              <w:rPr>
                <w:color w:val="1C1C1C"/>
                <w:sz w:val="20"/>
                <w:szCs w:val="20"/>
              </w:rPr>
              <w:t xml:space="preserve">ALL food waste as pig feed completely prohibited nationwide — no exceptions</w:t>
            </w:r>
          </w:p>
        </w:tc>
      </w:tr>
    </w:tbl>
    <w:p>
      <w:pPr>
        <w:spacing w:before="120"/>
      </w:pPr>
    </w:p>
    <w:p>
      <w:pPr>
        <w:pBdr>
          <w:bottom w:val="single" w:color="00A86B" w:sz="6"/>
        </w:pBdr>
        <w:spacing w:after="160" w:before="320"/>
      </w:pPr>
      <w:r>
        <w:rPr>
          <w:b/>
          <w:bCs/>
          <w:color w:val="1A3C5E"/>
          <w:sz w:val="28"/>
          <w:szCs w:val="28"/>
        </w:rPr>
        <w:t xml:space="preserve">The Vacuum: 731 Tonnes/Day of Orphaned Food Waste</w:t>
      </w: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tblGrid>
      <w:tr>
        <w:trPr>
          <w:tblHeader/>
        </w:trPr>
        <w:tc>
          <w:tcPr>
            <w:shd w:color="1A3C5E" w:val="solid"/>
            <w:tcMar>
              <w:top w:type="dxa" w:w="80"/>
              <w:left w:type="dxa" w:w="100"/>
              <w:bottom w:type="dxa" w:w="80"/>
              <w:right w:type="dxa" w:w="100"/>
            </w:tcMar>
          </w:tcPr>
          <w:p>
            <w:pPr>
              <w:jc w:val="center"/>
            </w:pPr>
            <w:r>
              <w:rPr>
                <w:b/>
                <w:bCs/>
                <w:color w:val="FFFFFF"/>
                <w:sz w:val="20"/>
                <w:szCs w:val="20"/>
              </w:rPr>
              <w:t xml:space="preserve">Food Waste Flow</w:t>
            </w:r>
          </w:p>
        </w:tc>
        <w:tc>
          <w:tcPr>
            <w:shd w:color="1A3C5E" w:val="solid"/>
            <w:tcMar>
              <w:top w:type="dxa" w:w="80"/>
              <w:left w:type="dxa" w:w="100"/>
              <w:bottom w:type="dxa" w:w="80"/>
              <w:right w:type="dxa" w:w="100"/>
            </w:tcMar>
          </w:tcPr>
          <w:p>
            <w:pPr>
              <w:jc w:val="center"/>
            </w:pPr>
            <w:r>
              <w:rPr>
                <w:b/>
                <w:bCs/>
                <w:color w:val="FFFFFF"/>
                <w:sz w:val="20"/>
                <w:szCs w:val="20"/>
              </w:rPr>
              <w:t xml:space="preserve">Daily Volume</w:t>
            </w:r>
          </w:p>
        </w:tc>
        <w:tc>
          <w:tcPr>
            <w:shd w:color="1A3C5E" w:val="solid"/>
            <w:tcMar>
              <w:top w:type="dxa" w:w="80"/>
              <w:left w:type="dxa" w:w="100"/>
              <w:bottom w:type="dxa" w:w="80"/>
              <w:right w:type="dxa" w:w="100"/>
            </w:tcMar>
          </w:tcPr>
          <w:p>
            <w:pPr>
              <w:jc w:val="center"/>
            </w:pPr>
            <w:r>
              <w:rPr>
                <w:b/>
                <w:bCs/>
                <w:color w:val="FFFFFF"/>
                <w:sz w:val="20"/>
                <w:szCs w:val="20"/>
              </w:rPr>
              <w:t xml:space="preserve">Destination After 2027</w:t>
            </w:r>
          </w:p>
        </w:tc>
      </w:tr>
      <w:tr>
        <w:tc>
          <w:tcPr>
            <w:shd w:color="F7FBFA" w:val="solid"/>
            <w:tcMar>
              <w:top w:type="dxa" w:w="60"/>
              <w:left w:type="dxa" w:w="100"/>
              <w:bottom w:type="dxa" w:w="60"/>
              <w:right w:type="dxa" w:w="100"/>
            </w:tcMar>
          </w:tcPr>
          <w:p>
            <w:r>
              <w:rPr>
                <w:color w:val="1C1C1C"/>
                <w:sz w:val="20"/>
                <w:szCs w:val="20"/>
              </w:rPr>
              <w:t xml:space="preserve">Total food waste generated in Taiwan</w:t>
            </w:r>
          </w:p>
        </w:tc>
        <w:tc>
          <w:tcPr>
            <w:shd w:color="F7FBFA" w:val="solid"/>
            <w:tcMar>
              <w:top w:type="dxa" w:w="60"/>
              <w:left w:type="dxa" w:w="100"/>
              <w:bottom w:type="dxa" w:w="60"/>
              <w:right w:type="dxa" w:w="100"/>
            </w:tcMar>
          </w:tcPr>
          <w:p>
            <w:r>
              <w:rPr>
                <w:color w:val="1C1C1C"/>
                <w:sz w:val="20"/>
                <w:szCs w:val="20"/>
              </w:rPr>
              <w:t xml:space="preserve">2,115 tonnes/day</w:t>
            </w:r>
          </w:p>
        </w:tc>
        <w:tc>
          <w:tcPr>
            <w:shd w:color="F7FBFA" w:val="solid"/>
            <w:tcMar>
              <w:top w:type="dxa" w:w="60"/>
              <w:left w:type="dxa" w:w="100"/>
              <w:bottom w:type="dxa" w:w="60"/>
              <w:right w:type="dxa" w:w="100"/>
            </w:tcMar>
          </w:tcPr>
          <w:p>
            <w:r>
              <w:rPr>
                <w:color w:val="1C1C1C"/>
                <w:sz w:val="20"/>
                <w:szCs w:val="20"/>
              </w:rPr>
              <w:t xml:space="preserve">Needs processing</w:t>
            </w:r>
          </w:p>
        </w:tc>
      </w:tr>
      <w:tr>
        <w:tc>
          <w:tcPr>
            <w:shd w:color="FFFFFF" w:val="solid"/>
            <w:tcMar>
              <w:top w:type="dxa" w:w="60"/>
              <w:left w:type="dxa" w:w="100"/>
              <w:bottom w:type="dxa" w:w="60"/>
              <w:right w:type="dxa" w:w="100"/>
            </w:tcMar>
          </w:tcPr>
          <w:p>
            <w:r>
              <w:rPr>
                <w:color w:val="1C1C1C"/>
                <w:sz w:val="20"/>
                <w:szCs w:val="20"/>
              </w:rPr>
              <w:t xml:space="preserve">Previously absorbed by pig farms (business waste)</w:t>
            </w:r>
          </w:p>
        </w:tc>
        <w:tc>
          <w:tcPr>
            <w:shd w:color="FFFFFF" w:val="solid"/>
            <w:tcMar>
              <w:top w:type="dxa" w:w="60"/>
              <w:left w:type="dxa" w:w="100"/>
              <w:bottom w:type="dxa" w:w="60"/>
              <w:right w:type="dxa" w:w="100"/>
            </w:tcMar>
          </w:tcPr>
          <w:p>
            <w:r>
              <w:rPr>
                <w:color w:val="1C1C1C"/>
                <w:sz w:val="20"/>
                <w:szCs w:val="20"/>
              </w:rPr>
              <w:t xml:space="preserve">~731 tonnes/day</w:t>
            </w:r>
          </w:p>
        </w:tc>
        <w:tc>
          <w:tcPr>
            <w:shd w:color="FFFFFF" w:val="solid"/>
            <w:tcMar>
              <w:top w:type="dxa" w:w="60"/>
              <w:left w:type="dxa" w:w="100"/>
              <w:bottom w:type="dxa" w:w="60"/>
              <w:right w:type="dxa" w:w="100"/>
            </w:tcMar>
          </w:tcPr>
          <w:p>
            <w:r>
              <w:rPr>
                <w:color w:val="1C1C1C"/>
                <w:sz w:val="20"/>
                <w:szCs w:val="20"/>
              </w:rPr>
              <w:t xml:space="preserve">BANNED — needs new solution</w:t>
            </w:r>
          </w:p>
        </w:tc>
      </w:tr>
      <w:tr>
        <w:tc>
          <w:tcPr>
            <w:shd w:color="F7FBFA" w:val="solid"/>
            <w:tcMar>
              <w:top w:type="dxa" w:w="60"/>
              <w:left w:type="dxa" w:w="100"/>
              <w:bottom w:type="dxa" w:w="60"/>
              <w:right w:type="dxa" w:w="100"/>
            </w:tcMar>
          </w:tcPr>
          <w:p>
            <w:r>
              <w:rPr>
                <w:color w:val="1C1C1C"/>
                <w:sz w:val="20"/>
                <w:szCs w:val="20"/>
              </w:rPr>
              <w:t xml:space="preserve">Currently handled by recycling facilities</w:t>
            </w:r>
          </w:p>
        </w:tc>
        <w:tc>
          <w:tcPr>
            <w:shd w:color="F7FBFA" w:val="solid"/>
            <w:tcMar>
              <w:top w:type="dxa" w:w="60"/>
              <w:left w:type="dxa" w:w="100"/>
              <w:bottom w:type="dxa" w:w="60"/>
              <w:right w:type="dxa" w:w="100"/>
            </w:tcMar>
          </w:tcPr>
          <w:p>
            <w:r>
              <w:rPr>
                <w:color w:val="1C1C1C"/>
                <w:sz w:val="20"/>
                <w:szCs w:val="20"/>
              </w:rPr>
              <w:t xml:space="preserve">~1,100 tonnes/day</w:t>
            </w:r>
          </w:p>
        </w:tc>
        <w:tc>
          <w:tcPr>
            <w:shd w:color="F7FBFA" w:val="solid"/>
            <w:tcMar>
              <w:top w:type="dxa" w:w="60"/>
              <w:left w:type="dxa" w:w="100"/>
              <w:bottom w:type="dxa" w:w="60"/>
              <w:right w:type="dxa" w:w="100"/>
            </w:tcMar>
          </w:tcPr>
          <w:p>
            <w:r>
              <w:rPr>
                <w:color w:val="1C1C1C"/>
                <w:sz w:val="20"/>
                <w:szCs w:val="20"/>
              </w:rPr>
              <w:t xml:space="preserve">Composting/biogas</w:t>
            </w:r>
          </w:p>
        </w:tc>
      </w:tr>
      <w:tr>
        <w:tc>
          <w:tcPr>
            <w:shd w:color="FFFFFF" w:val="solid"/>
            <w:tcMar>
              <w:top w:type="dxa" w:w="60"/>
              <w:left w:type="dxa" w:w="100"/>
              <w:bottom w:type="dxa" w:w="60"/>
              <w:right w:type="dxa" w:w="100"/>
            </w:tcMar>
          </w:tcPr>
          <w:p>
            <w:r>
              <w:rPr>
                <w:color w:val="1C1C1C"/>
                <w:sz w:val="20"/>
                <w:szCs w:val="20"/>
              </w:rPr>
              <w:t xml:space="preserve">Currently going to incineration/landfill</w:t>
            </w:r>
          </w:p>
        </w:tc>
        <w:tc>
          <w:tcPr>
            <w:shd w:color="FFFFFF" w:val="solid"/>
            <w:tcMar>
              <w:top w:type="dxa" w:w="60"/>
              <w:left w:type="dxa" w:w="100"/>
              <w:bottom w:type="dxa" w:w="60"/>
              <w:right w:type="dxa" w:w="100"/>
            </w:tcMar>
          </w:tcPr>
          <w:p>
            <w:r>
              <w:rPr>
                <w:color w:val="1C1C1C"/>
                <w:sz w:val="20"/>
                <w:szCs w:val="20"/>
              </w:rPr>
              <w:t xml:space="preserve">~284 tonnes/day</w:t>
            </w:r>
          </w:p>
        </w:tc>
        <w:tc>
          <w:tcPr>
            <w:shd w:color="FFFFFF" w:val="solid"/>
            <w:tcMar>
              <w:top w:type="dxa" w:w="60"/>
              <w:left w:type="dxa" w:w="100"/>
              <w:bottom w:type="dxa" w:w="60"/>
              <w:right w:type="dxa" w:w="100"/>
            </w:tcMar>
          </w:tcPr>
          <w:p>
            <w:r>
              <w:rPr>
                <w:color w:val="1C1C1C"/>
                <w:sz w:val="20"/>
                <w:szCs w:val="20"/>
              </w:rPr>
              <w:t xml:space="preserve">Target for elimination by 2028</w:t>
            </w:r>
          </w:p>
        </w:tc>
      </w:tr>
    </w:tbl>
    <w:p>
      <w:pPr>
        <w:spacing w:before="80"/>
      </w:pPr>
    </w:p>
    <w:p>
      <w:pPr>
        <w:pBdr>
          <w:left w:val="thick" w:color="00A86B" w:sz="12"/>
        </w:pBdr>
        <w:shd w:color="F0F7F4" w:val="solid"/>
        <w:spacing w:after="120" w:before="120"/>
        <w:ind w:left="576"/>
      </w:pPr>
      <w:r>
        <w:rPr>
          <w:i/>
          <w:iCs/>
          <w:color w:val="1A3C5E"/>
          <w:sz w:val="22"/>
          <w:szCs w:val="22"/>
        </w:rPr>
        <w:t xml:space="preserve">This 731 tonnes/day is the market gap. It is food waste that was processed, profitable, and now suddenly has no home. Pig farms are being paid NT$3,600 per head to switch to commercial feed. The waste they used to process — primarily restaurant, market, and institutional food scraps — is now looking for a new processor. BSF Bio-Hub is the answer.</w:t>
      </w:r>
    </w:p>
    <w:p>
      <w:pPr>
        <w:pBdr>
          <w:bottom w:val="single" w:color="00A86B" w:sz="6"/>
        </w:pBdr>
        <w:spacing w:after="160" w:before="320"/>
      </w:pPr>
      <w:r>
        <w:rPr>
          <w:b/>
          <w:bCs/>
          <w:color w:val="1A3C5E"/>
          <w:sz w:val="28"/>
          <w:szCs w:val="28"/>
        </w:rPr>
        <w:t xml:space="preserve">Government's Four Official Alternative Pathways</w:t>
      </w: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gridCol w:w="100"/>
      </w:tblGrid>
      <w:tr>
        <w:trPr>
          <w:tblHeader/>
        </w:trPr>
        <w:tc>
          <w:tcPr>
            <w:shd w:color="00A86B" w:val="solid"/>
            <w:tcMar>
              <w:top w:type="dxa" w:w="80"/>
              <w:left w:type="dxa" w:w="100"/>
              <w:bottom w:type="dxa" w:w="80"/>
              <w:right w:type="dxa" w:w="100"/>
            </w:tcMar>
          </w:tcPr>
          <w:p>
            <w:pPr>
              <w:jc w:val="center"/>
            </w:pPr>
            <w:r>
              <w:rPr>
                <w:b/>
                <w:bCs/>
                <w:color w:val="FFFFFF"/>
                <w:sz w:val="20"/>
                <w:szCs w:val="20"/>
              </w:rPr>
              <w:t xml:space="preserve">#</w:t>
            </w:r>
          </w:p>
        </w:tc>
        <w:tc>
          <w:tcPr>
            <w:shd w:color="00A86B" w:val="solid"/>
            <w:tcMar>
              <w:top w:type="dxa" w:w="80"/>
              <w:left w:type="dxa" w:w="100"/>
              <w:bottom w:type="dxa" w:w="80"/>
              <w:right w:type="dxa" w:w="100"/>
            </w:tcMar>
          </w:tcPr>
          <w:p>
            <w:pPr>
              <w:jc w:val="center"/>
            </w:pPr>
            <w:r>
              <w:rPr>
                <w:b/>
                <w:bCs/>
                <w:color w:val="FFFFFF"/>
                <w:sz w:val="20"/>
                <w:szCs w:val="20"/>
              </w:rPr>
              <w:t xml:space="preserve">Official Pathway</w:t>
            </w:r>
          </w:p>
        </w:tc>
        <w:tc>
          <w:tcPr>
            <w:shd w:color="00A86B" w:val="solid"/>
            <w:tcMar>
              <w:top w:type="dxa" w:w="80"/>
              <w:left w:type="dxa" w:w="100"/>
              <w:bottom w:type="dxa" w:w="80"/>
              <w:right w:type="dxa" w:w="100"/>
            </w:tcMar>
          </w:tcPr>
          <w:p>
            <w:pPr>
              <w:jc w:val="center"/>
            </w:pPr>
            <w:r>
              <w:rPr>
                <w:b/>
                <w:bCs/>
                <w:color w:val="FFFFFF"/>
                <w:sz w:val="20"/>
                <w:szCs w:val="20"/>
              </w:rPr>
              <w:t xml:space="preserve">Scale</w:t>
            </w:r>
          </w:p>
        </w:tc>
        <w:tc>
          <w:tcPr>
            <w:shd w:color="00A86B" w:val="solid"/>
            <w:tcMar>
              <w:top w:type="dxa" w:w="80"/>
              <w:left w:type="dxa" w:w="100"/>
              <w:bottom w:type="dxa" w:w="80"/>
              <w:right w:type="dxa" w:w="100"/>
            </w:tcMar>
          </w:tcPr>
          <w:p>
            <w:pPr>
              <w:jc w:val="center"/>
            </w:pPr>
            <w:r>
              <w:rPr>
                <w:b/>
                <w:bCs/>
                <w:color w:val="FFFFFF"/>
                <w:sz w:val="20"/>
                <w:szCs w:val="20"/>
              </w:rPr>
              <w:t xml:space="preserve">Value Output</w:t>
            </w:r>
          </w:p>
        </w:tc>
      </w:tr>
      <w:tr>
        <w:tc>
          <w:tcPr>
            <w:shd w:color="F7FBFA" w:val="solid"/>
            <w:tcMar>
              <w:top w:type="dxa" w:w="60"/>
              <w:left w:type="dxa" w:w="100"/>
              <w:bottom w:type="dxa" w:w="60"/>
              <w:right w:type="dxa" w:w="100"/>
            </w:tcMar>
          </w:tcPr>
          <w:p>
            <w:r>
              <w:rPr>
                <w:color w:val="1C1C1C"/>
                <w:sz w:val="20"/>
                <w:szCs w:val="20"/>
              </w:rPr>
              <w:t xml:space="preserve">1</w:t>
            </w:r>
          </w:p>
        </w:tc>
        <w:tc>
          <w:tcPr>
            <w:shd w:color="F7FBFA" w:val="solid"/>
            <w:tcMar>
              <w:top w:type="dxa" w:w="60"/>
              <w:left w:type="dxa" w:w="100"/>
              <w:bottom w:type="dxa" w:w="60"/>
              <w:right w:type="dxa" w:w="100"/>
            </w:tcMar>
          </w:tcPr>
          <w:p>
            <w:r>
              <w:rPr>
                <w:color w:val="1C1C1C"/>
                <w:sz w:val="20"/>
                <w:szCs w:val="20"/>
              </w:rPr>
              <w:t xml:space="preserve">Composting (堆肥)</w:t>
            </w:r>
          </w:p>
        </w:tc>
        <w:tc>
          <w:tcPr>
            <w:shd w:color="F7FBFA" w:val="solid"/>
            <w:tcMar>
              <w:top w:type="dxa" w:w="60"/>
              <w:left w:type="dxa" w:w="100"/>
              <w:bottom w:type="dxa" w:w="60"/>
              <w:right w:type="dxa" w:w="100"/>
            </w:tcMar>
          </w:tcPr>
          <w:p>
            <w:r>
              <w:rPr>
                <w:color w:val="1C1C1C"/>
                <w:sz w:val="20"/>
                <w:szCs w:val="20"/>
              </w:rPr>
              <w:t xml:space="preserve">Large-scale, rural</w:t>
            </w:r>
          </w:p>
        </w:tc>
        <w:tc>
          <w:tcPr>
            <w:shd w:color="F7FBFA" w:val="solid"/>
            <w:tcMar>
              <w:top w:type="dxa" w:w="60"/>
              <w:left w:type="dxa" w:w="100"/>
              <w:bottom w:type="dxa" w:w="60"/>
              <w:right w:type="dxa" w:w="100"/>
            </w:tcMar>
          </w:tcPr>
          <w:p>
            <w:r>
              <w:rPr>
                <w:color w:val="1C1C1C"/>
                <w:sz w:val="20"/>
                <w:szCs w:val="20"/>
              </w:rPr>
              <w:t xml:space="preserve">Organic fertilizer</w:t>
            </w:r>
          </w:p>
        </w:tc>
      </w:tr>
      <w:tr>
        <w:tc>
          <w:tcPr>
            <w:shd w:color="FFFFFF" w:val="solid"/>
            <w:tcMar>
              <w:top w:type="dxa" w:w="60"/>
              <w:left w:type="dxa" w:w="100"/>
              <w:bottom w:type="dxa" w:w="60"/>
              <w:right w:type="dxa" w:w="100"/>
            </w:tcMar>
          </w:tcPr>
          <w:p>
            <w:r>
              <w:rPr>
                <w:color w:val="1C1C1C"/>
                <w:sz w:val="20"/>
                <w:szCs w:val="20"/>
              </w:rPr>
              <w:t xml:space="preserve">2</w:t>
            </w:r>
          </w:p>
        </w:tc>
        <w:tc>
          <w:tcPr>
            <w:shd w:color="FFFFFF" w:val="solid"/>
            <w:tcMar>
              <w:top w:type="dxa" w:w="60"/>
              <w:left w:type="dxa" w:w="100"/>
              <w:bottom w:type="dxa" w:w="60"/>
              <w:right w:type="dxa" w:w="100"/>
            </w:tcMar>
          </w:tcPr>
          <w:p>
            <w:r>
              <w:rPr>
                <w:color w:val="1C1C1C"/>
                <w:sz w:val="20"/>
                <w:szCs w:val="20"/>
              </w:rPr>
              <w:t xml:space="preserve">Bioenergy / Anaerobic Digestion (能源化/沼氣)</w:t>
            </w:r>
          </w:p>
        </w:tc>
        <w:tc>
          <w:tcPr>
            <w:shd w:color="FFFFFF" w:val="solid"/>
            <w:tcMar>
              <w:top w:type="dxa" w:w="60"/>
              <w:left w:type="dxa" w:w="100"/>
              <w:bottom w:type="dxa" w:w="60"/>
              <w:right w:type="dxa" w:w="100"/>
            </w:tcMar>
          </w:tcPr>
          <w:p>
            <w:r>
              <w:rPr>
                <w:color w:val="1C1C1C"/>
                <w:sz w:val="20"/>
                <w:szCs w:val="20"/>
              </w:rPr>
              <w:t xml:space="preserve">Plant-scale</w:t>
            </w:r>
          </w:p>
        </w:tc>
        <w:tc>
          <w:tcPr>
            <w:shd w:color="FFFFFF" w:val="solid"/>
            <w:tcMar>
              <w:top w:type="dxa" w:w="60"/>
              <w:left w:type="dxa" w:w="100"/>
              <w:bottom w:type="dxa" w:w="60"/>
              <w:right w:type="dxa" w:w="100"/>
            </w:tcMar>
          </w:tcPr>
          <w:p>
            <w:r>
              <w:rPr>
                <w:color w:val="1C1C1C"/>
                <w:sz w:val="20"/>
                <w:szCs w:val="20"/>
              </w:rPr>
              <w:t xml:space="preserve">Biogas + electricity</w:t>
            </w:r>
          </w:p>
        </w:tc>
      </w:tr>
      <w:tr>
        <w:tc>
          <w:tcPr>
            <w:shd w:color="F7FBFA" w:val="solid"/>
            <w:tcMar>
              <w:top w:type="dxa" w:w="60"/>
              <w:left w:type="dxa" w:w="100"/>
              <w:bottom w:type="dxa" w:w="60"/>
              <w:right w:type="dxa" w:w="100"/>
            </w:tcMar>
          </w:tcPr>
          <w:p>
            <w:r>
              <w:rPr>
                <w:color w:val="1C1C1C"/>
                <w:sz w:val="20"/>
                <w:szCs w:val="20"/>
              </w:rPr>
              <w:t xml:space="preserve">3 ★</w:t>
            </w:r>
          </w:p>
        </w:tc>
        <w:tc>
          <w:tcPr>
            <w:shd w:color="F7FBFA" w:val="solid"/>
            <w:tcMar>
              <w:top w:type="dxa" w:w="60"/>
              <w:left w:type="dxa" w:w="100"/>
              <w:bottom w:type="dxa" w:w="60"/>
              <w:right w:type="dxa" w:w="100"/>
            </w:tcMar>
          </w:tcPr>
          <w:p>
            <w:r>
              <w:rPr>
                <w:color w:val="1C1C1C"/>
                <w:sz w:val="20"/>
                <w:szCs w:val="20"/>
              </w:rPr>
              <w:t xml:space="preserve">Black Soldier Fly Cultivation (黑水虻養殖)</w:t>
            </w:r>
          </w:p>
        </w:tc>
        <w:tc>
          <w:tcPr>
            <w:shd w:color="F7FBFA" w:val="solid"/>
            <w:tcMar>
              <w:top w:type="dxa" w:w="60"/>
              <w:left w:type="dxa" w:w="100"/>
              <w:bottom w:type="dxa" w:w="60"/>
              <w:right w:type="dxa" w:w="100"/>
            </w:tcMar>
          </w:tcPr>
          <w:p>
            <w:r>
              <w:rPr>
                <w:color w:val="1C1C1C"/>
                <w:sz w:val="20"/>
                <w:szCs w:val="20"/>
              </w:rPr>
              <w:t xml:space="preserve">Decentralized, URBAN</w:t>
            </w:r>
          </w:p>
        </w:tc>
        <w:tc>
          <w:tcPr>
            <w:shd w:color="F7FBFA" w:val="solid"/>
            <w:tcMar>
              <w:top w:type="dxa" w:w="60"/>
              <w:left w:type="dxa" w:w="100"/>
              <w:bottom w:type="dxa" w:w="60"/>
              <w:right w:type="dxa" w:w="100"/>
            </w:tcMar>
          </w:tcPr>
          <w:p>
            <w:r>
              <w:rPr>
                <w:color w:val="1C1C1C"/>
                <w:sz w:val="20"/>
                <w:szCs w:val="20"/>
              </w:rPr>
              <w:t xml:space="preserve">Protein + Fertilizer — HIGHEST VALUE</w:t>
            </w:r>
          </w:p>
        </w:tc>
      </w:tr>
      <w:tr>
        <w:tc>
          <w:tcPr>
            <w:shd w:color="FFFFFF" w:val="solid"/>
            <w:tcMar>
              <w:top w:type="dxa" w:w="60"/>
              <w:left w:type="dxa" w:w="100"/>
              <w:bottom w:type="dxa" w:w="60"/>
              <w:right w:type="dxa" w:w="100"/>
            </w:tcMar>
          </w:tcPr>
          <w:p>
            <w:r>
              <w:rPr>
                <w:color w:val="1C1C1C"/>
                <w:sz w:val="20"/>
                <w:szCs w:val="20"/>
              </w:rPr>
              <w:t xml:space="preserve">4</w:t>
            </w:r>
          </w:p>
        </w:tc>
        <w:tc>
          <w:tcPr>
            <w:shd w:color="FFFFFF" w:val="solid"/>
            <w:tcMar>
              <w:top w:type="dxa" w:w="60"/>
              <w:left w:type="dxa" w:w="100"/>
              <w:bottom w:type="dxa" w:w="60"/>
              <w:right w:type="dxa" w:w="100"/>
            </w:tcMar>
          </w:tcPr>
          <w:p>
            <w:r>
              <w:rPr>
                <w:color w:val="1C1C1C"/>
                <w:sz w:val="20"/>
                <w:szCs w:val="20"/>
              </w:rPr>
              <w:t xml:space="preserve">Incineration (焚化)</w:t>
            </w:r>
          </w:p>
        </w:tc>
        <w:tc>
          <w:tcPr>
            <w:shd w:color="FFFFFF" w:val="solid"/>
            <w:tcMar>
              <w:top w:type="dxa" w:w="60"/>
              <w:left w:type="dxa" w:w="100"/>
              <w:bottom w:type="dxa" w:w="60"/>
              <w:right w:type="dxa" w:w="100"/>
            </w:tcMar>
          </w:tcPr>
          <w:p>
            <w:r>
              <w:rPr>
                <w:color w:val="1C1C1C"/>
                <w:sz w:val="20"/>
                <w:szCs w:val="20"/>
              </w:rPr>
              <w:t xml:space="preserve">Last resort</w:t>
            </w:r>
          </w:p>
        </w:tc>
        <w:tc>
          <w:tcPr>
            <w:shd w:color="FFFFFF" w:val="solid"/>
            <w:tcMar>
              <w:top w:type="dxa" w:w="60"/>
              <w:left w:type="dxa" w:w="100"/>
              <w:bottom w:type="dxa" w:w="60"/>
              <w:right w:type="dxa" w:w="100"/>
            </w:tcMar>
          </w:tcPr>
          <w:p>
            <w:r>
              <w:rPr>
                <w:color w:val="1C1C1C"/>
                <w:sz w:val="20"/>
                <w:szCs w:val="20"/>
              </w:rPr>
              <w:t xml:space="preserve">Energy only</w:t>
            </w:r>
          </w:p>
        </w:tc>
      </w:tr>
    </w:tbl>
    <w:p>
      <w:pPr>
        <w:spacing w:before="80"/>
      </w:pPr>
    </w:p>
    <w:p>
      <w:pPr>
        <w:pBdr>
          <w:left w:val="thick" w:color="00A86B" w:sz="12"/>
        </w:pBdr>
        <w:shd w:color="F0F7F4" w:val="solid"/>
        <w:spacing w:after="120" w:before="120"/>
        <w:ind w:left="576"/>
      </w:pPr>
      <w:r>
        <w:rPr>
          <w:i/>
          <w:iCs/>
          <w:color w:val="1A3C5E"/>
          <w:sz w:val="22"/>
          <w:szCs w:val="22"/>
        </w:rPr>
        <w:t xml:space="preserve">BSF (黑水虻) is explicitly named by Taiwan's Ministry of Environment as an official food waste alternative. This is not a startup hypothesis — it is government-validated technology with active policy support and funding available.</w:t>
      </w:r>
    </w:p>
    <w:p>
      <w:pPr>
        <w:pBdr>
          <w:bottom w:val="single" w:color="00A86B" w:sz="6"/>
        </w:pBdr>
        <w:spacing w:after="160" w:before="320"/>
      </w:pPr>
      <w:r>
        <w:rPr>
          <w:b/>
          <w:bCs/>
          <w:color w:val="1A3C5E"/>
          <w:sz w:val="28"/>
          <w:szCs w:val="28"/>
        </w:rPr>
        <w:t xml:space="preserve">Why BSF Wins vs. All 3 Other Official Alternatives</w:t>
      </w: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gridCol w:w="100"/>
        <w:gridCol w:w="100"/>
      </w:tblGrid>
      <w:tr>
        <w:trPr>
          <w:tblHeader/>
        </w:trPr>
        <w:tc>
          <w:tcPr>
            <w:shd w:color="1A3C5E" w:val="solid"/>
            <w:tcMar>
              <w:top w:type="dxa" w:w="80"/>
              <w:left w:type="dxa" w:w="100"/>
              <w:bottom w:type="dxa" w:w="80"/>
              <w:right w:type="dxa" w:w="100"/>
            </w:tcMar>
          </w:tcPr>
          <w:p>
            <w:pPr>
              <w:jc w:val="center"/>
            </w:pPr>
            <w:r>
              <w:rPr>
                <w:b/>
                <w:bCs/>
                <w:color w:val="FFFFFF"/>
                <w:sz w:val="20"/>
                <w:szCs w:val="20"/>
              </w:rPr>
              <w:t xml:space="preserve">Factor</w:t>
            </w:r>
          </w:p>
        </w:tc>
        <w:tc>
          <w:tcPr>
            <w:shd w:color="1A3C5E" w:val="solid"/>
            <w:tcMar>
              <w:top w:type="dxa" w:w="80"/>
              <w:left w:type="dxa" w:w="100"/>
              <w:bottom w:type="dxa" w:w="80"/>
              <w:right w:type="dxa" w:w="100"/>
            </w:tcMar>
          </w:tcPr>
          <w:p>
            <w:pPr>
              <w:jc w:val="center"/>
            </w:pPr>
            <w:r>
              <w:rPr>
                <w:b/>
                <w:bCs/>
                <w:color w:val="FFFFFF"/>
                <w:sz w:val="20"/>
                <w:szCs w:val="20"/>
              </w:rPr>
              <w:t xml:space="preserve">Composting</w:t>
            </w:r>
          </w:p>
        </w:tc>
        <w:tc>
          <w:tcPr>
            <w:shd w:color="1A3C5E" w:val="solid"/>
            <w:tcMar>
              <w:top w:type="dxa" w:w="80"/>
              <w:left w:type="dxa" w:w="100"/>
              <w:bottom w:type="dxa" w:w="80"/>
              <w:right w:type="dxa" w:w="100"/>
            </w:tcMar>
          </w:tcPr>
          <w:p>
            <w:pPr>
              <w:jc w:val="center"/>
            </w:pPr>
            <w:r>
              <w:rPr>
                <w:b/>
                <w:bCs/>
                <w:color w:val="FFFFFF"/>
                <w:sz w:val="20"/>
                <w:szCs w:val="20"/>
              </w:rPr>
              <w:t xml:space="preserve">Anaerobic Digestion</w:t>
            </w:r>
          </w:p>
        </w:tc>
        <w:tc>
          <w:tcPr>
            <w:shd w:color="1A3C5E" w:val="solid"/>
            <w:tcMar>
              <w:top w:type="dxa" w:w="80"/>
              <w:left w:type="dxa" w:w="100"/>
              <w:bottom w:type="dxa" w:w="80"/>
              <w:right w:type="dxa" w:w="100"/>
            </w:tcMar>
          </w:tcPr>
          <w:p>
            <w:pPr>
              <w:jc w:val="center"/>
            </w:pPr>
            <w:r>
              <w:rPr>
                <w:b/>
                <w:bCs/>
                <w:color w:val="FFFFFF"/>
                <w:sz w:val="20"/>
                <w:szCs w:val="20"/>
              </w:rPr>
              <w:t xml:space="preserve">BSF (Our Solution)</w:t>
            </w:r>
          </w:p>
        </w:tc>
        <w:tc>
          <w:tcPr>
            <w:shd w:color="1A3C5E" w:val="solid"/>
            <w:tcMar>
              <w:top w:type="dxa" w:w="80"/>
              <w:left w:type="dxa" w:w="100"/>
              <w:bottom w:type="dxa" w:w="80"/>
              <w:right w:type="dxa" w:w="100"/>
            </w:tcMar>
          </w:tcPr>
          <w:p>
            <w:pPr>
              <w:jc w:val="center"/>
            </w:pPr>
            <w:r>
              <w:rPr>
                <w:b/>
                <w:bCs/>
                <w:color w:val="FFFFFF"/>
                <w:sz w:val="20"/>
                <w:szCs w:val="20"/>
              </w:rPr>
              <w:t xml:space="preserve">Incineration</w:t>
            </w:r>
          </w:p>
        </w:tc>
      </w:tr>
      <w:tr>
        <w:tc>
          <w:tcPr>
            <w:shd w:color="F7FBFA" w:val="solid"/>
            <w:tcMar>
              <w:top w:type="dxa" w:w="60"/>
              <w:left w:type="dxa" w:w="100"/>
              <w:bottom w:type="dxa" w:w="60"/>
              <w:right w:type="dxa" w:w="100"/>
            </w:tcMar>
          </w:tcPr>
          <w:p>
            <w:r>
              <w:rPr>
                <w:color w:val="1C1C1C"/>
                <w:sz w:val="20"/>
                <w:szCs w:val="20"/>
              </w:rPr>
              <w:t xml:space="preserve">High-fat/oil waste?</w:t>
            </w:r>
          </w:p>
        </w:tc>
        <w:tc>
          <w:tcPr>
            <w:shd w:color="F7FBFA" w:val="solid"/>
            <w:tcMar>
              <w:top w:type="dxa" w:w="60"/>
              <w:left w:type="dxa" w:w="100"/>
              <w:bottom w:type="dxa" w:w="60"/>
              <w:right w:type="dxa" w:w="100"/>
            </w:tcMar>
          </w:tcPr>
          <w:p>
            <w:r>
              <w:rPr>
                <w:color w:val="1C1C1C"/>
                <w:sz w:val="20"/>
                <w:szCs w:val="20"/>
              </w:rPr>
              <w:t xml:space="preserve">Kills bacteria ✗</w:t>
            </w:r>
          </w:p>
        </w:tc>
        <w:tc>
          <w:tcPr>
            <w:shd w:color="F7FBFA" w:val="solid"/>
            <w:tcMar>
              <w:top w:type="dxa" w:w="60"/>
              <w:left w:type="dxa" w:w="100"/>
              <w:bottom w:type="dxa" w:w="60"/>
              <w:right w:type="dxa" w:w="100"/>
            </w:tcMar>
          </w:tcPr>
          <w:p>
            <w:r>
              <w:rPr>
                <w:color w:val="1C1C1C"/>
                <w:sz w:val="20"/>
                <w:szCs w:val="20"/>
              </w:rPr>
              <w:t xml:space="preserve">Partial ⚠</w:t>
            </w:r>
          </w:p>
        </w:tc>
        <w:tc>
          <w:tcPr>
            <w:shd w:color="F7FBFA" w:val="solid"/>
            <w:tcMar>
              <w:top w:type="dxa" w:w="60"/>
              <w:left w:type="dxa" w:w="100"/>
              <w:bottom w:type="dxa" w:w="60"/>
              <w:right w:type="dxa" w:w="100"/>
            </w:tcMar>
          </w:tcPr>
          <w:p>
            <w:r>
              <w:rPr>
                <w:color w:val="1C1C1C"/>
                <w:sz w:val="20"/>
                <w:szCs w:val="20"/>
              </w:rPr>
              <w:t xml:space="preserve">YES ✓</w:t>
            </w:r>
          </w:p>
        </w:tc>
        <w:tc>
          <w:tcPr>
            <w:shd w:color="F7FBFA" w:val="solid"/>
            <w:tcMar>
              <w:top w:type="dxa" w:w="60"/>
              <w:left w:type="dxa" w:w="100"/>
              <w:bottom w:type="dxa" w:w="60"/>
              <w:right w:type="dxa" w:w="100"/>
            </w:tcMar>
          </w:tcPr>
          <w:p>
            <w:r>
              <w:rPr>
                <w:color w:val="1C1C1C"/>
                <w:sz w:val="20"/>
                <w:szCs w:val="20"/>
              </w:rPr>
              <w:t xml:space="preserve">Burns ✓</w:t>
            </w:r>
          </w:p>
        </w:tc>
      </w:tr>
      <w:tr>
        <w:tc>
          <w:tcPr>
            <w:shd w:color="FFFFFF" w:val="solid"/>
            <w:tcMar>
              <w:top w:type="dxa" w:w="60"/>
              <w:left w:type="dxa" w:w="100"/>
              <w:bottom w:type="dxa" w:w="60"/>
              <w:right w:type="dxa" w:w="100"/>
            </w:tcMar>
          </w:tcPr>
          <w:p>
            <w:r>
              <w:rPr>
                <w:color w:val="1C1C1C"/>
                <w:sz w:val="20"/>
                <w:szCs w:val="20"/>
              </w:rPr>
              <w:t xml:space="preserve">Urban proximity?</w:t>
            </w:r>
          </w:p>
        </w:tc>
        <w:tc>
          <w:tcPr>
            <w:shd w:color="FFFFFF" w:val="solid"/>
            <w:tcMar>
              <w:top w:type="dxa" w:w="60"/>
              <w:left w:type="dxa" w:w="100"/>
              <w:bottom w:type="dxa" w:w="60"/>
              <w:right w:type="dxa" w:w="100"/>
            </w:tcMar>
          </w:tcPr>
          <w:p>
            <w:r>
              <w:rPr>
                <w:color w:val="1C1C1C"/>
                <w:sz w:val="20"/>
                <w:szCs w:val="20"/>
              </w:rPr>
              <w:t xml:space="preserve">Needs land ✗</w:t>
            </w:r>
          </w:p>
        </w:tc>
        <w:tc>
          <w:tcPr>
            <w:shd w:color="FFFFFF" w:val="solid"/>
            <w:tcMar>
              <w:top w:type="dxa" w:w="60"/>
              <w:left w:type="dxa" w:w="100"/>
              <w:bottom w:type="dxa" w:w="60"/>
              <w:right w:type="dxa" w:w="100"/>
            </w:tcMar>
          </w:tcPr>
          <w:p>
            <w:r>
              <w:rPr>
                <w:color w:val="1C1C1C"/>
                <w:sz w:val="20"/>
                <w:szCs w:val="20"/>
              </w:rPr>
              <w:t xml:space="preserve">Plant-scale ✗</w:t>
            </w:r>
          </w:p>
        </w:tc>
        <w:tc>
          <w:tcPr>
            <w:shd w:color="FFFFFF" w:val="solid"/>
            <w:tcMar>
              <w:top w:type="dxa" w:w="60"/>
              <w:left w:type="dxa" w:w="100"/>
              <w:bottom w:type="dxa" w:w="60"/>
              <w:right w:type="dxa" w:w="100"/>
            </w:tcMar>
          </w:tcPr>
          <w:p>
            <w:r>
              <w:rPr>
                <w:color w:val="1C1C1C"/>
                <w:sz w:val="20"/>
                <w:szCs w:val="20"/>
              </w:rPr>
              <w:t xml:space="preserve">Container-size ✓</w:t>
            </w:r>
          </w:p>
        </w:tc>
        <w:tc>
          <w:tcPr>
            <w:shd w:color="FFFFFF" w:val="solid"/>
            <w:tcMar>
              <w:top w:type="dxa" w:w="60"/>
              <w:left w:type="dxa" w:w="100"/>
              <w:bottom w:type="dxa" w:w="60"/>
              <w:right w:type="dxa" w:w="100"/>
            </w:tcMar>
          </w:tcPr>
          <w:p>
            <w:r>
              <w:rPr>
                <w:color w:val="1C1C1C"/>
                <w:sz w:val="20"/>
                <w:szCs w:val="20"/>
              </w:rPr>
              <w:t xml:space="preserve">Plant-scale ✗</w:t>
            </w:r>
          </w:p>
        </w:tc>
      </w:tr>
      <w:tr>
        <w:tc>
          <w:tcPr>
            <w:shd w:color="F7FBFA" w:val="solid"/>
            <w:tcMar>
              <w:top w:type="dxa" w:w="60"/>
              <w:left w:type="dxa" w:w="100"/>
              <w:bottom w:type="dxa" w:w="60"/>
              <w:right w:type="dxa" w:w="100"/>
            </w:tcMar>
          </w:tcPr>
          <w:p>
            <w:r>
              <w:rPr>
                <w:color w:val="1C1C1C"/>
                <w:sz w:val="20"/>
                <w:szCs w:val="20"/>
              </w:rPr>
              <w:t xml:space="preserve">Output value</w:t>
            </w:r>
          </w:p>
        </w:tc>
        <w:tc>
          <w:tcPr>
            <w:shd w:color="F7FBFA" w:val="solid"/>
            <w:tcMar>
              <w:top w:type="dxa" w:w="60"/>
              <w:left w:type="dxa" w:w="100"/>
              <w:bottom w:type="dxa" w:w="60"/>
              <w:right w:type="dxa" w:w="100"/>
            </w:tcMar>
          </w:tcPr>
          <w:p>
            <w:r>
              <w:rPr>
                <w:color w:val="1C1C1C"/>
                <w:sz w:val="20"/>
                <w:szCs w:val="20"/>
              </w:rPr>
              <w:t xml:space="preserve">Low (compost)</w:t>
            </w:r>
          </w:p>
        </w:tc>
        <w:tc>
          <w:tcPr>
            <w:shd w:color="F7FBFA" w:val="solid"/>
            <w:tcMar>
              <w:top w:type="dxa" w:w="60"/>
              <w:left w:type="dxa" w:w="100"/>
              <w:bottom w:type="dxa" w:w="60"/>
              <w:right w:type="dxa" w:w="100"/>
            </w:tcMar>
          </w:tcPr>
          <w:p>
            <w:r>
              <w:rPr>
                <w:color w:val="1C1C1C"/>
                <w:sz w:val="20"/>
                <w:szCs w:val="20"/>
              </w:rPr>
              <w:t xml:space="preserve">Medium (energy)</w:t>
            </w:r>
          </w:p>
        </w:tc>
        <w:tc>
          <w:tcPr>
            <w:shd w:color="F7FBFA" w:val="solid"/>
            <w:tcMar>
              <w:top w:type="dxa" w:w="60"/>
              <w:left w:type="dxa" w:w="100"/>
              <w:bottom w:type="dxa" w:w="60"/>
              <w:right w:type="dxa" w:w="100"/>
            </w:tcMar>
          </w:tcPr>
          <w:p>
            <w:r>
              <w:rPr>
                <w:color w:val="1C1C1C"/>
                <w:sz w:val="20"/>
                <w:szCs w:val="20"/>
              </w:rPr>
              <w:t xml:space="preserve">HIGH (protein+fertilizer) ✓</w:t>
            </w:r>
          </w:p>
        </w:tc>
        <w:tc>
          <w:tcPr>
            <w:shd w:color="F7FBFA" w:val="solid"/>
            <w:tcMar>
              <w:top w:type="dxa" w:w="60"/>
              <w:left w:type="dxa" w:w="100"/>
              <w:bottom w:type="dxa" w:w="60"/>
              <w:right w:type="dxa" w:w="100"/>
            </w:tcMar>
          </w:tcPr>
          <w:p>
            <w:r>
              <w:rPr>
                <w:color w:val="1C1C1C"/>
                <w:sz w:val="20"/>
                <w:szCs w:val="20"/>
              </w:rPr>
              <w:t xml:space="preserve">None</w:t>
            </w:r>
          </w:p>
        </w:tc>
      </w:tr>
      <w:tr>
        <w:tc>
          <w:tcPr>
            <w:shd w:color="FFFFFF" w:val="solid"/>
            <w:tcMar>
              <w:top w:type="dxa" w:w="60"/>
              <w:left w:type="dxa" w:w="100"/>
              <w:bottom w:type="dxa" w:w="60"/>
              <w:right w:type="dxa" w:w="100"/>
            </w:tcMar>
          </w:tcPr>
          <w:p>
            <w:r>
              <w:rPr>
                <w:color w:val="1C1C1C"/>
                <w:sz w:val="20"/>
                <w:szCs w:val="20"/>
              </w:rPr>
              <w:t xml:space="preserve">Processing speed</w:t>
            </w:r>
          </w:p>
        </w:tc>
        <w:tc>
          <w:tcPr>
            <w:shd w:color="FFFFFF" w:val="solid"/>
            <w:tcMar>
              <w:top w:type="dxa" w:w="60"/>
              <w:left w:type="dxa" w:w="100"/>
              <w:bottom w:type="dxa" w:w="60"/>
              <w:right w:type="dxa" w:w="100"/>
            </w:tcMar>
          </w:tcPr>
          <w:p>
            <w:r>
              <w:rPr>
                <w:color w:val="1C1C1C"/>
                <w:sz w:val="20"/>
                <w:szCs w:val="20"/>
              </w:rPr>
              <w:t xml:space="preserve">60-180 days</w:t>
            </w:r>
          </w:p>
        </w:tc>
        <w:tc>
          <w:tcPr>
            <w:shd w:color="FFFFFF" w:val="solid"/>
            <w:tcMar>
              <w:top w:type="dxa" w:w="60"/>
              <w:left w:type="dxa" w:w="100"/>
              <w:bottom w:type="dxa" w:w="60"/>
              <w:right w:type="dxa" w:w="100"/>
            </w:tcMar>
          </w:tcPr>
          <w:p>
            <w:r>
              <w:rPr>
                <w:color w:val="1C1C1C"/>
                <w:sz w:val="20"/>
                <w:szCs w:val="20"/>
              </w:rPr>
              <w:t xml:space="preserve">20-40 days</w:t>
            </w:r>
          </w:p>
        </w:tc>
        <w:tc>
          <w:tcPr>
            <w:shd w:color="FFFFFF" w:val="solid"/>
            <w:tcMar>
              <w:top w:type="dxa" w:w="60"/>
              <w:left w:type="dxa" w:w="100"/>
              <w:bottom w:type="dxa" w:w="60"/>
              <w:right w:type="dxa" w:w="100"/>
            </w:tcMar>
          </w:tcPr>
          <w:p>
            <w:r>
              <w:rPr>
                <w:color w:val="1C1C1C"/>
                <w:sz w:val="20"/>
                <w:szCs w:val="20"/>
              </w:rPr>
              <w:t xml:space="preserve">7-14 days ✓</w:t>
            </w:r>
          </w:p>
        </w:tc>
        <w:tc>
          <w:tcPr>
            <w:shd w:color="FFFFFF" w:val="solid"/>
            <w:tcMar>
              <w:top w:type="dxa" w:w="60"/>
              <w:left w:type="dxa" w:w="100"/>
              <w:bottom w:type="dxa" w:w="60"/>
              <w:right w:type="dxa" w:w="100"/>
            </w:tcMar>
          </w:tcPr>
          <w:p>
            <w:r>
              <w:rPr>
                <w:color w:val="1C1C1C"/>
                <w:sz w:val="20"/>
                <w:szCs w:val="20"/>
              </w:rPr>
              <w:t xml:space="preserve">&lt;1 day</w:t>
            </w:r>
          </w:p>
        </w:tc>
      </w:tr>
      <w:tr>
        <w:tc>
          <w:tcPr>
            <w:shd w:color="F7FBFA" w:val="solid"/>
            <w:tcMar>
              <w:top w:type="dxa" w:w="60"/>
              <w:left w:type="dxa" w:w="100"/>
              <w:bottom w:type="dxa" w:w="60"/>
              <w:right w:type="dxa" w:w="100"/>
            </w:tcMar>
          </w:tcPr>
          <w:p>
            <w:r>
              <w:rPr>
                <w:color w:val="1C1C1C"/>
                <w:sz w:val="20"/>
                <w:szCs w:val="20"/>
              </w:rPr>
              <w:t xml:space="preserve">Fixes protein import gap?</w:t>
            </w:r>
          </w:p>
        </w:tc>
        <w:tc>
          <w:tcPr>
            <w:shd w:color="F7FBFA" w:val="solid"/>
            <w:tcMar>
              <w:top w:type="dxa" w:w="60"/>
              <w:left w:type="dxa" w:w="100"/>
              <w:bottom w:type="dxa" w:w="60"/>
              <w:right w:type="dxa" w:w="100"/>
            </w:tcMar>
          </w:tcPr>
          <w:p>
            <w:r>
              <w:rPr>
                <w:color w:val="1C1C1C"/>
                <w:sz w:val="20"/>
                <w:szCs w:val="20"/>
              </w:rPr>
              <w:t xml:space="preserve">No ✗</w:t>
            </w:r>
          </w:p>
        </w:tc>
        <w:tc>
          <w:tcPr>
            <w:shd w:color="F7FBFA" w:val="solid"/>
            <w:tcMar>
              <w:top w:type="dxa" w:w="60"/>
              <w:left w:type="dxa" w:w="100"/>
              <w:bottom w:type="dxa" w:w="60"/>
              <w:right w:type="dxa" w:w="100"/>
            </w:tcMar>
          </w:tcPr>
          <w:p>
            <w:r>
              <w:rPr>
                <w:color w:val="1C1C1C"/>
                <w:sz w:val="20"/>
                <w:szCs w:val="20"/>
              </w:rPr>
              <w:t xml:space="preserve">No ✗</w:t>
            </w:r>
          </w:p>
        </w:tc>
        <w:tc>
          <w:tcPr>
            <w:shd w:color="F7FBFA" w:val="solid"/>
            <w:tcMar>
              <w:top w:type="dxa" w:w="60"/>
              <w:left w:type="dxa" w:w="100"/>
              <w:bottom w:type="dxa" w:w="60"/>
              <w:right w:type="dxa" w:w="100"/>
            </w:tcMar>
          </w:tcPr>
          <w:p>
            <w:r>
              <w:rPr>
                <w:color w:val="1C1C1C"/>
                <w:sz w:val="20"/>
                <w:szCs w:val="20"/>
              </w:rPr>
              <w:t xml:space="preserve">YES ✓</w:t>
            </w:r>
          </w:p>
        </w:tc>
        <w:tc>
          <w:tcPr>
            <w:shd w:color="F7FBFA" w:val="solid"/>
            <w:tcMar>
              <w:top w:type="dxa" w:w="60"/>
              <w:left w:type="dxa" w:w="100"/>
              <w:bottom w:type="dxa" w:w="60"/>
              <w:right w:type="dxa" w:w="100"/>
            </w:tcMar>
          </w:tcPr>
          <w:p>
            <w:r>
              <w:rPr>
                <w:color w:val="1C1C1C"/>
                <w:sz w:val="20"/>
                <w:szCs w:val="20"/>
              </w:rPr>
              <w:t xml:space="preserve">No ✗</w:t>
            </w:r>
          </w:p>
        </w:tc>
      </w:tr>
      <w:tr>
        <w:tc>
          <w:tcPr>
            <w:shd w:color="FFFFFF" w:val="solid"/>
            <w:tcMar>
              <w:top w:type="dxa" w:w="60"/>
              <w:left w:type="dxa" w:w="100"/>
              <w:bottom w:type="dxa" w:w="60"/>
              <w:right w:type="dxa" w:w="100"/>
            </w:tcMar>
          </w:tcPr>
          <w:p>
            <w:r>
              <w:rPr>
                <w:color w:val="1C1C1C"/>
                <w:sz w:val="20"/>
                <w:szCs w:val="20"/>
              </w:rPr>
              <w:t xml:space="preserve">Revenue generating?</w:t>
            </w:r>
          </w:p>
        </w:tc>
        <w:tc>
          <w:tcPr>
            <w:shd w:color="FFFFFF" w:val="solid"/>
            <w:tcMar>
              <w:top w:type="dxa" w:w="60"/>
              <w:left w:type="dxa" w:w="100"/>
              <w:bottom w:type="dxa" w:w="60"/>
              <w:right w:type="dxa" w:w="100"/>
            </w:tcMar>
          </w:tcPr>
          <w:p>
            <w:r>
              <w:rPr>
                <w:color w:val="1C1C1C"/>
                <w:sz w:val="20"/>
                <w:szCs w:val="20"/>
              </w:rPr>
              <w:t xml:space="preserve">Low</w:t>
            </w:r>
          </w:p>
        </w:tc>
        <w:tc>
          <w:tcPr>
            <w:shd w:color="FFFFFF" w:val="solid"/>
            <w:tcMar>
              <w:top w:type="dxa" w:w="60"/>
              <w:left w:type="dxa" w:w="100"/>
              <w:bottom w:type="dxa" w:w="60"/>
              <w:right w:type="dxa" w:w="100"/>
            </w:tcMar>
          </w:tcPr>
          <w:p>
            <w:r>
              <w:rPr>
                <w:color w:val="1C1C1C"/>
                <w:sz w:val="20"/>
                <w:szCs w:val="20"/>
              </w:rPr>
              <w:t xml:space="preserve">Medium</w:t>
            </w:r>
          </w:p>
        </w:tc>
        <w:tc>
          <w:tcPr>
            <w:shd w:color="FFFFFF" w:val="solid"/>
            <w:tcMar>
              <w:top w:type="dxa" w:w="60"/>
              <w:left w:type="dxa" w:w="100"/>
              <w:bottom w:type="dxa" w:w="60"/>
              <w:right w:type="dxa" w:w="100"/>
            </w:tcMar>
          </w:tcPr>
          <w:p>
            <w:r>
              <w:rPr>
                <w:color w:val="1C1C1C"/>
                <w:sz w:val="20"/>
                <w:szCs w:val="20"/>
              </w:rPr>
              <w:t xml:space="preserve">HIGH ✓</w:t>
            </w:r>
          </w:p>
        </w:tc>
        <w:tc>
          <w:tcPr>
            <w:shd w:color="FFFFFF" w:val="solid"/>
            <w:tcMar>
              <w:top w:type="dxa" w:w="60"/>
              <w:left w:type="dxa" w:w="100"/>
              <w:bottom w:type="dxa" w:w="60"/>
              <w:right w:type="dxa" w:w="100"/>
            </w:tcMar>
          </w:tcPr>
          <w:p>
            <w:r>
              <w:rPr>
                <w:color w:val="1C1C1C"/>
                <w:sz w:val="20"/>
                <w:szCs w:val="20"/>
              </w:rPr>
              <w:t xml:space="preserve">None</w:t>
            </w:r>
          </w:p>
        </w:tc>
      </w:tr>
    </w:tbl>
    <w:p>
      <w:pPr>
        <w:spacing w:before="80"/>
      </w:pPr>
    </w:p>
    <w:p>
      <w:pPr>
        <w:spacing w:after="120" w:before="240"/>
      </w:pPr>
      <w:r>
        <w:rPr>
          <w:b/>
          <w:bCs/>
          <w:color w:val="00A86B"/>
          <w:sz w:val="24"/>
          <w:szCs w:val="24"/>
        </w:rPr>
        <w:t xml:space="preserve">Government Subsidy Opportunities</w:t>
      </w:r>
    </w:p>
    <w:p>
      <w:pPr>
        <w:pStyle w:val="ListParagraph"/>
        <w:numPr>
          <w:ilvl w:val="0"/>
          <w:numId w:val="1"/>
        </w:numPr>
        <w:spacing w:after="60" w:before="40"/>
      </w:pPr>
      <w:r>
        <w:rPr>
          <w:color w:val="1C1C1C"/>
          <w:sz w:val="22"/>
          <w:szCs w:val="22"/>
        </w:rPr>
        <w:t xml:space="preserve">Per-pig-head feed transition subsidy: NT$3,600/head — as pig farms exit waste processing, B2G contracts emerge for BSF operators to take over collections.</w:t>
      </w:r>
    </w:p>
    <w:p>
      <w:pPr>
        <w:pStyle w:val="ListParagraph"/>
        <w:numPr>
          <w:ilvl w:val="0"/>
          <w:numId w:val="1"/>
        </w:numPr>
        <w:spacing w:after="60" w:before="40"/>
      </w:pPr>
      <w:r>
        <w:rPr>
          <w:color w:val="1C1C1C"/>
          <w:sz w:val="22"/>
          <w:szCs w:val="22"/>
        </w:rPr>
        <w:t xml:space="preserve">Ministry of Environment target: 2,119 tonnes/day processing capacity by end of 2027 — active funding for new food waste processors.</w:t>
      </w:r>
    </w:p>
    <w:p>
      <w:pPr>
        <w:pStyle w:val="ListParagraph"/>
        <w:numPr>
          <w:ilvl w:val="0"/>
          <w:numId w:val="1"/>
        </w:numPr>
        <w:spacing w:after="60" w:before="40"/>
      </w:pPr>
      <w:r>
        <w:rPr>
          <w:color w:val="1C1C1C"/>
          <w:sz w:val="22"/>
          <w:szCs w:val="22"/>
        </w:rPr>
        <w:t xml:space="preserve">Council of Agriculture (農業部) biotech grants: Urban BSF facilities may qualify under biosecurity investment programs.</w:t>
      </w:r>
    </w:p>
    <w:p>
      <w:r>
        <w:br w:type="page"/>
      </w:r>
    </w:p>
    <w:p>
      <w:pPr>
        <w:pStyle w:val="Heading1"/>
        <w:spacing w:after="200" w:before="400"/>
        <w:rPr>
          <w:b/>
          <w:bCs/>
          <w:color w:val="1A3C5E"/>
        </w:rPr>
      </w:pPr>
      <w:r>
        <w:t xml:space="preserve">Executive Summary</w:t>
      </w:r>
    </w:p>
    <w:p>
      <w:pPr>
        <w:spacing w:after="100" w:before="80"/>
      </w:pPr>
      <w:r>
        <w:rPr>
          <w:color w:val="1C1C1C"/>
          <w:sz w:val="22"/>
          <w:szCs w:val="22"/>
        </w:rPr>
        <w:t xml:space="preserve">This document synthesizes comprehensive academic and industry research across two flagship social enterprise proposals submitted for the 6th Taiwan Yunus Social Business Innovation Award. Both projects address Taiwan's critical environmental gaps—the failure of 'surface-level' recycling and the urban organic waste crisis—using frontier biotechnology and AI.</w:t>
      </w:r>
    </w:p>
    <w:p>
      <w:pPr>
        <w:spacing w:after="100" w:before="80"/>
      </w:pPr>
      <w:r>
        <w:rPr>
          <w:color w:val="1C1C1C"/>
          <w:sz w:val="22"/>
          <w:szCs w:val="22"/>
        </w:rPr>
        <w:t xml:space="preserve">The AI Trash Scanner uses Near-Infrared (NIR) spectroscopy and computer vision (YOLOv8) to achieve molecular-level material identification, raising recycling purity from current contaminated levels to 99.5%+. The BSF Bio-Loop converts night market food waste into premium insect protein and organic fertilizer within 12 days, replacing imported fishmeal and eliminating incineration of wet waste.</w:t>
      </w:r>
    </w:p>
    <w:p>
      <w:pPr>
        <w:pBdr>
          <w:left w:val="thick" w:color="00A86B" w:sz="12"/>
        </w:pBdr>
        <w:shd w:color="F0F7F4" w:val="solid"/>
        <w:spacing w:after="120" w:before="120"/>
        <w:ind w:left="576"/>
      </w:pPr>
      <w:r>
        <w:rPr>
          <w:i/>
          <w:iCs/>
          <w:color w:val="1A3C5E"/>
          <w:sz w:val="22"/>
          <w:szCs w:val="22"/>
        </w:rPr>
        <w:t xml:space="preserve">Together, these projects form an integrated circular economy system where the Trash Scanner produces cleaner material streams and the BSF Bio-Loop converts residual organic waste into high-value protein and fertilizer. Synergistically, they address Yunus's three zeroes: Zero Carbon, Zero Poverty, and Zero Unemployment.</w:t>
      </w:r>
    </w:p>
    <w:p>
      <w:pPr>
        <w:pBdr>
          <w:bottom w:val="single" w:color="00A86B" w:sz="4"/>
        </w:pBdr>
        <w:spacing w:after="200" w:before="200"/>
      </w:pPr>
    </w:p>
    <w:p>
      <w:r>
        <w:br w:type="page"/>
      </w:r>
    </w:p>
    <w:p>
      <w:pPr>
        <w:pStyle w:val="Heading1"/>
        <w:spacing w:after="200" w:before="400"/>
        <w:rPr>
          <w:b/>
          <w:bCs/>
          <w:color w:val="1A3C5E"/>
        </w:rPr>
      </w:pPr>
      <w:r>
        <w:t xml:space="preserve">PART I — AI Trash Scanner: Molecular Sorting System</w:t>
      </w:r>
    </w:p>
    <w:p>
      <w:pPr>
        <w:pBdr>
          <w:bottom w:val="single" w:color="00A86B" w:sz="6"/>
        </w:pBdr>
        <w:spacing w:after="160" w:before="320"/>
      </w:pPr>
      <w:r>
        <w:rPr>
          <w:b/>
          <w:bCs/>
          <w:color w:val="1A3C5E"/>
          <w:sz w:val="28"/>
          <w:szCs w:val="28"/>
        </w:rPr>
        <w:t xml:space="preserve">1.1  The Problem: Taiwan's Recycling Illusion</w:t>
      </w:r>
    </w:p>
    <w:p>
      <w:pPr>
        <w:spacing w:after="100" w:before="80"/>
      </w:pPr>
      <w:r>
        <w:rPr>
          <w:color w:val="1C1C1C"/>
          <w:sz w:val="22"/>
          <w:szCs w:val="22"/>
        </w:rPr>
        <w:t xml:space="preserve">Taiwan reports a 59.6% municipal solid waste recycling rate and a 96.7% waste recovery rate in 2024 (Taiwan Ministry of Environment). However, these figures mask a critical systemic failure: molecular purity. Surface-level sorting cannot distinguish PET from PLA, or paper cups with PE-liners from plain paper napkins.</w:t>
      </w:r>
    </w:p>
    <w:p>
      <w:pPr>
        <w:spacing w:after="120" w:before="240"/>
      </w:pPr>
      <w:r>
        <w:rPr>
          <w:b/>
          <w:bCs/>
          <w:color w:val="00A86B"/>
          <w:sz w:val="24"/>
          <w:szCs w:val="24"/>
        </w:rPr>
        <w:t xml:space="preserve">Key Statistics (2024)</w:t>
      </w: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tblGrid>
      <w:tr>
        <w:trPr>
          <w:tblHeader/>
        </w:trPr>
        <w:tc>
          <w:tcPr>
            <w:shd w:color="1A3C5E" w:val="solid"/>
            <w:tcMar>
              <w:top w:type="dxa" w:w="80"/>
              <w:left w:type="dxa" w:w="100"/>
              <w:bottom w:type="dxa" w:w="80"/>
              <w:right w:type="dxa" w:w="100"/>
            </w:tcMar>
          </w:tcPr>
          <w:p>
            <w:pPr>
              <w:jc w:val="center"/>
            </w:pPr>
            <w:r>
              <w:rPr>
                <w:b/>
                <w:bCs/>
                <w:color w:val="FFFFFF"/>
                <w:sz w:val="20"/>
                <w:szCs w:val="20"/>
              </w:rPr>
              <w:t xml:space="preserve">Metric</w:t>
            </w:r>
          </w:p>
        </w:tc>
        <w:tc>
          <w:tcPr>
            <w:shd w:color="1A3C5E" w:val="solid"/>
            <w:tcMar>
              <w:top w:type="dxa" w:w="80"/>
              <w:left w:type="dxa" w:w="100"/>
              <w:bottom w:type="dxa" w:w="80"/>
              <w:right w:type="dxa" w:w="100"/>
            </w:tcMar>
          </w:tcPr>
          <w:p>
            <w:pPr>
              <w:jc w:val="center"/>
            </w:pPr>
            <w:r>
              <w:rPr>
                <w:b/>
                <w:bCs/>
                <w:color w:val="FFFFFF"/>
                <w:sz w:val="20"/>
                <w:szCs w:val="20"/>
              </w:rPr>
              <w:t xml:space="preserve">Value</w:t>
            </w:r>
          </w:p>
        </w:tc>
        <w:tc>
          <w:tcPr>
            <w:shd w:color="1A3C5E" w:val="solid"/>
            <w:tcMar>
              <w:top w:type="dxa" w:w="80"/>
              <w:left w:type="dxa" w:w="100"/>
              <w:bottom w:type="dxa" w:w="80"/>
              <w:right w:type="dxa" w:w="100"/>
            </w:tcMar>
          </w:tcPr>
          <w:p>
            <w:pPr>
              <w:jc w:val="center"/>
            </w:pPr>
            <w:r>
              <w:rPr>
                <w:b/>
                <w:bCs/>
                <w:color w:val="FFFFFF"/>
                <w:sz w:val="20"/>
                <w:szCs w:val="20"/>
              </w:rPr>
              <w:t xml:space="preserve">Source</w:t>
            </w:r>
          </w:p>
        </w:tc>
      </w:tr>
      <w:tr>
        <w:tc>
          <w:tcPr>
            <w:shd w:color="F7FBFA" w:val="solid"/>
            <w:tcMar>
              <w:top w:type="dxa" w:w="60"/>
              <w:left w:type="dxa" w:w="100"/>
              <w:bottom w:type="dxa" w:w="60"/>
              <w:right w:type="dxa" w:w="100"/>
            </w:tcMar>
          </w:tcPr>
          <w:p>
            <w:r>
              <w:rPr>
                <w:color w:val="1C1C1C"/>
                <w:sz w:val="20"/>
                <w:szCs w:val="20"/>
              </w:rPr>
              <w:t xml:space="preserve">Municipal Recycling Rate</w:t>
            </w:r>
          </w:p>
        </w:tc>
        <w:tc>
          <w:tcPr>
            <w:shd w:color="F7FBFA" w:val="solid"/>
            <w:tcMar>
              <w:top w:type="dxa" w:w="60"/>
              <w:left w:type="dxa" w:w="100"/>
              <w:bottom w:type="dxa" w:w="60"/>
              <w:right w:type="dxa" w:w="100"/>
            </w:tcMar>
          </w:tcPr>
          <w:p>
            <w:r>
              <w:rPr>
                <w:color w:val="1C1C1C"/>
                <w:sz w:val="20"/>
                <w:szCs w:val="20"/>
              </w:rPr>
              <w:t xml:space="preserve">59.6%</w:t>
            </w:r>
          </w:p>
        </w:tc>
        <w:tc>
          <w:tcPr>
            <w:shd w:color="F7FBFA" w:val="solid"/>
            <w:tcMar>
              <w:top w:type="dxa" w:w="60"/>
              <w:left w:type="dxa" w:w="100"/>
              <w:bottom w:type="dxa" w:w="60"/>
              <w:right w:type="dxa" w:w="100"/>
            </w:tcMar>
          </w:tcPr>
          <w:p>
            <w:r>
              <w:rPr>
                <w:color w:val="1C1C1C"/>
                <w:sz w:val="20"/>
                <w:szCs w:val="20"/>
              </w:rPr>
              <w:t xml:space="preserve">MoEnv Taiwan</w:t>
            </w:r>
          </w:p>
        </w:tc>
      </w:tr>
      <w:tr>
        <w:tc>
          <w:tcPr>
            <w:shd w:color="FFFFFF" w:val="solid"/>
            <w:tcMar>
              <w:top w:type="dxa" w:w="60"/>
              <w:left w:type="dxa" w:w="100"/>
              <w:bottom w:type="dxa" w:w="60"/>
              <w:right w:type="dxa" w:w="100"/>
            </w:tcMar>
          </w:tcPr>
          <w:p>
            <w:r>
              <w:rPr>
                <w:color w:val="1C1C1C"/>
                <w:sz w:val="20"/>
                <w:szCs w:val="20"/>
              </w:rPr>
              <w:t xml:space="preserve">Industrial Waste Recycling Rate</w:t>
            </w:r>
          </w:p>
        </w:tc>
        <w:tc>
          <w:tcPr>
            <w:shd w:color="FFFFFF" w:val="solid"/>
            <w:tcMar>
              <w:top w:type="dxa" w:w="60"/>
              <w:left w:type="dxa" w:w="100"/>
              <w:bottom w:type="dxa" w:w="60"/>
              <w:right w:type="dxa" w:w="100"/>
            </w:tcMar>
          </w:tcPr>
          <w:p>
            <w:r>
              <w:rPr>
                <w:color w:val="1C1C1C"/>
                <w:sz w:val="20"/>
                <w:szCs w:val="20"/>
              </w:rPr>
              <w:t xml:space="preserve">85.4%</w:t>
            </w:r>
          </w:p>
        </w:tc>
        <w:tc>
          <w:tcPr>
            <w:shd w:color="FFFFFF" w:val="solid"/>
            <w:tcMar>
              <w:top w:type="dxa" w:w="60"/>
              <w:left w:type="dxa" w:w="100"/>
              <w:bottom w:type="dxa" w:w="60"/>
              <w:right w:type="dxa" w:w="100"/>
            </w:tcMar>
          </w:tcPr>
          <w:p>
            <w:r>
              <w:rPr>
                <w:color w:val="1C1C1C"/>
                <w:sz w:val="20"/>
                <w:szCs w:val="20"/>
              </w:rPr>
              <w:t xml:space="preserve">Holland Circular Hotspot</w:t>
            </w:r>
          </w:p>
        </w:tc>
      </w:tr>
      <w:tr>
        <w:tc>
          <w:tcPr>
            <w:shd w:color="F7FBFA" w:val="solid"/>
            <w:tcMar>
              <w:top w:type="dxa" w:w="60"/>
              <w:left w:type="dxa" w:w="100"/>
              <w:bottom w:type="dxa" w:w="60"/>
              <w:right w:type="dxa" w:w="100"/>
            </w:tcMar>
          </w:tcPr>
          <w:p>
            <w:r>
              <w:rPr>
                <w:color w:val="1C1C1C"/>
                <w:sz w:val="20"/>
                <w:szCs w:val="20"/>
              </w:rPr>
              <w:t xml:space="preserve">Total Annual Waste</w:t>
            </w:r>
          </w:p>
        </w:tc>
        <w:tc>
          <w:tcPr>
            <w:shd w:color="F7FBFA" w:val="solid"/>
            <w:tcMar>
              <w:top w:type="dxa" w:w="60"/>
              <w:left w:type="dxa" w:w="100"/>
              <w:bottom w:type="dxa" w:w="60"/>
              <w:right w:type="dxa" w:w="100"/>
            </w:tcMar>
          </w:tcPr>
          <w:p>
            <w:r>
              <w:rPr>
                <w:color w:val="1C1C1C"/>
                <w:sz w:val="20"/>
                <w:szCs w:val="20"/>
              </w:rPr>
              <w:t xml:space="preserve">&gt;11 million tonnes</w:t>
            </w:r>
          </w:p>
        </w:tc>
        <w:tc>
          <w:tcPr>
            <w:shd w:color="F7FBFA" w:val="solid"/>
            <w:tcMar>
              <w:top w:type="dxa" w:w="60"/>
              <w:left w:type="dxa" w:w="100"/>
              <w:bottom w:type="dxa" w:w="60"/>
              <w:right w:type="dxa" w:w="100"/>
            </w:tcMar>
          </w:tcPr>
          <w:p>
            <w:r>
              <w:rPr>
                <w:color w:val="1C1C1C"/>
                <w:sz w:val="20"/>
                <w:szCs w:val="20"/>
              </w:rPr>
              <w:t xml:space="preserve">Taipei Times</w:t>
            </w:r>
          </w:p>
        </w:tc>
      </w:tr>
      <w:tr>
        <w:tc>
          <w:tcPr>
            <w:shd w:color="FFFFFF" w:val="solid"/>
            <w:tcMar>
              <w:top w:type="dxa" w:w="60"/>
              <w:left w:type="dxa" w:w="100"/>
              <w:bottom w:type="dxa" w:w="60"/>
              <w:right w:type="dxa" w:w="100"/>
            </w:tcMar>
          </w:tcPr>
          <w:p>
            <w:r>
              <w:rPr>
                <w:color w:val="1C1C1C"/>
                <w:sz w:val="20"/>
                <w:szCs w:val="20"/>
              </w:rPr>
              <w:t xml:space="preserve">Active Incineration Plants</w:t>
            </w:r>
          </w:p>
        </w:tc>
        <w:tc>
          <w:tcPr>
            <w:shd w:color="FFFFFF" w:val="solid"/>
            <w:tcMar>
              <w:top w:type="dxa" w:w="60"/>
              <w:left w:type="dxa" w:w="100"/>
              <w:bottom w:type="dxa" w:w="60"/>
              <w:right w:type="dxa" w:w="100"/>
            </w:tcMar>
          </w:tcPr>
          <w:p>
            <w:r>
              <w:rPr>
                <w:color w:val="1C1C1C"/>
                <w:sz w:val="20"/>
                <w:szCs w:val="20"/>
              </w:rPr>
              <w:t xml:space="preserve">25 nationwide</w:t>
            </w:r>
          </w:p>
        </w:tc>
        <w:tc>
          <w:tcPr>
            <w:shd w:color="FFFFFF" w:val="solid"/>
            <w:tcMar>
              <w:top w:type="dxa" w:w="60"/>
              <w:left w:type="dxa" w:w="100"/>
              <w:bottom w:type="dxa" w:w="60"/>
              <w:right w:type="dxa" w:w="100"/>
            </w:tcMar>
          </w:tcPr>
          <w:p>
            <w:r>
              <w:rPr>
                <w:color w:val="1C1C1C"/>
                <w:sz w:val="20"/>
                <w:szCs w:val="20"/>
              </w:rPr>
              <w:t xml:space="preserve">EMA Gov.tw</w:t>
            </w:r>
          </w:p>
        </w:tc>
      </w:tr>
      <w:tr>
        <w:tc>
          <w:tcPr>
            <w:shd w:color="F7FBFA" w:val="solid"/>
            <w:tcMar>
              <w:top w:type="dxa" w:w="60"/>
              <w:left w:type="dxa" w:w="100"/>
              <w:bottom w:type="dxa" w:w="60"/>
              <w:right w:type="dxa" w:w="100"/>
            </w:tcMar>
          </w:tcPr>
          <w:p>
            <w:r>
              <w:rPr>
                <w:color w:val="1C1C1C"/>
                <w:sz w:val="20"/>
                <w:szCs w:val="20"/>
              </w:rPr>
              <w:t xml:space="preserve">Incineration plant average age</w:t>
            </w:r>
          </w:p>
        </w:tc>
        <w:tc>
          <w:tcPr>
            <w:shd w:color="F7FBFA" w:val="solid"/>
            <w:tcMar>
              <w:top w:type="dxa" w:w="60"/>
              <w:left w:type="dxa" w:w="100"/>
              <w:bottom w:type="dxa" w:w="60"/>
              <w:right w:type="dxa" w:w="100"/>
            </w:tcMar>
          </w:tcPr>
          <w:p>
            <w:r>
              <w:rPr>
                <w:color w:val="1C1C1C"/>
                <w:sz w:val="20"/>
                <w:szCs w:val="20"/>
              </w:rPr>
              <w:t xml:space="preserve">&gt;20 years</w:t>
            </w:r>
          </w:p>
        </w:tc>
        <w:tc>
          <w:tcPr>
            <w:shd w:color="F7FBFA" w:val="solid"/>
            <w:tcMar>
              <w:top w:type="dxa" w:w="60"/>
              <w:left w:type="dxa" w:w="100"/>
              <w:bottom w:type="dxa" w:w="60"/>
              <w:right w:type="dxa" w:w="100"/>
            </w:tcMar>
          </w:tcPr>
          <w:p>
            <w:r>
              <w:rPr>
                <w:color w:val="1C1C1C"/>
                <w:sz w:val="20"/>
                <w:szCs w:val="20"/>
              </w:rPr>
              <w:t xml:space="preserve">EMA Gov.tw</w:t>
            </w:r>
          </w:p>
        </w:tc>
      </w:tr>
    </w:tbl>
    <w:p>
      <w:pPr>
        <w:spacing w:before="200"/>
      </w:pPr>
    </w:p>
    <w:p>
      <w:pPr>
        <w:spacing w:after="120" w:before="240"/>
      </w:pPr>
      <w:r>
        <w:rPr>
          <w:b/>
          <w:bCs/>
          <w:color w:val="00A86B"/>
          <w:sz w:val="24"/>
          <w:szCs w:val="24"/>
        </w:rPr>
        <w:t xml:space="preserve">Root Causes of the Purity Problem</w:t>
      </w:r>
    </w:p>
    <w:p>
      <w:pPr>
        <w:pStyle w:val="ListParagraph"/>
        <w:numPr>
          <w:ilvl w:val="0"/>
          <w:numId w:val="1"/>
        </w:numPr>
        <w:spacing w:after="60" w:before="40"/>
      </w:pPr>
      <w:r>
        <w:rPr>
          <w:color w:val="1C1C1C"/>
          <w:sz w:val="22"/>
          <w:szCs w:val="22"/>
        </w:rPr>
        <w:t xml:space="preserve">Composite packaging — Multi-layer films (paper cups with PE liners, metallized snack bags) are nearly impossible to separate at standard facilities.</w:t>
      </w:r>
    </w:p>
    <w:p>
      <w:pPr>
        <w:pStyle w:val="ListParagraph"/>
        <w:numPr>
          <w:ilvl w:val="0"/>
          <w:numId w:val="1"/>
        </w:numPr>
        <w:spacing w:after="60" w:before="40"/>
      </w:pPr>
      <w:r>
        <w:rPr>
          <w:color w:val="1C1C1C"/>
          <w:sz w:val="22"/>
          <w:szCs w:val="22"/>
        </w:rPr>
        <w:t xml:space="preserve">Organic contamination — Food residue degrades spectral signatures, causing mis-classification in automated sorting.</w:t>
      </w:r>
    </w:p>
    <w:p>
      <w:pPr>
        <w:pStyle w:val="ListParagraph"/>
        <w:numPr>
          <w:ilvl w:val="0"/>
          <w:numId w:val="1"/>
        </w:numPr>
        <w:spacing w:after="60" w:before="40"/>
      </w:pPr>
      <w:r>
        <w:rPr>
          <w:color w:val="1C1C1C"/>
          <w:sz w:val="22"/>
          <w:szCs w:val="22"/>
        </w:rPr>
        <w:t xml:space="preserve">Label interference — Shrink sleeves and full-coverage metallic labels block NIR sensor readings.</w:t>
      </w:r>
    </w:p>
    <w:p>
      <w:pPr>
        <w:pStyle w:val="ListParagraph"/>
        <w:numPr>
          <w:ilvl w:val="0"/>
          <w:numId w:val="1"/>
        </w:numPr>
        <w:spacing w:after="60" w:before="40"/>
      </w:pPr>
      <w:r>
        <w:rPr>
          <w:color w:val="1C1C1C"/>
          <w:sz w:val="22"/>
          <w:szCs w:val="22"/>
        </w:rPr>
        <w:t xml:space="preserve">Cognitive overload on sorters — Taiwan's '4-in-1' system (四合一) places excessive visual burden on workers who cannot distinguish PET (#1) from PLA bioplastic.</w:t>
      </w:r>
    </w:p>
    <w:p>
      <w:pPr>
        <w:spacing w:before="100"/>
      </w:pPr>
    </w:p>
    <w:p>
      <w:pPr>
        <w:pBdr>
          <w:left w:val="thick" w:color="00A86B" w:sz="12"/>
        </w:pBdr>
        <w:shd w:color="F0F7F4" w:val="solid"/>
        <w:spacing w:after="120" w:before="120"/>
        <w:ind w:left="576"/>
      </w:pPr>
      <w:r>
        <w:rPr>
          <w:i/>
          <w:iCs/>
          <w:color w:val="1A3C5E"/>
          <w:sz w:val="22"/>
          <w:szCs w:val="22"/>
        </w:rPr>
        <w:t xml:space="preserve">The Core Loss: Mis-sorted containers are routed to incineration rather than entering a circular material loop. Government policy now explicitly targets food waste diversion from incineration plants by end of 2027.</w:t>
      </w:r>
    </w:p>
    <w:p>
      <w:pPr>
        <w:pBdr>
          <w:bottom w:val="single" w:color="00A86B" w:sz="6"/>
        </w:pBdr>
        <w:spacing w:after="160" w:before="320"/>
      </w:pPr>
      <w:r>
        <w:rPr>
          <w:b/>
          <w:bCs/>
          <w:color w:val="1A3C5E"/>
          <w:sz w:val="28"/>
          <w:szCs w:val="28"/>
        </w:rPr>
        <w:t xml:space="preserve">1.2  Technology Deep Dive: Multimodal Sensor Fusion</w:t>
      </w:r>
    </w:p>
    <w:p>
      <w:pPr>
        <w:spacing w:after="120" w:before="240"/>
      </w:pPr>
      <w:r>
        <w:rPr>
          <w:b/>
          <w:bCs/>
          <w:color w:val="00A86B"/>
          <w:sz w:val="24"/>
          <w:szCs w:val="24"/>
        </w:rPr>
        <w:t xml:space="preserve">Near-Infrared (NIR) Spectroscopy — The 'Molecular Camera'</w:t>
      </w:r>
    </w:p>
    <w:p>
      <w:pPr>
        <w:spacing w:after="100" w:before="80"/>
      </w:pPr>
      <w:r>
        <w:rPr>
          <w:color w:val="1C1C1C"/>
          <w:sz w:val="22"/>
          <w:szCs w:val="22"/>
        </w:rPr>
        <w:t xml:space="preserve">NIR spectroscopy is the gold standard for industrial polymer identification, analyzing the unique spectral signature of different resins as they reflect infrared light (1,450–2,450 nm range). Commercial module: trinamiX PAL One (~$1,500 USD per unit).</w:t>
      </w:r>
    </w:p>
    <w:p>
      <w:pPr>
        <w:spacing w:after="80" w:before="180"/>
      </w:pPr>
      <w:r>
        <w:rPr>
          <w:b/>
          <w:bCs/>
          <w:i/>
          <w:iCs/>
          <w:color w:val="1A3C5E"/>
          <w:sz w:val="22"/>
          <w:szCs w:val="22"/>
        </w:rPr>
        <w:t xml:space="preserve">Performance Benchmarks (2024 Literature)</w:t>
      </w:r>
    </w:p>
    <w:p>
      <w:pPr>
        <w:pStyle w:val="ListParagraph"/>
        <w:numPr>
          <w:ilvl w:val="0"/>
          <w:numId w:val="1"/>
        </w:numPr>
        <w:spacing w:after="60" w:before="40"/>
      </w:pPr>
      <w:r>
        <w:rPr>
          <w:color w:val="1C1C1C"/>
          <w:sz w:val="22"/>
          <w:szCs w:val="22"/>
        </w:rPr>
        <w:t xml:space="preserve">Polymer identification accuracy: 90–97%+ under clean conditions</w:t>
      </w:r>
    </w:p>
    <w:p>
      <w:pPr>
        <w:pStyle w:val="ListParagraph"/>
        <w:numPr>
          <w:ilvl w:val="0"/>
          <w:numId w:val="1"/>
        </w:numPr>
        <w:spacing w:after="60" w:before="40"/>
      </w:pPr>
      <w:r>
        <w:rPr>
          <w:color w:val="1C1C1C"/>
          <w:sz w:val="22"/>
          <w:szCs w:val="22"/>
        </w:rPr>
        <w:t xml:space="preserve">Processing speed: up to 3 tonnes/hour per conveyor lane</w:t>
      </w:r>
    </w:p>
    <w:p>
      <w:pPr>
        <w:pStyle w:val="ListParagraph"/>
        <w:numPr>
          <w:ilvl w:val="0"/>
          <w:numId w:val="1"/>
        </w:numPr>
        <w:spacing w:after="60" w:before="40"/>
      </w:pPr>
      <w:r>
        <w:rPr>
          <w:color w:val="1C1C1C"/>
          <w:sz w:val="22"/>
          <w:szCs w:val="22"/>
        </w:rPr>
        <w:t xml:space="preserve">Key limitation: Black plastics (carbon black pigment) absorb NIR and are invisible to standard sensors</w:t>
      </w:r>
    </w:p>
    <w:p>
      <w:pPr>
        <w:spacing w:before="100"/>
      </w:pPr>
    </w:p>
    <w:p>
      <w:pPr>
        <w:spacing w:after="80" w:before="180"/>
      </w:pPr>
      <w:r>
        <w:rPr>
          <w:b/>
          <w:bCs/>
          <w:i/>
          <w:iCs/>
          <w:color w:val="1A3C5E"/>
          <w:sz w:val="22"/>
          <w:szCs w:val="22"/>
        </w:rPr>
        <w:t xml:space="preserve">NIR Limitation Resolution Matrix</w:t>
      </w: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tblGrid>
      <w:tr>
        <w:trPr>
          <w:tblHeader/>
        </w:trPr>
        <w:tc>
          <w:tcPr>
            <w:shd w:color="1A3C5E" w:val="solid"/>
            <w:tcMar>
              <w:top w:type="dxa" w:w="80"/>
              <w:left w:type="dxa" w:w="100"/>
              <w:bottom w:type="dxa" w:w="80"/>
              <w:right w:type="dxa" w:w="100"/>
            </w:tcMar>
          </w:tcPr>
          <w:p>
            <w:pPr>
              <w:jc w:val="center"/>
            </w:pPr>
            <w:r>
              <w:rPr>
                <w:b/>
                <w:bCs/>
                <w:color w:val="FFFFFF"/>
                <w:sz w:val="20"/>
                <w:szCs w:val="20"/>
              </w:rPr>
              <w:t xml:space="preserve">Limitation</w:t>
            </w:r>
          </w:p>
        </w:tc>
        <w:tc>
          <w:tcPr>
            <w:shd w:color="1A3C5E" w:val="solid"/>
            <w:tcMar>
              <w:top w:type="dxa" w:w="80"/>
              <w:left w:type="dxa" w:w="100"/>
              <w:bottom w:type="dxa" w:w="80"/>
              <w:right w:type="dxa" w:w="100"/>
            </w:tcMar>
          </w:tcPr>
          <w:p>
            <w:pPr>
              <w:jc w:val="center"/>
            </w:pPr>
            <w:r>
              <w:rPr>
                <w:b/>
                <w:bCs/>
                <w:color w:val="FFFFFF"/>
                <w:sz w:val="20"/>
                <w:szCs w:val="20"/>
              </w:rPr>
              <w:t xml:space="preserve">Technical Cause</w:t>
            </w:r>
          </w:p>
        </w:tc>
        <w:tc>
          <w:tcPr>
            <w:shd w:color="1A3C5E" w:val="solid"/>
            <w:tcMar>
              <w:top w:type="dxa" w:w="80"/>
              <w:left w:type="dxa" w:w="100"/>
              <w:bottom w:type="dxa" w:w="80"/>
              <w:right w:type="dxa" w:w="100"/>
            </w:tcMar>
          </w:tcPr>
          <w:p>
            <w:pPr>
              <w:jc w:val="center"/>
            </w:pPr>
            <w:r>
              <w:rPr>
                <w:b/>
                <w:bCs/>
                <w:color w:val="FFFFFF"/>
                <w:sz w:val="20"/>
                <w:szCs w:val="20"/>
              </w:rPr>
              <w:t xml:space="preserve">Our Solution</w:t>
            </w:r>
          </w:p>
        </w:tc>
      </w:tr>
      <w:tr>
        <w:tc>
          <w:tcPr>
            <w:shd w:color="F7FBFA" w:val="solid"/>
            <w:tcMar>
              <w:top w:type="dxa" w:w="60"/>
              <w:left w:type="dxa" w:w="100"/>
              <w:bottom w:type="dxa" w:w="60"/>
              <w:right w:type="dxa" w:w="100"/>
            </w:tcMar>
          </w:tcPr>
          <w:p>
            <w:r>
              <w:rPr>
                <w:color w:val="1C1C1C"/>
                <w:sz w:val="20"/>
                <w:szCs w:val="20"/>
              </w:rPr>
              <w:t xml:space="preserve">Black/dark plastics invisible</w:t>
            </w:r>
          </w:p>
        </w:tc>
        <w:tc>
          <w:tcPr>
            <w:shd w:color="F7FBFA" w:val="solid"/>
            <w:tcMar>
              <w:top w:type="dxa" w:w="60"/>
              <w:left w:type="dxa" w:w="100"/>
              <w:bottom w:type="dxa" w:w="60"/>
              <w:right w:type="dxa" w:w="100"/>
            </w:tcMar>
          </w:tcPr>
          <w:p>
            <w:r>
              <w:rPr>
                <w:color w:val="1C1C1C"/>
                <w:sz w:val="20"/>
                <w:szCs w:val="20"/>
              </w:rPr>
              <w:t xml:space="preserve">Carbon black absorbs NIR</w:t>
            </w:r>
          </w:p>
        </w:tc>
        <w:tc>
          <w:tcPr>
            <w:shd w:color="F7FBFA" w:val="solid"/>
            <w:tcMar>
              <w:top w:type="dxa" w:w="60"/>
              <w:left w:type="dxa" w:w="100"/>
              <w:bottom w:type="dxa" w:w="60"/>
              <w:right w:type="dxa" w:w="100"/>
            </w:tcMar>
          </w:tcPr>
          <w:p>
            <w:r>
              <w:rPr>
                <w:color w:val="1C1C1C"/>
                <w:sz w:val="20"/>
                <w:szCs w:val="20"/>
              </w:rPr>
              <w:t xml:space="preserve">Supplement with MIR (Mid-Infrared) sensing</w:t>
            </w:r>
          </w:p>
        </w:tc>
      </w:tr>
      <w:tr>
        <w:tc>
          <w:tcPr>
            <w:shd w:color="FFFFFF" w:val="solid"/>
            <w:tcMar>
              <w:top w:type="dxa" w:w="60"/>
              <w:left w:type="dxa" w:w="100"/>
              <w:bottom w:type="dxa" w:w="60"/>
              <w:right w:type="dxa" w:w="100"/>
            </w:tcMar>
          </w:tcPr>
          <w:p>
            <w:r>
              <w:rPr>
                <w:color w:val="1C1C1C"/>
                <w:sz w:val="20"/>
                <w:szCs w:val="20"/>
              </w:rPr>
              <w:t xml:space="preserve">Contaminated surfaces</w:t>
            </w:r>
          </w:p>
        </w:tc>
        <w:tc>
          <w:tcPr>
            <w:shd w:color="FFFFFF" w:val="solid"/>
            <w:tcMar>
              <w:top w:type="dxa" w:w="60"/>
              <w:left w:type="dxa" w:w="100"/>
              <w:bottom w:type="dxa" w:w="60"/>
              <w:right w:type="dxa" w:w="100"/>
            </w:tcMar>
          </w:tcPr>
          <w:p>
            <w:r>
              <w:rPr>
                <w:color w:val="1C1C1C"/>
                <w:sz w:val="20"/>
                <w:szCs w:val="20"/>
              </w:rPr>
              <w:t xml:space="preserve">Organic residue distorts spectral peaks</w:t>
            </w:r>
          </w:p>
        </w:tc>
        <w:tc>
          <w:tcPr>
            <w:shd w:color="FFFFFF" w:val="solid"/>
            <w:tcMar>
              <w:top w:type="dxa" w:w="60"/>
              <w:left w:type="dxa" w:w="100"/>
              <w:bottom w:type="dxa" w:w="60"/>
              <w:right w:type="dxa" w:w="100"/>
            </w:tcMar>
          </w:tcPr>
          <w:p>
            <w:r>
              <w:rPr>
                <w:color w:val="1C1C1C"/>
                <w:sz w:val="20"/>
                <w:szCs w:val="20"/>
              </w:rPr>
              <w:t xml:space="preserve">Pre-wash jet + CNN 'dirty' dataset training</w:t>
            </w:r>
          </w:p>
        </w:tc>
      </w:tr>
      <w:tr>
        <w:tc>
          <w:tcPr>
            <w:shd w:color="F7FBFA" w:val="solid"/>
            <w:tcMar>
              <w:top w:type="dxa" w:w="60"/>
              <w:left w:type="dxa" w:w="100"/>
              <w:bottom w:type="dxa" w:w="60"/>
              <w:right w:type="dxa" w:w="100"/>
            </w:tcMar>
          </w:tcPr>
          <w:p>
            <w:r>
              <w:rPr>
                <w:color w:val="1C1C1C"/>
                <w:sz w:val="20"/>
                <w:szCs w:val="20"/>
              </w:rPr>
              <w:t xml:space="preserve">Label blocking readings</w:t>
            </w:r>
          </w:p>
        </w:tc>
        <w:tc>
          <w:tcPr>
            <w:shd w:color="F7FBFA" w:val="solid"/>
            <w:tcMar>
              <w:top w:type="dxa" w:w="60"/>
              <w:left w:type="dxa" w:w="100"/>
              <w:bottom w:type="dxa" w:w="60"/>
              <w:right w:type="dxa" w:w="100"/>
            </w:tcMar>
          </w:tcPr>
          <w:p>
            <w:r>
              <w:rPr>
                <w:color w:val="1C1C1C"/>
                <w:sz w:val="20"/>
                <w:szCs w:val="20"/>
              </w:rPr>
              <w:t xml:space="preserve">Full-coverage shrink sleeves shield polymer</w:t>
            </w:r>
          </w:p>
        </w:tc>
        <w:tc>
          <w:tcPr>
            <w:shd w:color="F7FBFA" w:val="solid"/>
            <w:tcMar>
              <w:top w:type="dxa" w:w="60"/>
              <w:left w:type="dxa" w:w="100"/>
              <w:bottom w:type="dxa" w:w="60"/>
              <w:right w:type="dxa" w:w="100"/>
            </w:tcMar>
          </w:tcPr>
          <w:p>
            <w:r>
              <w:rPr>
                <w:color w:val="1C1C1C"/>
                <w:sz w:val="20"/>
                <w:szCs w:val="20"/>
              </w:rPr>
              <w:t xml:space="preserve">Multi-angle scanning + barcode cross-reference</w:t>
            </w:r>
          </w:p>
        </w:tc>
      </w:tr>
      <w:tr>
        <w:tc>
          <w:tcPr>
            <w:shd w:color="FFFFFF" w:val="solid"/>
            <w:tcMar>
              <w:top w:type="dxa" w:w="60"/>
              <w:left w:type="dxa" w:w="100"/>
              <w:bottom w:type="dxa" w:w="60"/>
              <w:right w:type="dxa" w:w="100"/>
            </w:tcMar>
          </w:tcPr>
          <w:p>
            <w:r>
              <w:rPr>
                <w:color w:val="1C1C1C"/>
                <w:sz w:val="20"/>
                <w:szCs w:val="20"/>
              </w:rPr>
              <w:t xml:space="preserve">High-speed degradation</w:t>
            </w:r>
          </w:p>
        </w:tc>
        <w:tc>
          <w:tcPr>
            <w:shd w:color="FFFFFF" w:val="solid"/>
            <w:tcMar>
              <w:top w:type="dxa" w:w="60"/>
              <w:left w:type="dxa" w:w="100"/>
              <w:bottom w:type="dxa" w:w="60"/>
              <w:right w:type="dxa" w:w="100"/>
            </w:tcMar>
          </w:tcPr>
          <w:p>
            <w:r>
              <w:rPr>
                <w:color w:val="1C1C1C"/>
                <w:sz w:val="20"/>
                <w:szCs w:val="20"/>
              </w:rPr>
              <w:t xml:space="preserve">Signal window too short at fast belt speed</w:t>
            </w:r>
          </w:p>
        </w:tc>
        <w:tc>
          <w:tcPr>
            <w:shd w:color="FFFFFF" w:val="solid"/>
            <w:tcMar>
              <w:top w:type="dxa" w:w="60"/>
              <w:left w:type="dxa" w:w="100"/>
              <w:bottom w:type="dxa" w:w="60"/>
              <w:right w:type="dxa" w:w="100"/>
            </w:tcMar>
          </w:tcPr>
          <w:p>
            <w:r>
              <w:rPr>
                <w:color w:val="1C1C1C"/>
                <w:sz w:val="20"/>
                <w:szCs w:val="20"/>
              </w:rPr>
              <w:t xml:space="preserve">Dual-camera staggered scan zones</w:t>
            </w:r>
          </w:p>
        </w:tc>
      </w:tr>
    </w:tbl>
    <w:p>
      <w:pPr>
        <w:spacing w:before="200"/>
      </w:pPr>
    </w:p>
    <w:p>
      <w:pPr>
        <w:spacing w:after="120" w:before="240"/>
      </w:pPr>
      <w:r>
        <w:rPr>
          <w:b/>
          <w:bCs/>
          <w:color w:val="00A86B"/>
          <w:sz w:val="24"/>
          <w:szCs w:val="24"/>
        </w:rPr>
        <w:t xml:space="preserve">Computer Vision (YOLOv8/YOLOv10) — Shape &amp; Brand Intelligence</w:t>
      </w:r>
    </w:p>
    <w:p>
      <w:pPr>
        <w:spacing w:after="100" w:before="80"/>
      </w:pPr>
      <w:r>
        <w:rPr>
          <w:color w:val="1C1C1C"/>
          <w:sz w:val="22"/>
          <w:szCs w:val="22"/>
        </w:rPr>
        <w:t xml:space="preserve">Modern object detection models achieve &gt;90% accuracy in real-world recycling environments. Taiwan-specific datasets are essential for recognizing local brands (Uni-President, HeySong, TTL) that dominate waste streams. AI-powered sorting in Taiwan MRFs has demonstrated throughput increases from 2 to 10 tonnes/hour alongside 70%+ labor reduction in repetitive sorting roles (IRO Journals, 2024).</w:t>
      </w:r>
    </w:p>
    <w:p>
      <w:pPr>
        <w:spacing w:after="80" w:before="180"/>
      </w:pPr>
      <w:r>
        <w:rPr>
          <w:b/>
          <w:bCs/>
          <w:i/>
          <w:iCs/>
          <w:color w:val="1A3C5E"/>
          <w:sz w:val="22"/>
          <w:szCs w:val="22"/>
        </w:rPr>
        <w:t xml:space="preserve">Complete Sensor Fusion Matrix — The 'Sort-Master' System</w:t>
      </w: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tblGrid>
      <w:tr>
        <w:trPr>
          <w:tblHeader/>
        </w:trPr>
        <w:tc>
          <w:tcPr>
            <w:shd w:color="00A86B" w:val="solid"/>
            <w:tcMar>
              <w:top w:type="dxa" w:w="80"/>
              <w:left w:type="dxa" w:w="100"/>
              <w:bottom w:type="dxa" w:w="80"/>
              <w:right w:type="dxa" w:w="100"/>
            </w:tcMar>
          </w:tcPr>
          <w:p>
            <w:pPr>
              <w:jc w:val="center"/>
            </w:pPr>
            <w:r>
              <w:rPr>
                <w:b/>
                <w:bCs/>
                <w:color w:val="FFFFFF"/>
                <w:sz w:val="20"/>
                <w:szCs w:val="20"/>
              </w:rPr>
              <w:t xml:space="preserve">Sensor Type</w:t>
            </w:r>
          </w:p>
        </w:tc>
        <w:tc>
          <w:tcPr>
            <w:shd w:color="00A86B" w:val="solid"/>
            <w:tcMar>
              <w:top w:type="dxa" w:w="80"/>
              <w:left w:type="dxa" w:w="100"/>
              <w:bottom w:type="dxa" w:w="80"/>
              <w:right w:type="dxa" w:w="100"/>
            </w:tcMar>
          </w:tcPr>
          <w:p>
            <w:pPr>
              <w:jc w:val="center"/>
            </w:pPr>
            <w:r>
              <w:rPr>
                <w:b/>
                <w:bCs/>
                <w:color w:val="FFFFFF"/>
                <w:sz w:val="20"/>
                <w:szCs w:val="20"/>
              </w:rPr>
              <w:t xml:space="preserve">Target Material</w:t>
            </w:r>
          </w:p>
        </w:tc>
        <w:tc>
          <w:tcPr>
            <w:shd w:color="00A86B" w:val="solid"/>
            <w:tcMar>
              <w:top w:type="dxa" w:w="80"/>
              <w:left w:type="dxa" w:w="100"/>
              <w:bottom w:type="dxa" w:w="80"/>
              <w:right w:type="dxa" w:w="100"/>
            </w:tcMar>
          </w:tcPr>
          <w:p>
            <w:pPr>
              <w:jc w:val="center"/>
            </w:pPr>
            <w:r>
              <w:rPr>
                <w:b/>
                <w:bCs/>
                <w:color w:val="FFFFFF"/>
                <w:sz w:val="20"/>
                <w:szCs w:val="20"/>
              </w:rPr>
              <w:t xml:space="preserve">Detection Logic</w:t>
            </w:r>
          </w:p>
        </w:tc>
      </w:tr>
      <w:tr>
        <w:tc>
          <w:tcPr>
            <w:shd w:color="F7FBFA" w:val="solid"/>
            <w:tcMar>
              <w:top w:type="dxa" w:w="60"/>
              <w:left w:type="dxa" w:w="100"/>
              <w:bottom w:type="dxa" w:w="60"/>
              <w:right w:type="dxa" w:w="100"/>
            </w:tcMar>
          </w:tcPr>
          <w:p>
            <w:r>
              <w:rPr>
                <w:color w:val="1C1C1C"/>
                <w:sz w:val="20"/>
                <w:szCs w:val="20"/>
              </w:rPr>
              <w:t xml:space="preserve">NIR Spectrometer (1,450–2,450 nm)</w:t>
            </w:r>
          </w:p>
        </w:tc>
        <w:tc>
          <w:tcPr>
            <w:shd w:color="F7FBFA" w:val="solid"/>
            <w:tcMar>
              <w:top w:type="dxa" w:w="60"/>
              <w:left w:type="dxa" w:w="100"/>
              <w:bottom w:type="dxa" w:w="60"/>
              <w:right w:type="dxa" w:w="100"/>
            </w:tcMar>
          </w:tcPr>
          <w:p>
            <w:r>
              <w:rPr>
                <w:color w:val="1C1C1C"/>
                <w:sz w:val="20"/>
                <w:szCs w:val="20"/>
              </w:rPr>
              <w:t xml:space="preserve">All plastics, fiber composites</w:t>
            </w:r>
          </w:p>
        </w:tc>
        <w:tc>
          <w:tcPr>
            <w:shd w:color="F7FBFA" w:val="solid"/>
            <w:tcMar>
              <w:top w:type="dxa" w:w="60"/>
              <w:left w:type="dxa" w:w="100"/>
              <w:bottom w:type="dxa" w:w="60"/>
              <w:right w:type="dxa" w:w="100"/>
            </w:tcMar>
          </w:tcPr>
          <w:p>
            <w:r>
              <w:rPr>
                <w:color w:val="1C1C1C"/>
                <w:sz w:val="20"/>
                <w:szCs w:val="20"/>
              </w:rPr>
              <w:t xml:space="preserve">Molecular polymer fingerprint</w:t>
            </w:r>
          </w:p>
        </w:tc>
      </w:tr>
      <w:tr>
        <w:tc>
          <w:tcPr>
            <w:shd w:color="FFFFFF" w:val="solid"/>
            <w:tcMar>
              <w:top w:type="dxa" w:w="60"/>
              <w:left w:type="dxa" w:w="100"/>
              <w:bottom w:type="dxa" w:w="60"/>
              <w:right w:type="dxa" w:w="100"/>
            </w:tcMar>
          </w:tcPr>
          <w:p>
            <w:r>
              <w:rPr>
                <w:color w:val="1C1C1C"/>
                <w:sz w:val="20"/>
                <w:szCs w:val="20"/>
              </w:rPr>
              <w:t xml:space="preserve">4K RGB Camera + YOLOv8</w:t>
            </w:r>
          </w:p>
        </w:tc>
        <w:tc>
          <w:tcPr>
            <w:shd w:color="FFFFFF" w:val="solid"/>
            <w:tcMar>
              <w:top w:type="dxa" w:w="60"/>
              <w:left w:type="dxa" w:w="100"/>
              <w:bottom w:type="dxa" w:w="60"/>
              <w:right w:type="dxa" w:w="100"/>
            </w:tcMar>
          </w:tcPr>
          <w:p>
            <w:r>
              <w:rPr>
                <w:color w:val="1C1C1C"/>
                <w:sz w:val="20"/>
                <w:szCs w:val="20"/>
              </w:rPr>
              <w:t xml:space="preserve">Shape, brand, color</w:t>
            </w:r>
          </w:p>
        </w:tc>
        <w:tc>
          <w:tcPr>
            <w:shd w:color="FFFFFF" w:val="solid"/>
            <w:tcMar>
              <w:top w:type="dxa" w:w="60"/>
              <w:left w:type="dxa" w:w="100"/>
              <w:bottom w:type="dxa" w:w="60"/>
              <w:right w:type="dxa" w:w="100"/>
            </w:tcMar>
          </w:tcPr>
          <w:p>
            <w:r>
              <w:rPr>
                <w:color w:val="1C1C1C"/>
                <w:sz w:val="20"/>
                <w:szCs w:val="20"/>
              </w:rPr>
              <w:t xml:space="preserve">Visual classification + label reading</w:t>
            </w:r>
          </w:p>
        </w:tc>
      </w:tr>
      <w:tr>
        <w:tc>
          <w:tcPr>
            <w:shd w:color="F7FBFA" w:val="solid"/>
            <w:tcMar>
              <w:top w:type="dxa" w:w="60"/>
              <w:left w:type="dxa" w:w="100"/>
              <w:bottom w:type="dxa" w:w="60"/>
              <w:right w:type="dxa" w:w="100"/>
            </w:tcMar>
          </w:tcPr>
          <w:p>
            <w:r>
              <w:rPr>
                <w:color w:val="1C1C1C"/>
                <w:sz w:val="20"/>
                <w:szCs w:val="20"/>
              </w:rPr>
              <w:t xml:space="preserve">Eddy Current Sensor</w:t>
            </w:r>
          </w:p>
        </w:tc>
        <w:tc>
          <w:tcPr>
            <w:shd w:color="F7FBFA" w:val="solid"/>
            <w:tcMar>
              <w:top w:type="dxa" w:w="60"/>
              <w:left w:type="dxa" w:w="100"/>
              <w:bottom w:type="dxa" w:w="60"/>
              <w:right w:type="dxa" w:w="100"/>
            </w:tcMar>
          </w:tcPr>
          <w:p>
            <w:r>
              <w:rPr>
                <w:color w:val="1C1C1C"/>
                <w:sz w:val="20"/>
                <w:szCs w:val="20"/>
              </w:rPr>
              <w:t xml:space="preserve">Aluminum (non-ferrous)</w:t>
            </w:r>
          </w:p>
        </w:tc>
        <w:tc>
          <w:tcPr>
            <w:shd w:color="F7FBFA" w:val="solid"/>
            <w:tcMar>
              <w:top w:type="dxa" w:w="60"/>
              <w:left w:type="dxa" w:w="100"/>
              <w:bottom w:type="dxa" w:w="60"/>
              <w:right w:type="dxa" w:w="100"/>
            </w:tcMar>
          </w:tcPr>
          <w:p>
            <w:r>
              <w:rPr>
                <w:color w:val="1C1C1C"/>
                <w:sz w:val="20"/>
                <w:szCs w:val="20"/>
              </w:rPr>
              <w:t xml:space="preserve">Conductivity field measurement</w:t>
            </w:r>
          </w:p>
        </w:tc>
      </w:tr>
      <w:tr>
        <w:tc>
          <w:tcPr>
            <w:shd w:color="FFFFFF" w:val="solid"/>
            <w:tcMar>
              <w:top w:type="dxa" w:w="60"/>
              <w:left w:type="dxa" w:w="100"/>
              <w:bottom w:type="dxa" w:w="60"/>
              <w:right w:type="dxa" w:w="100"/>
            </w:tcMar>
          </w:tcPr>
          <w:p>
            <w:r>
              <w:rPr>
                <w:color w:val="1C1C1C"/>
                <w:sz w:val="20"/>
                <w:szCs w:val="20"/>
              </w:rPr>
              <w:t xml:space="preserve">Static Magnetic Sensor</w:t>
            </w:r>
          </w:p>
        </w:tc>
        <w:tc>
          <w:tcPr>
            <w:shd w:color="FFFFFF" w:val="solid"/>
            <w:tcMar>
              <w:top w:type="dxa" w:w="60"/>
              <w:left w:type="dxa" w:w="100"/>
              <w:bottom w:type="dxa" w:w="60"/>
              <w:right w:type="dxa" w:w="100"/>
            </w:tcMar>
          </w:tcPr>
          <w:p>
            <w:r>
              <w:rPr>
                <w:color w:val="1C1C1C"/>
                <w:sz w:val="20"/>
                <w:szCs w:val="20"/>
              </w:rPr>
              <w:t xml:space="preserve">Iron/steel cans</w:t>
            </w:r>
          </w:p>
        </w:tc>
        <w:tc>
          <w:tcPr>
            <w:shd w:color="FFFFFF" w:val="solid"/>
            <w:tcMar>
              <w:top w:type="dxa" w:w="60"/>
              <w:left w:type="dxa" w:w="100"/>
              <w:bottom w:type="dxa" w:w="60"/>
              <w:right w:type="dxa" w:w="100"/>
            </w:tcMar>
          </w:tcPr>
          <w:p>
            <w:r>
              <w:rPr>
                <w:color w:val="1C1C1C"/>
                <w:sz w:val="20"/>
                <w:szCs w:val="20"/>
              </w:rPr>
              <w:t xml:space="preserve">Ferrous detection</w:t>
            </w:r>
          </w:p>
        </w:tc>
      </w:tr>
      <w:tr>
        <w:tc>
          <w:tcPr>
            <w:shd w:color="F7FBFA" w:val="solid"/>
            <w:tcMar>
              <w:top w:type="dxa" w:w="60"/>
              <w:left w:type="dxa" w:w="100"/>
              <w:bottom w:type="dxa" w:w="60"/>
              <w:right w:type="dxa" w:w="100"/>
            </w:tcMar>
          </w:tcPr>
          <w:p>
            <w:r>
              <w:rPr>
                <w:color w:val="1C1C1C"/>
                <w:sz w:val="20"/>
                <w:szCs w:val="20"/>
              </w:rPr>
              <w:t xml:space="preserve">Acoustic Resonance Ping</w:t>
            </w:r>
          </w:p>
        </w:tc>
        <w:tc>
          <w:tcPr>
            <w:shd w:color="F7FBFA" w:val="solid"/>
            <w:tcMar>
              <w:top w:type="dxa" w:w="60"/>
              <w:left w:type="dxa" w:w="100"/>
              <w:bottom w:type="dxa" w:w="60"/>
              <w:right w:type="dxa" w:w="100"/>
            </w:tcMar>
          </w:tcPr>
          <w:p>
            <w:r>
              <w:rPr>
                <w:color w:val="1C1C1C"/>
                <w:sz w:val="20"/>
                <w:szCs w:val="20"/>
              </w:rPr>
              <w:t xml:space="preserve">Glass vs. thick plastic</w:t>
            </w:r>
          </w:p>
        </w:tc>
        <w:tc>
          <w:tcPr>
            <w:shd w:color="F7FBFA" w:val="solid"/>
            <w:tcMar>
              <w:top w:type="dxa" w:w="60"/>
              <w:left w:type="dxa" w:w="100"/>
              <w:bottom w:type="dxa" w:w="60"/>
              <w:right w:type="dxa" w:w="100"/>
            </w:tcMar>
          </w:tcPr>
          <w:p>
            <w:r>
              <w:rPr>
                <w:color w:val="1C1C1C"/>
                <w:sz w:val="20"/>
                <w:szCs w:val="20"/>
              </w:rPr>
              <w:t xml:space="preserve">Vibration frequency analysis</w:t>
            </w:r>
          </w:p>
        </w:tc>
      </w:tr>
      <w:tr>
        <w:tc>
          <w:tcPr>
            <w:shd w:color="FFFFFF" w:val="solid"/>
            <w:tcMar>
              <w:top w:type="dxa" w:w="60"/>
              <w:left w:type="dxa" w:w="100"/>
              <w:bottom w:type="dxa" w:w="60"/>
              <w:right w:type="dxa" w:w="100"/>
            </w:tcMar>
          </w:tcPr>
          <w:p>
            <w:r>
              <w:rPr>
                <w:color w:val="1C1C1C"/>
                <w:sz w:val="20"/>
                <w:szCs w:val="20"/>
              </w:rPr>
              <w:t xml:space="preserve">Moisture Sensor</w:t>
            </w:r>
          </w:p>
        </w:tc>
        <w:tc>
          <w:tcPr>
            <w:shd w:color="FFFFFF" w:val="solid"/>
            <w:tcMar>
              <w:top w:type="dxa" w:w="60"/>
              <w:left w:type="dxa" w:w="100"/>
              <w:bottom w:type="dxa" w:w="60"/>
              <w:right w:type="dxa" w:w="100"/>
            </w:tcMar>
          </w:tcPr>
          <w:p>
            <w:r>
              <w:rPr>
                <w:color w:val="1C1C1C"/>
                <w:sz w:val="20"/>
                <w:szCs w:val="20"/>
              </w:rPr>
              <w:t xml:space="preserve">Organic/wet waste</w:t>
            </w:r>
          </w:p>
        </w:tc>
        <w:tc>
          <w:tcPr>
            <w:shd w:color="FFFFFF" w:val="solid"/>
            <w:tcMar>
              <w:top w:type="dxa" w:w="60"/>
              <w:left w:type="dxa" w:w="100"/>
              <w:bottom w:type="dxa" w:w="60"/>
              <w:right w:type="dxa" w:w="100"/>
            </w:tcMar>
          </w:tcPr>
          <w:p>
            <w:r>
              <w:rPr>
                <w:color w:val="1C1C1C"/>
                <w:sz w:val="20"/>
                <w:szCs w:val="20"/>
              </w:rPr>
              <w:t xml:space="preserve">Humidity level threshold</w:t>
            </w:r>
          </w:p>
        </w:tc>
      </w:tr>
    </w:tbl>
    <w:p>
      <w:pPr>
        <w:pBdr>
          <w:bottom w:val="single" w:color="00A86B" w:sz="6"/>
        </w:pBdr>
        <w:spacing w:after="160" w:before="320"/>
      </w:pPr>
      <w:r>
        <w:rPr>
          <w:b/>
          <w:bCs/>
          <w:color w:val="1A3C5E"/>
          <w:sz w:val="28"/>
          <w:szCs w:val="28"/>
        </w:rPr>
        <w:t xml:space="preserve">1.3  Market Context &amp; Competitive Intelligence</w:t>
      </w:r>
    </w:p>
    <w:p>
      <w:pPr>
        <w:spacing w:after="120" w:before="240"/>
      </w:pPr>
      <w:r>
        <w:rPr>
          <w:b/>
          <w:bCs/>
          <w:color w:val="00A86B"/>
          <w:sz w:val="24"/>
          <w:szCs w:val="24"/>
        </w:rPr>
        <w:t xml:space="preserve">Taiwan AI Sorting Landscape (2024)</w:t>
      </w:r>
    </w:p>
    <w:p>
      <w:pPr>
        <w:pStyle w:val="ListParagraph"/>
        <w:numPr>
          <w:ilvl w:val="0"/>
          <w:numId w:val="1"/>
        </w:numPr>
        <w:spacing w:after="60" w:before="40"/>
      </w:pPr>
      <w:r>
        <w:rPr>
          <w:color w:val="1C1C1C"/>
          <w:sz w:val="22"/>
          <w:szCs w:val="22"/>
        </w:rPr>
        <w:t xml:space="preserve">New Taipei City has deployed AI-powered robotic sorting arms in MRFs.</w:t>
      </w:r>
    </w:p>
    <w:p>
      <w:pPr>
        <w:pStyle w:val="ListParagraph"/>
        <w:numPr>
          <w:ilvl w:val="0"/>
          <w:numId w:val="1"/>
        </w:numPr>
        <w:spacing w:after="60" w:before="40"/>
      </w:pPr>
      <w:r>
        <w:rPr>
          <w:color w:val="1C1C1C"/>
          <w:sz w:val="22"/>
          <w:szCs w:val="22"/>
        </w:rPr>
        <w:t xml:space="preserve">Taiwan's Ministry of Environment is funding industry-academia collaborations for smart circularity, indicating B2G procurement readiness.</w:t>
      </w:r>
    </w:p>
    <w:p>
      <w:pPr>
        <w:pStyle w:val="ListParagraph"/>
        <w:numPr>
          <w:ilvl w:val="0"/>
          <w:numId w:val="1"/>
        </w:numPr>
        <w:spacing w:after="60" w:before="40"/>
      </w:pPr>
      <w:r>
        <w:rPr>
          <w:color w:val="1C1C1C"/>
          <w:sz w:val="22"/>
          <w:szCs w:val="22"/>
        </w:rPr>
        <w:t xml:space="preserve">Extended Producer Responsibility (EPR) legislation is expanding, increasing brand-owner financial incentive to fund sorting infrastructure.</w:t>
      </w:r>
    </w:p>
    <w:p>
      <w:pPr>
        <w:spacing w:before="100"/>
      </w:pPr>
    </w:p>
    <w:p>
      <w:pPr>
        <w:spacing w:after="120" w:before="240"/>
      </w:pPr>
      <w:r>
        <w:rPr>
          <w:b/>
          <w:bCs/>
          <w:color w:val="00A86B"/>
          <w:sz w:val="24"/>
          <w:szCs w:val="24"/>
        </w:rPr>
        <w:t xml:space="preserve">Global Competitive Landscape</w:t>
      </w: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tblGrid>
      <w:tr>
        <w:trPr>
          <w:tblHeader/>
        </w:trPr>
        <w:tc>
          <w:tcPr>
            <w:shd w:color="1A3C5E" w:val="solid"/>
            <w:tcMar>
              <w:top w:type="dxa" w:w="80"/>
              <w:left w:type="dxa" w:w="100"/>
              <w:bottom w:type="dxa" w:w="80"/>
              <w:right w:type="dxa" w:w="100"/>
            </w:tcMar>
          </w:tcPr>
          <w:p>
            <w:pPr>
              <w:jc w:val="center"/>
            </w:pPr>
            <w:r>
              <w:rPr>
                <w:b/>
                <w:bCs/>
                <w:color w:val="FFFFFF"/>
                <w:sz w:val="20"/>
                <w:szCs w:val="20"/>
              </w:rPr>
              <w:t xml:space="preserve">Company</w:t>
            </w:r>
          </w:p>
        </w:tc>
        <w:tc>
          <w:tcPr>
            <w:shd w:color="1A3C5E" w:val="solid"/>
            <w:tcMar>
              <w:top w:type="dxa" w:w="80"/>
              <w:left w:type="dxa" w:w="100"/>
              <w:bottom w:type="dxa" w:w="80"/>
              <w:right w:type="dxa" w:w="100"/>
            </w:tcMar>
          </w:tcPr>
          <w:p>
            <w:pPr>
              <w:jc w:val="center"/>
            </w:pPr>
            <w:r>
              <w:rPr>
                <w:b/>
                <w:bCs/>
                <w:color w:val="FFFFFF"/>
                <w:sz w:val="20"/>
                <w:szCs w:val="20"/>
              </w:rPr>
              <w:t xml:space="preserve">Technology</w:t>
            </w:r>
          </w:p>
        </w:tc>
        <w:tc>
          <w:tcPr>
            <w:shd w:color="1A3C5E" w:val="solid"/>
            <w:tcMar>
              <w:top w:type="dxa" w:w="80"/>
              <w:left w:type="dxa" w:w="100"/>
              <w:bottom w:type="dxa" w:w="80"/>
              <w:right w:type="dxa" w:w="100"/>
            </w:tcMar>
          </w:tcPr>
          <w:p>
            <w:pPr>
              <w:jc w:val="center"/>
            </w:pPr>
            <w:r>
              <w:rPr>
                <w:b/>
                <w:bCs/>
                <w:color w:val="FFFFFF"/>
                <w:sz w:val="20"/>
                <w:szCs w:val="20"/>
              </w:rPr>
              <w:t xml:space="preserve">Limitation vs. Our Approach</w:t>
            </w:r>
          </w:p>
        </w:tc>
      </w:tr>
      <w:tr>
        <w:tc>
          <w:tcPr>
            <w:shd w:color="F7FBFA" w:val="solid"/>
            <w:tcMar>
              <w:top w:type="dxa" w:w="60"/>
              <w:left w:type="dxa" w:w="100"/>
              <w:bottom w:type="dxa" w:w="60"/>
              <w:right w:type="dxa" w:w="100"/>
            </w:tcMar>
          </w:tcPr>
          <w:p>
            <w:r>
              <w:rPr>
                <w:color w:val="1C1C1C"/>
                <w:sz w:val="20"/>
                <w:szCs w:val="20"/>
              </w:rPr>
              <w:t xml:space="preserve">AMP Robotics (USA)</w:t>
            </w:r>
          </w:p>
        </w:tc>
        <w:tc>
          <w:tcPr>
            <w:shd w:color="F7FBFA" w:val="solid"/>
            <w:tcMar>
              <w:top w:type="dxa" w:w="60"/>
              <w:left w:type="dxa" w:w="100"/>
              <w:bottom w:type="dxa" w:w="60"/>
              <w:right w:type="dxa" w:w="100"/>
            </w:tcMar>
          </w:tcPr>
          <w:p>
            <w:r>
              <w:rPr>
                <w:color w:val="1C1C1C"/>
                <w:sz w:val="20"/>
                <w:szCs w:val="20"/>
              </w:rPr>
              <w:t xml:space="preserve">Computer vision + robotics</w:t>
            </w:r>
          </w:p>
        </w:tc>
        <w:tc>
          <w:tcPr>
            <w:shd w:color="F7FBFA" w:val="solid"/>
            <w:tcMar>
              <w:top w:type="dxa" w:w="60"/>
              <w:left w:type="dxa" w:w="100"/>
              <w:bottom w:type="dxa" w:w="60"/>
              <w:right w:type="dxa" w:w="100"/>
            </w:tcMar>
          </w:tcPr>
          <w:p>
            <w:r>
              <w:rPr>
                <w:color w:val="1C1C1C"/>
                <w:sz w:val="20"/>
                <w:szCs w:val="20"/>
              </w:rPr>
              <w:t xml:space="preserve">Vision-only; misses resin-level molecular ID</w:t>
            </w:r>
          </w:p>
        </w:tc>
      </w:tr>
      <w:tr>
        <w:tc>
          <w:tcPr>
            <w:shd w:color="FFFFFF" w:val="solid"/>
            <w:tcMar>
              <w:top w:type="dxa" w:w="60"/>
              <w:left w:type="dxa" w:w="100"/>
              <w:bottom w:type="dxa" w:w="60"/>
              <w:right w:type="dxa" w:w="100"/>
            </w:tcMar>
          </w:tcPr>
          <w:p>
            <w:r>
              <w:rPr>
                <w:color w:val="1C1C1C"/>
                <w:sz w:val="20"/>
                <w:szCs w:val="20"/>
              </w:rPr>
              <w:t xml:space="preserve">Recycleye (UK)</w:t>
            </w:r>
          </w:p>
        </w:tc>
        <w:tc>
          <w:tcPr>
            <w:shd w:color="FFFFFF" w:val="solid"/>
            <w:tcMar>
              <w:top w:type="dxa" w:w="60"/>
              <w:left w:type="dxa" w:w="100"/>
              <w:bottom w:type="dxa" w:w="60"/>
              <w:right w:type="dxa" w:w="100"/>
            </w:tcMar>
          </w:tcPr>
          <w:p>
            <w:r>
              <w:rPr>
                <w:color w:val="1C1C1C"/>
                <w:sz w:val="20"/>
                <w:szCs w:val="20"/>
              </w:rPr>
              <w:t xml:space="preserve">AI vision sorters</w:t>
            </w:r>
          </w:p>
        </w:tc>
        <w:tc>
          <w:tcPr>
            <w:shd w:color="FFFFFF" w:val="solid"/>
            <w:tcMar>
              <w:top w:type="dxa" w:w="60"/>
              <w:left w:type="dxa" w:w="100"/>
              <w:bottom w:type="dxa" w:w="60"/>
              <w:right w:type="dxa" w:w="100"/>
            </w:tcMar>
          </w:tcPr>
          <w:p>
            <w:r>
              <w:rPr>
                <w:color w:val="1C1C1C"/>
                <w:sz w:val="20"/>
                <w:szCs w:val="20"/>
              </w:rPr>
              <w:t xml:space="preserve">No NIR spectroscopy integration</w:t>
            </w:r>
          </w:p>
        </w:tc>
      </w:tr>
      <w:tr>
        <w:tc>
          <w:tcPr>
            <w:shd w:color="F7FBFA" w:val="solid"/>
            <w:tcMar>
              <w:top w:type="dxa" w:w="60"/>
              <w:left w:type="dxa" w:w="100"/>
              <w:bottom w:type="dxa" w:w="60"/>
              <w:right w:type="dxa" w:w="100"/>
            </w:tcMar>
          </w:tcPr>
          <w:p>
            <w:r>
              <w:rPr>
                <w:color w:val="1C1C1C"/>
                <w:sz w:val="20"/>
                <w:szCs w:val="20"/>
              </w:rPr>
              <w:t xml:space="preserve">Tomra (Norway)</w:t>
            </w:r>
          </w:p>
        </w:tc>
        <w:tc>
          <w:tcPr>
            <w:shd w:color="F7FBFA" w:val="solid"/>
            <w:tcMar>
              <w:top w:type="dxa" w:w="60"/>
              <w:left w:type="dxa" w:w="100"/>
              <w:bottom w:type="dxa" w:w="60"/>
              <w:right w:type="dxa" w:w="100"/>
            </w:tcMar>
          </w:tcPr>
          <w:p>
            <w:r>
              <w:rPr>
                <w:color w:val="1C1C1C"/>
                <w:sz w:val="20"/>
                <w:szCs w:val="20"/>
              </w:rPr>
              <w:t xml:space="preserve">NIR sorters</w:t>
            </w:r>
          </w:p>
        </w:tc>
        <w:tc>
          <w:tcPr>
            <w:shd w:color="F7FBFA" w:val="solid"/>
            <w:tcMar>
              <w:top w:type="dxa" w:w="60"/>
              <w:left w:type="dxa" w:w="100"/>
              <w:bottom w:type="dxa" w:w="60"/>
              <w:right w:type="dxa" w:w="100"/>
            </w:tcMar>
          </w:tcPr>
          <w:p>
            <w:r>
              <w:rPr>
                <w:color w:val="1C1C1C"/>
                <w:sz w:val="20"/>
                <w:szCs w:val="20"/>
              </w:rPr>
              <w:t xml:space="preserve">No AI federated learning or AR tools</w:t>
            </w:r>
          </w:p>
        </w:tc>
      </w:tr>
      <w:tr>
        <w:tc>
          <w:tcPr>
            <w:shd w:color="FFFFFF" w:val="solid"/>
            <w:tcMar>
              <w:top w:type="dxa" w:w="60"/>
              <w:left w:type="dxa" w:w="100"/>
              <w:bottom w:type="dxa" w:w="60"/>
              <w:right w:type="dxa" w:w="100"/>
            </w:tcMar>
          </w:tcPr>
          <w:p>
            <w:r>
              <w:rPr>
                <w:color w:val="1C1C1C"/>
                <w:sz w:val="20"/>
                <w:szCs w:val="20"/>
              </w:rPr>
              <w:t xml:space="preserve">ZenRobotics (Finland)</w:t>
            </w:r>
          </w:p>
        </w:tc>
        <w:tc>
          <w:tcPr>
            <w:shd w:color="FFFFFF" w:val="solid"/>
            <w:tcMar>
              <w:top w:type="dxa" w:w="60"/>
              <w:left w:type="dxa" w:w="100"/>
              <w:bottom w:type="dxa" w:w="60"/>
              <w:right w:type="dxa" w:w="100"/>
            </w:tcMar>
          </w:tcPr>
          <w:p>
            <w:r>
              <w:rPr>
                <w:color w:val="1C1C1C"/>
                <w:sz w:val="20"/>
                <w:szCs w:val="20"/>
              </w:rPr>
              <w:t xml:space="preserve">AI + robotics</w:t>
            </w:r>
          </w:p>
        </w:tc>
        <w:tc>
          <w:tcPr>
            <w:shd w:color="FFFFFF" w:val="solid"/>
            <w:tcMar>
              <w:top w:type="dxa" w:w="60"/>
              <w:left w:type="dxa" w:w="100"/>
              <w:bottom w:type="dxa" w:w="60"/>
              <w:right w:type="dxa" w:w="100"/>
            </w:tcMar>
          </w:tcPr>
          <w:p>
            <w:r>
              <w:rPr>
                <w:color w:val="1C1C1C"/>
                <w:sz w:val="20"/>
                <w:szCs w:val="20"/>
              </w:rPr>
              <w:t xml:space="preserve">Industrial scale only; no AR worker empowerment</w:t>
            </w:r>
          </w:p>
        </w:tc>
      </w:tr>
    </w:tbl>
    <w:p>
      <w:pPr>
        <w:spacing w:before="80"/>
      </w:pPr>
    </w:p>
    <w:p>
      <w:pPr>
        <w:pBdr>
          <w:left w:val="thick" w:color="00A86B" w:sz="12"/>
        </w:pBdr>
        <w:shd w:color="F0F7F4" w:val="solid"/>
        <w:spacing w:after="120" w:before="120"/>
        <w:ind w:left="576"/>
      </w:pPr>
      <w:r>
        <w:rPr>
          <w:i/>
          <w:iCs/>
          <w:color w:val="1A3C5E"/>
          <w:sz w:val="22"/>
          <w:szCs w:val="22"/>
        </w:rPr>
        <w:t xml:space="preserve">Our Differentiation: The only Taiwan-market system combining NIR molecular ID + YOLOv8 brand recognition + AR worker empowerment + Federated Learning for new composite materials.</w:t>
      </w:r>
    </w:p>
    <w:p>
      <w:pPr>
        <w:pBdr>
          <w:bottom w:val="single" w:color="00A86B" w:sz="6"/>
        </w:pBdr>
        <w:spacing w:after="160" w:before="320"/>
      </w:pPr>
      <w:r>
        <w:rPr>
          <w:b/>
          <w:bCs/>
          <w:color w:val="1A3C5E"/>
          <w:sz w:val="28"/>
          <w:szCs w:val="28"/>
        </w:rPr>
        <w:t xml:space="preserve">1.4  Financial Architecture</w:t>
      </w:r>
    </w:p>
    <w:p>
      <w:pPr>
        <w:spacing w:after="120" w:before="240"/>
      </w:pPr>
      <w:r>
        <w:rPr>
          <w:b/>
          <w:bCs/>
          <w:color w:val="00A86B"/>
          <w:sz w:val="24"/>
          <w:szCs w:val="24"/>
        </w:rPr>
        <w:t xml:space="preserve">Revenue Streams</w:t>
      </w: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tblGrid>
      <w:tr>
        <w:trPr>
          <w:tblHeader/>
        </w:trPr>
        <w:tc>
          <w:tcPr>
            <w:shd w:color="1A3C5E" w:val="solid"/>
            <w:tcMar>
              <w:top w:type="dxa" w:w="80"/>
              <w:left w:type="dxa" w:w="100"/>
              <w:bottom w:type="dxa" w:w="80"/>
              <w:right w:type="dxa" w:w="100"/>
            </w:tcMar>
          </w:tcPr>
          <w:p>
            <w:pPr>
              <w:jc w:val="center"/>
            </w:pPr>
            <w:r>
              <w:rPr>
                <w:b/>
                <w:bCs/>
                <w:color w:val="FFFFFF"/>
                <w:sz w:val="20"/>
                <w:szCs w:val="20"/>
              </w:rPr>
              <w:t xml:space="preserve">Revenue Model</w:t>
            </w:r>
          </w:p>
        </w:tc>
        <w:tc>
          <w:tcPr>
            <w:shd w:color="1A3C5E" w:val="solid"/>
            <w:tcMar>
              <w:top w:type="dxa" w:w="80"/>
              <w:left w:type="dxa" w:w="100"/>
              <w:bottom w:type="dxa" w:w="80"/>
              <w:right w:type="dxa" w:w="100"/>
            </w:tcMar>
          </w:tcPr>
          <w:p>
            <w:pPr>
              <w:jc w:val="center"/>
            </w:pPr>
            <w:r>
              <w:rPr>
                <w:b/>
                <w:bCs/>
                <w:color w:val="FFFFFF"/>
                <w:sz w:val="20"/>
                <w:szCs w:val="20"/>
              </w:rPr>
              <w:t xml:space="preserve">Description</w:t>
            </w:r>
          </w:p>
        </w:tc>
        <w:tc>
          <w:tcPr>
            <w:shd w:color="1A3C5E" w:val="solid"/>
            <w:tcMar>
              <w:top w:type="dxa" w:w="80"/>
              <w:left w:type="dxa" w:w="100"/>
              <w:bottom w:type="dxa" w:w="80"/>
              <w:right w:type="dxa" w:w="100"/>
            </w:tcMar>
          </w:tcPr>
          <w:p>
            <w:pPr>
              <w:jc w:val="center"/>
            </w:pPr>
            <w:r>
              <w:rPr>
                <w:b/>
                <w:bCs/>
                <w:color w:val="FFFFFF"/>
                <w:sz w:val="20"/>
                <w:szCs w:val="20"/>
              </w:rPr>
              <w:t xml:space="preserve">Margin Profile</w:t>
            </w:r>
          </w:p>
        </w:tc>
      </w:tr>
      <w:tr>
        <w:tc>
          <w:tcPr>
            <w:shd w:color="F7FBFA" w:val="solid"/>
            <w:tcMar>
              <w:top w:type="dxa" w:w="60"/>
              <w:left w:type="dxa" w:w="100"/>
              <w:bottom w:type="dxa" w:w="60"/>
              <w:right w:type="dxa" w:w="100"/>
            </w:tcMar>
          </w:tcPr>
          <w:p>
            <w:r>
              <w:rPr>
                <w:color w:val="1C1C1C"/>
                <w:sz w:val="20"/>
                <w:szCs w:val="20"/>
              </w:rPr>
              <w:t xml:space="preserve">B2B Equipment Leasing</w:t>
            </w:r>
          </w:p>
        </w:tc>
        <w:tc>
          <w:tcPr>
            <w:shd w:color="F7FBFA" w:val="solid"/>
            <w:tcMar>
              <w:top w:type="dxa" w:w="60"/>
              <w:left w:type="dxa" w:w="100"/>
              <w:bottom w:type="dxa" w:w="60"/>
              <w:right w:type="dxa" w:w="100"/>
            </w:tcMar>
          </w:tcPr>
          <w:p>
            <w:r>
              <w:rPr>
                <w:color w:val="1C1C1C"/>
                <w:sz w:val="20"/>
                <w:szCs w:val="20"/>
              </w:rPr>
              <w:t xml:space="preserve">Sort-Master units to MRFs &amp; property managers</w:t>
            </w:r>
          </w:p>
        </w:tc>
        <w:tc>
          <w:tcPr>
            <w:shd w:color="F7FBFA" w:val="solid"/>
            <w:tcMar>
              <w:top w:type="dxa" w:w="60"/>
              <w:left w:type="dxa" w:w="100"/>
              <w:bottom w:type="dxa" w:w="60"/>
              <w:right w:type="dxa" w:w="100"/>
            </w:tcMar>
          </w:tcPr>
          <w:p>
            <w:r>
              <w:rPr>
                <w:color w:val="1C1C1C"/>
                <w:sz w:val="20"/>
                <w:szCs w:val="20"/>
              </w:rPr>
              <w:t xml:space="preserve">Medium</w:t>
            </w:r>
          </w:p>
        </w:tc>
      </w:tr>
      <w:tr>
        <w:tc>
          <w:tcPr>
            <w:shd w:color="FFFFFF" w:val="solid"/>
            <w:tcMar>
              <w:top w:type="dxa" w:w="60"/>
              <w:left w:type="dxa" w:w="100"/>
              <w:bottom w:type="dxa" w:w="60"/>
              <w:right w:type="dxa" w:w="100"/>
            </w:tcMar>
          </w:tcPr>
          <w:p>
            <w:r>
              <w:rPr>
                <w:color w:val="1C1C1C"/>
                <w:sz w:val="20"/>
                <w:szCs w:val="20"/>
              </w:rPr>
              <w:t xml:space="preserve">B2G Data-as-a-Service</w:t>
            </w:r>
          </w:p>
        </w:tc>
        <w:tc>
          <w:tcPr>
            <w:shd w:color="FFFFFF" w:val="solid"/>
            <w:tcMar>
              <w:top w:type="dxa" w:w="60"/>
              <w:left w:type="dxa" w:w="100"/>
              <w:bottom w:type="dxa" w:w="60"/>
              <w:right w:type="dxa" w:w="100"/>
            </w:tcMar>
          </w:tcPr>
          <w:p>
            <w:r>
              <w:rPr>
                <w:color w:val="1C1C1C"/>
                <w:sz w:val="20"/>
                <w:szCs w:val="20"/>
              </w:rPr>
              <w:t xml:space="preserve">Waste flow analytics to Taiwan EPA</w:t>
            </w:r>
          </w:p>
        </w:tc>
        <w:tc>
          <w:tcPr>
            <w:shd w:color="FFFFFF" w:val="solid"/>
            <w:tcMar>
              <w:top w:type="dxa" w:w="60"/>
              <w:left w:type="dxa" w:w="100"/>
              <w:bottom w:type="dxa" w:w="60"/>
              <w:right w:type="dxa" w:w="100"/>
            </w:tcMar>
          </w:tcPr>
          <w:p>
            <w:r>
              <w:rPr>
                <w:color w:val="1C1C1C"/>
                <w:sz w:val="20"/>
                <w:szCs w:val="20"/>
              </w:rPr>
              <w:t xml:space="preserve">High</w:t>
            </w:r>
          </w:p>
        </w:tc>
      </w:tr>
      <w:tr>
        <w:tc>
          <w:tcPr>
            <w:shd w:color="F7FBFA" w:val="solid"/>
            <w:tcMar>
              <w:top w:type="dxa" w:w="60"/>
              <w:left w:type="dxa" w:w="100"/>
              <w:bottom w:type="dxa" w:w="60"/>
              <w:right w:type="dxa" w:w="100"/>
            </w:tcMar>
          </w:tcPr>
          <w:p>
            <w:r>
              <w:rPr>
                <w:color w:val="1C1C1C"/>
                <w:sz w:val="20"/>
                <w:szCs w:val="20"/>
              </w:rPr>
              <w:t xml:space="preserve">Material Premium Revenue</w:t>
            </w:r>
          </w:p>
        </w:tc>
        <w:tc>
          <w:tcPr>
            <w:shd w:color="F7FBFA" w:val="solid"/>
            <w:tcMar>
              <w:top w:type="dxa" w:w="60"/>
              <w:left w:type="dxa" w:w="100"/>
              <w:bottom w:type="dxa" w:w="60"/>
              <w:right w:type="dxa" w:w="100"/>
            </w:tcMar>
          </w:tcPr>
          <w:p>
            <w:r>
              <w:rPr>
                <w:color w:val="1C1C1C"/>
                <w:sz w:val="20"/>
                <w:szCs w:val="20"/>
              </w:rPr>
              <w:t xml:space="preserve">Revenue share from higher-value recyclable sales</w:t>
            </w:r>
          </w:p>
        </w:tc>
        <w:tc>
          <w:tcPr>
            <w:shd w:color="F7FBFA" w:val="solid"/>
            <w:tcMar>
              <w:top w:type="dxa" w:w="60"/>
              <w:left w:type="dxa" w:w="100"/>
              <w:bottom w:type="dxa" w:w="60"/>
              <w:right w:type="dxa" w:w="100"/>
            </w:tcMar>
          </w:tcPr>
          <w:p>
            <w:r>
              <w:rPr>
                <w:color w:val="1C1C1C"/>
                <w:sz w:val="20"/>
                <w:szCs w:val="20"/>
              </w:rPr>
              <w:t xml:space="preserve">High</w:t>
            </w:r>
          </w:p>
        </w:tc>
      </w:tr>
      <w:tr>
        <w:tc>
          <w:tcPr>
            <w:shd w:color="FFFFFF" w:val="solid"/>
            <w:tcMar>
              <w:top w:type="dxa" w:w="60"/>
              <w:left w:type="dxa" w:w="100"/>
              <w:bottom w:type="dxa" w:w="60"/>
              <w:right w:type="dxa" w:w="100"/>
            </w:tcMar>
          </w:tcPr>
          <w:p>
            <w:r>
              <w:rPr>
                <w:color w:val="1C1C1C"/>
                <w:sz w:val="20"/>
                <w:szCs w:val="20"/>
              </w:rPr>
              <w:t xml:space="preserve">AR Worker License</w:t>
            </w:r>
          </w:p>
        </w:tc>
        <w:tc>
          <w:tcPr>
            <w:shd w:color="FFFFFF" w:val="solid"/>
            <w:tcMar>
              <w:top w:type="dxa" w:w="60"/>
              <w:left w:type="dxa" w:w="100"/>
              <w:bottom w:type="dxa" w:w="60"/>
              <w:right w:type="dxa" w:w="100"/>
            </w:tcMar>
          </w:tcPr>
          <w:p>
            <w:r>
              <w:rPr>
                <w:color w:val="1C1C1C"/>
                <w:sz w:val="20"/>
                <w:szCs w:val="20"/>
              </w:rPr>
              <w:t xml:space="preserve">SaaS subscription for smaller sorting hubs</w:t>
            </w:r>
          </w:p>
        </w:tc>
        <w:tc>
          <w:tcPr>
            <w:shd w:color="FFFFFF" w:val="solid"/>
            <w:tcMar>
              <w:top w:type="dxa" w:w="60"/>
              <w:left w:type="dxa" w:w="100"/>
              <w:bottom w:type="dxa" w:w="60"/>
              <w:right w:type="dxa" w:w="100"/>
            </w:tcMar>
          </w:tcPr>
          <w:p>
            <w:r>
              <w:rPr>
                <w:color w:val="1C1C1C"/>
                <w:sz w:val="20"/>
                <w:szCs w:val="20"/>
              </w:rPr>
              <w:t xml:space="preserve">Recurring</w:t>
            </w:r>
          </w:p>
        </w:tc>
      </w:tr>
    </w:tbl>
    <w:p>
      <w:pPr>
        <w:spacing w:before="120"/>
      </w:pPr>
    </w:p>
    <w:p>
      <w:pPr>
        <w:spacing w:after="120" w:before="240"/>
      </w:pPr>
      <w:r>
        <w:rPr>
          <w:b/>
          <w:bCs/>
          <w:color w:val="00A86B"/>
          <w:sz w:val="24"/>
          <w:szCs w:val="24"/>
        </w:rPr>
        <w:t xml:space="preserve">Unit Economics (Per Sorting Node)</w:t>
      </w:r>
    </w:p>
    <w:p>
      <w:pPr>
        <w:pStyle w:val="ListParagraph"/>
        <w:numPr>
          <w:ilvl w:val="0"/>
          <w:numId w:val="1"/>
        </w:numPr>
        <w:spacing w:after="60" w:before="40"/>
      </w:pPr>
      <w:r>
        <w:rPr>
          <w:color w:val="1C1C1C"/>
          <w:sz w:val="22"/>
          <w:szCs w:val="22"/>
        </w:rPr>
        <w:t xml:space="preserve">CAPEX: ~$55,000–$75,000 USD per sorting line</w:t>
      </w:r>
    </w:p>
    <w:p>
      <w:pPr>
        <w:pStyle w:val="ListParagraph"/>
        <w:numPr>
          <w:ilvl w:val="0"/>
          <w:numId w:val="1"/>
        </w:numPr>
        <w:spacing w:after="60" w:before="40"/>
      </w:pPr>
      <w:r>
        <w:rPr>
          <w:color w:val="1C1C1C"/>
          <w:sz w:val="22"/>
          <w:szCs w:val="22"/>
        </w:rPr>
        <w:t xml:space="preserve">Estimated payback period: 2.5–4 years</w:t>
      </w:r>
    </w:p>
    <w:p>
      <w:pPr>
        <w:pStyle w:val="ListParagraph"/>
        <w:numPr>
          <w:ilvl w:val="0"/>
          <w:numId w:val="1"/>
        </w:numPr>
        <w:spacing w:after="60" w:before="40"/>
      </w:pPr>
      <w:r>
        <w:rPr>
          <w:color w:val="1C1C1C"/>
          <w:sz w:val="22"/>
          <w:szCs w:val="22"/>
        </w:rPr>
        <w:t xml:space="preserve">Annual savings per hub: $120,000–$180,000 USD (labor + material value uplift)</w:t>
      </w:r>
    </w:p>
    <w:p>
      <w:pPr>
        <w:pStyle w:val="ListParagraph"/>
        <w:numPr>
          <w:ilvl w:val="0"/>
          <w:numId w:val="1"/>
        </w:numPr>
        <w:spacing w:after="60" w:before="40"/>
      </w:pPr>
      <w:r>
        <w:rPr>
          <w:color w:val="1C1C1C"/>
          <w:sz w:val="22"/>
          <w:szCs w:val="22"/>
        </w:rPr>
        <w:t xml:space="preserve">Government subsidies: Available via circular economy green growth funds</w:t>
      </w:r>
    </w:p>
    <w:p>
      <w:pPr>
        <w:pBdr>
          <w:bottom w:val="single" w:color="00A86B" w:sz="6"/>
        </w:pBdr>
        <w:spacing w:after="160" w:before="320"/>
      </w:pPr>
      <w:r>
        <w:rPr>
          <w:b/>
          <w:bCs/>
          <w:color w:val="1A3C5E"/>
          <w:sz w:val="28"/>
          <w:szCs w:val="28"/>
        </w:rPr>
        <w:t xml:space="preserve">1.5  Social Impact &amp; Yunus Alignment</w:t>
      </w:r>
    </w:p>
    <w:p>
      <w:pPr>
        <w:spacing w:after="120" w:before="240"/>
      </w:pPr>
      <w:r>
        <w:rPr>
          <w:b/>
          <w:bCs/>
          <w:color w:val="00A86B"/>
          <w:sz w:val="24"/>
          <w:szCs w:val="24"/>
        </w:rPr>
        <w:t xml:space="preserve">SDG Coverage</w:t>
      </w: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tblGrid>
      <w:tr>
        <w:trPr>
          <w:tblHeader/>
        </w:trPr>
        <w:tc>
          <w:tcPr>
            <w:shd w:color="00A86B" w:val="solid"/>
            <w:tcMar>
              <w:top w:type="dxa" w:w="80"/>
              <w:left w:type="dxa" w:w="100"/>
              <w:bottom w:type="dxa" w:w="80"/>
              <w:right w:type="dxa" w:w="100"/>
            </w:tcMar>
          </w:tcPr>
          <w:p>
            <w:pPr>
              <w:jc w:val="center"/>
            </w:pPr>
            <w:r>
              <w:rPr>
                <w:b/>
                <w:bCs/>
                <w:color w:val="FFFFFF"/>
                <w:sz w:val="20"/>
                <w:szCs w:val="20"/>
              </w:rPr>
              <w:t xml:space="preserve">SDG</w:t>
            </w:r>
          </w:p>
        </w:tc>
        <w:tc>
          <w:tcPr>
            <w:shd w:color="00A86B" w:val="solid"/>
            <w:tcMar>
              <w:top w:type="dxa" w:w="80"/>
              <w:left w:type="dxa" w:w="100"/>
              <w:bottom w:type="dxa" w:w="80"/>
              <w:right w:type="dxa" w:w="100"/>
            </w:tcMar>
          </w:tcPr>
          <w:p>
            <w:pPr>
              <w:jc w:val="center"/>
            </w:pPr>
            <w:r>
              <w:rPr>
                <w:b/>
                <w:bCs/>
                <w:color w:val="FFFFFF"/>
                <w:sz w:val="20"/>
                <w:szCs w:val="20"/>
              </w:rPr>
              <w:t xml:space="preserve">Goal</w:t>
            </w:r>
          </w:p>
        </w:tc>
        <w:tc>
          <w:tcPr>
            <w:shd w:color="00A86B" w:val="solid"/>
            <w:tcMar>
              <w:top w:type="dxa" w:w="80"/>
              <w:left w:type="dxa" w:w="100"/>
              <w:bottom w:type="dxa" w:w="80"/>
              <w:right w:type="dxa" w:w="100"/>
            </w:tcMar>
          </w:tcPr>
          <w:p>
            <w:pPr>
              <w:jc w:val="center"/>
            </w:pPr>
            <w:r>
              <w:rPr>
                <w:b/>
                <w:bCs/>
                <w:color w:val="FFFFFF"/>
                <w:sz w:val="20"/>
                <w:szCs w:val="20"/>
              </w:rPr>
              <w:t xml:space="preserve">Implementation</w:t>
            </w:r>
          </w:p>
        </w:tc>
      </w:tr>
      <w:tr>
        <w:tc>
          <w:tcPr>
            <w:shd w:color="F7FBFA" w:val="solid"/>
            <w:tcMar>
              <w:top w:type="dxa" w:w="60"/>
              <w:left w:type="dxa" w:w="100"/>
              <w:bottom w:type="dxa" w:w="60"/>
              <w:right w:type="dxa" w:w="100"/>
            </w:tcMar>
          </w:tcPr>
          <w:p>
            <w:r>
              <w:rPr>
                <w:color w:val="1C1C1C"/>
                <w:sz w:val="20"/>
                <w:szCs w:val="20"/>
              </w:rPr>
              <w:t xml:space="preserve">SDG 9</w:t>
            </w:r>
          </w:p>
        </w:tc>
        <w:tc>
          <w:tcPr>
            <w:shd w:color="F7FBFA" w:val="solid"/>
            <w:tcMar>
              <w:top w:type="dxa" w:w="60"/>
              <w:left w:type="dxa" w:w="100"/>
              <w:bottom w:type="dxa" w:w="60"/>
              <w:right w:type="dxa" w:w="100"/>
            </w:tcMar>
          </w:tcPr>
          <w:p>
            <w:r>
              <w:rPr>
                <w:color w:val="1C1C1C"/>
                <w:sz w:val="20"/>
                <w:szCs w:val="20"/>
              </w:rPr>
              <w:t xml:space="preserve">Industry &amp; Innovation</w:t>
            </w:r>
          </w:p>
        </w:tc>
        <w:tc>
          <w:tcPr>
            <w:shd w:color="F7FBFA" w:val="solid"/>
            <w:tcMar>
              <w:top w:type="dxa" w:w="60"/>
              <w:left w:type="dxa" w:w="100"/>
              <w:bottom w:type="dxa" w:w="60"/>
              <w:right w:type="dxa" w:w="100"/>
            </w:tcMar>
          </w:tcPr>
          <w:p>
            <w:r>
              <w:rPr>
                <w:color w:val="1C1C1C"/>
                <w:sz w:val="20"/>
                <w:szCs w:val="20"/>
              </w:rPr>
              <w:t xml:space="preserve">Deploying frontier AI infrastructure for circular material flows in Taiwan</w:t>
            </w:r>
          </w:p>
        </w:tc>
      </w:tr>
      <w:tr>
        <w:tc>
          <w:tcPr>
            <w:shd w:color="FFFFFF" w:val="solid"/>
            <w:tcMar>
              <w:top w:type="dxa" w:w="60"/>
              <w:left w:type="dxa" w:w="100"/>
              <w:bottom w:type="dxa" w:w="60"/>
              <w:right w:type="dxa" w:w="100"/>
            </w:tcMar>
          </w:tcPr>
          <w:p>
            <w:r>
              <w:rPr>
                <w:color w:val="1C1C1C"/>
                <w:sz w:val="20"/>
                <w:szCs w:val="20"/>
              </w:rPr>
              <w:t xml:space="preserve">SDG 12</w:t>
            </w:r>
          </w:p>
        </w:tc>
        <w:tc>
          <w:tcPr>
            <w:shd w:color="FFFFFF" w:val="solid"/>
            <w:tcMar>
              <w:top w:type="dxa" w:w="60"/>
              <w:left w:type="dxa" w:w="100"/>
              <w:bottom w:type="dxa" w:w="60"/>
              <w:right w:type="dxa" w:w="100"/>
            </w:tcMar>
          </w:tcPr>
          <w:p>
            <w:r>
              <w:rPr>
                <w:color w:val="1C1C1C"/>
                <w:sz w:val="20"/>
                <w:szCs w:val="20"/>
              </w:rPr>
              <w:t xml:space="preserve">Responsible Production</w:t>
            </w:r>
          </w:p>
        </w:tc>
        <w:tc>
          <w:tcPr>
            <w:shd w:color="FFFFFF" w:val="solid"/>
            <w:tcMar>
              <w:top w:type="dxa" w:w="60"/>
              <w:left w:type="dxa" w:w="100"/>
              <w:bottom w:type="dxa" w:w="60"/>
              <w:right w:type="dxa" w:w="100"/>
            </w:tcMar>
          </w:tcPr>
          <w:p>
            <w:r>
              <w:rPr>
                <w:color w:val="1C1C1C"/>
                <w:sz w:val="20"/>
                <w:szCs w:val="20"/>
              </w:rPr>
              <w:t xml:space="preserve">Converting 'false recycling' into genuine molecular-level material recovery</w:t>
            </w:r>
          </w:p>
        </w:tc>
      </w:tr>
      <w:tr>
        <w:tc>
          <w:tcPr>
            <w:shd w:color="F7FBFA" w:val="solid"/>
            <w:tcMar>
              <w:top w:type="dxa" w:w="60"/>
              <w:left w:type="dxa" w:w="100"/>
              <w:bottom w:type="dxa" w:w="60"/>
              <w:right w:type="dxa" w:w="100"/>
            </w:tcMar>
          </w:tcPr>
          <w:p>
            <w:r>
              <w:rPr>
                <w:color w:val="1C1C1C"/>
                <w:sz w:val="20"/>
                <w:szCs w:val="20"/>
              </w:rPr>
              <w:t xml:space="preserve">SDG 14</w:t>
            </w:r>
          </w:p>
        </w:tc>
        <w:tc>
          <w:tcPr>
            <w:shd w:color="F7FBFA" w:val="solid"/>
            <w:tcMar>
              <w:top w:type="dxa" w:w="60"/>
              <w:left w:type="dxa" w:w="100"/>
              <w:bottom w:type="dxa" w:w="60"/>
              <w:right w:type="dxa" w:w="100"/>
            </w:tcMar>
          </w:tcPr>
          <w:p>
            <w:r>
              <w:rPr>
                <w:color w:val="1C1C1C"/>
                <w:sz w:val="20"/>
                <w:szCs w:val="20"/>
              </w:rPr>
              <w:t xml:space="preserve">Life Below Water</w:t>
            </w:r>
          </w:p>
        </w:tc>
        <w:tc>
          <w:tcPr>
            <w:shd w:color="F7FBFA" w:val="solid"/>
            <w:tcMar>
              <w:top w:type="dxa" w:w="60"/>
              <w:left w:type="dxa" w:w="100"/>
              <w:bottom w:type="dxa" w:w="60"/>
              <w:right w:type="dxa" w:w="100"/>
            </w:tcMar>
          </w:tcPr>
          <w:p>
            <w:r>
              <w:rPr>
                <w:color w:val="1C1C1C"/>
                <w:sz w:val="20"/>
                <w:szCs w:val="20"/>
              </w:rPr>
              <w:t xml:space="preserve">Preventing microplastic contamination from landfill leachate</w:t>
            </w:r>
          </w:p>
        </w:tc>
      </w:tr>
    </w:tbl>
    <w:p>
      <w:pPr>
        <w:spacing w:before="120"/>
      </w:pPr>
    </w:p>
    <w:p>
      <w:pPr>
        <w:spacing w:after="120" w:before="240"/>
      </w:pPr>
      <w:r>
        <w:rPr>
          <w:b/>
          <w:bCs/>
          <w:color w:val="00A86B"/>
          <w:sz w:val="24"/>
          <w:szCs w:val="24"/>
        </w:rPr>
        <w:t xml:space="preserve">Yunus '3-Zero' Alignment</w:t>
      </w:r>
    </w:p>
    <w:p>
      <w:pPr>
        <w:pStyle w:val="ListParagraph"/>
        <w:numPr>
          <w:ilvl w:val="0"/>
          <w:numId w:val="1"/>
        </w:numPr>
        <w:spacing w:after="60" w:before="40"/>
      </w:pPr>
      <w:r>
        <w:rPr>
          <w:color w:val="1C1C1C"/>
          <w:sz w:val="22"/>
          <w:szCs w:val="22"/>
        </w:rPr>
        <w:t xml:space="preserve">Zero Net Carbon: Replacing incineration (CO₂-intensive) with closed-loop material recovery</w:t>
      </w:r>
    </w:p>
    <w:p>
      <w:pPr>
        <w:pStyle w:val="ListParagraph"/>
        <w:numPr>
          <w:ilvl w:val="0"/>
          <w:numId w:val="1"/>
        </w:numPr>
        <w:spacing w:after="60" w:before="40"/>
      </w:pPr>
      <w:r>
        <w:rPr>
          <w:color w:val="1C1C1C"/>
          <w:sz w:val="22"/>
          <w:szCs w:val="22"/>
        </w:rPr>
        <w:t xml:space="preserve">Zero Unemployment: Shifting sorter roles from hazardous manual picking to tech-monitoring, enabling workforce upskilling</w:t>
      </w:r>
    </w:p>
    <w:p>
      <w:pPr>
        <w:spacing w:before="100"/>
      </w:pPr>
    </w:p>
    <w:p>
      <w:pPr>
        <w:spacing w:after="120" w:before="240"/>
      </w:pPr>
      <w:r>
        <w:rPr>
          <w:b/>
          <w:bCs/>
          <w:color w:val="00A86B"/>
          <w:sz w:val="24"/>
          <w:szCs w:val="24"/>
        </w:rPr>
        <w:t xml:space="preserve">Year 5 Impact Targets</w:t>
      </w:r>
    </w:p>
    <w:p>
      <w:pPr>
        <w:pStyle w:val="ListParagraph"/>
        <w:numPr>
          <w:ilvl w:val="0"/>
          <w:numId w:val="1"/>
        </w:numPr>
        <w:spacing w:after="60" w:before="40"/>
      </w:pPr>
      <w:r>
        <w:rPr>
          <w:color w:val="1C1C1C"/>
          <w:sz w:val="22"/>
          <w:szCs w:val="22"/>
        </w:rPr>
        <w:t xml:space="preserve">30 sorting nodes deployed across Taiwan</w:t>
      </w:r>
    </w:p>
    <w:p>
      <w:pPr>
        <w:pStyle w:val="ListParagraph"/>
        <w:numPr>
          <w:ilvl w:val="0"/>
          <w:numId w:val="1"/>
        </w:numPr>
        <w:spacing w:after="60" w:before="40"/>
      </w:pPr>
      <w:r>
        <w:rPr>
          <w:color w:val="1C1C1C"/>
          <w:sz w:val="22"/>
          <w:szCs w:val="22"/>
        </w:rPr>
        <w:t xml:space="preserve">20% reduction in Taiwan's incineration load (~2.2M tonnes/year diverted)</w:t>
      </w:r>
    </w:p>
    <w:p>
      <w:pPr>
        <w:pStyle w:val="ListParagraph"/>
        <w:numPr>
          <w:ilvl w:val="0"/>
          <w:numId w:val="1"/>
        </w:numPr>
        <w:spacing w:after="60" w:before="40"/>
      </w:pPr>
      <w:r>
        <w:rPr>
          <w:color w:val="1C1C1C"/>
          <w:sz w:val="22"/>
          <w:szCs w:val="22"/>
        </w:rPr>
        <w:t xml:space="preserve">99.5%+ material purity rate for PET, HDPE, and Paper streams</w:t>
      </w:r>
    </w:p>
    <w:p>
      <w:pPr>
        <w:pStyle w:val="ListParagraph"/>
        <w:numPr>
          <w:ilvl w:val="0"/>
          <w:numId w:val="1"/>
        </w:numPr>
        <w:spacing w:after="60" w:before="40"/>
      </w:pPr>
      <w:r>
        <w:rPr>
          <w:color w:val="1C1C1C"/>
          <w:sz w:val="22"/>
          <w:szCs w:val="22"/>
        </w:rPr>
        <w:t xml:space="preserve">30–40% increase in resale price of recycled materials</w:t>
      </w:r>
    </w:p>
    <w:p>
      <w:r>
        <w:br w:type="page"/>
      </w:r>
    </w:p>
    <w:p>
      <w:pPr>
        <w:pStyle w:val="Heading1"/>
        <w:spacing w:after="200" w:before="400"/>
        <w:rPr>
          <w:b/>
          <w:bCs/>
          <w:color w:val="1A3C5E"/>
        </w:rPr>
      </w:pPr>
      <w:r>
        <w:t xml:space="preserve">PART II — BSF Bio-Loop: Circular Protein System</w:t>
      </w:r>
    </w:p>
    <w:p>
      <w:pPr>
        <w:pBdr>
          <w:bottom w:val="single" w:color="00A86B" w:sz="6"/>
        </w:pBdr>
        <w:spacing w:after="160" w:before="320"/>
      </w:pPr>
      <w:r>
        <w:rPr>
          <w:b/>
          <w:bCs/>
          <w:color w:val="1A3C5E"/>
          <w:sz w:val="28"/>
          <w:szCs w:val="28"/>
        </w:rPr>
        <w:t xml:space="preserve">2.1  The Problem: Urban Organic Waste &amp; Protein Import Dependence</w:t>
      </w:r>
    </w:p>
    <w:p>
      <w:pPr>
        <w:spacing w:after="100" w:before="80"/>
      </w:pPr>
      <w:r>
        <w:rPr>
          <w:color w:val="1C1C1C"/>
          <w:sz w:val="22"/>
          <w:szCs w:val="22"/>
        </w:rPr>
        <w:t xml:space="preserve">Taiwan generates over 1,000 tonnes of food waste daily from commercial and restaurant sectors. Night markets like Shilin, Raohe, Fengjia, and Ningxia produce concentrated, high-organic-matter waste that is incompatible with traditional composting due to its high lipid and salt content.</w:t>
      </w:r>
    </w:p>
    <w:p>
      <w:pPr>
        <w:spacing w:after="120" w:before="240"/>
      </w:pPr>
      <w:r>
        <w:rPr>
          <w:b/>
          <w:bCs/>
          <w:color w:val="00A86B"/>
          <w:sz w:val="24"/>
          <w:szCs w:val="24"/>
        </w:rPr>
        <w:t xml:space="preserve">The Dual Crisis</w:t>
      </w:r>
    </w:p>
    <w:p>
      <w:pPr>
        <w:pStyle w:val="ListParagraph"/>
        <w:numPr>
          <w:ilvl w:val="0"/>
          <w:numId w:val="1"/>
        </w:numPr>
        <w:spacing w:after="60" w:before="40"/>
      </w:pPr>
      <w:r>
        <w:rPr>
          <w:color w:val="1C1C1C"/>
          <w:sz w:val="22"/>
          <w:szCs w:val="22"/>
        </w:rPr>
        <w:t xml:space="preserve">Waste Crisis: Night market food waste cannot be composted (high fat/salt kills bacteria) and is currently sent to incineration plants that Taiwan's government plans to phase out for food waste by end of 2027.</w:t>
      </w:r>
    </w:p>
    <w:p>
      <w:pPr>
        <w:pStyle w:val="ListParagraph"/>
        <w:numPr>
          <w:ilvl w:val="0"/>
          <w:numId w:val="1"/>
        </w:numPr>
        <w:spacing w:after="60" w:before="40"/>
      </w:pPr>
      <w:r>
        <w:rPr>
          <w:color w:val="1C1C1C"/>
          <w:sz w:val="22"/>
          <w:szCs w:val="22"/>
        </w:rPr>
        <w:t xml:space="preserve">Protein Import Vulnerability: Taiwan imports significant volumes of fishmeal for its major aquaculture sector, creating supply chain and price volatility risk.</w:t>
      </w:r>
    </w:p>
    <w:p>
      <w:pPr>
        <w:pBdr>
          <w:bottom w:val="single" w:color="00A86B" w:sz="6"/>
        </w:pBdr>
        <w:spacing w:after="160" w:before="320"/>
      </w:pPr>
      <w:r>
        <w:rPr>
          <w:b/>
          <w:bCs/>
          <w:color w:val="1A3C5E"/>
          <w:sz w:val="28"/>
          <w:szCs w:val="28"/>
        </w:rPr>
        <w:t xml:space="preserve">2.2  The Science of BSF Bioconversion</w:t>
      </w:r>
    </w:p>
    <w:p>
      <w:pPr>
        <w:spacing w:after="100" w:before="80"/>
      </w:pPr>
      <w:r>
        <w:rPr>
          <w:color w:val="1C1C1C"/>
          <w:sz w:val="22"/>
          <w:szCs w:val="22"/>
        </w:rPr>
        <w:t xml:space="preserve">Hermetia illucens (Black Soldier Fly) is nature's most efficient organic waste converter. BSF larvae can reduce organic waste volume by 70–80% in just 7–14 days while producing 40–50% crude protein biomass.</w:t>
      </w:r>
    </w:p>
    <w:p>
      <w:pPr>
        <w:spacing w:after="120" w:before="240"/>
      </w:pPr>
      <w:r>
        <w:rPr>
          <w:b/>
          <w:bCs/>
          <w:color w:val="00A86B"/>
          <w:sz w:val="24"/>
          <w:szCs w:val="24"/>
        </w:rPr>
        <w:t xml:space="preserve">Key Biological Data</w:t>
      </w: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tblGrid>
      <w:tr>
        <w:trPr>
          <w:tblHeader/>
        </w:trPr>
        <w:tc>
          <w:tcPr>
            <w:shd w:color="1A3C5E" w:val="solid"/>
            <w:tcMar>
              <w:top w:type="dxa" w:w="80"/>
              <w:left w:type="dxa" w:w="100"/>
              <w:bottom w:type="dxa" w:w="80"/>
              <w:right w:type="dxa" w:w="100"/>
            </w:tcMar>
          </w:tcPr>
          <w:p>
            <w:pPr>
              <w:jc w:val="center"/>
            </w:pPr>
            <w:r>
              <w:rPr>
                <w:b/>
                <w:bCs/>
                <w:color w:val="FFFFFF"/>
                <w:sz w:val="20"/>
                <w:szCs w:val="20"/>
              </w:rPr>
              <w:t xml:space="preserve">Metric</w:t>
            </w:r>
          </w:p>
        </w:tc>
        <w:tc>
          <w:tcPr>
            <w:shd w:color="1A3C5E" w:val="solid"/>
            <w:tcMar>
              <w:top w:type="dxa" w:w="80"/>
              <w:left w:type="dxa" w:w="100"/>
              <w:bottom w:type="dxa" w:w="80"/>
              <w:right w:type="dxa" w:w="100"/>
            </w:tcMar>
          </w:tcPr>
          <w:p>
            <w:pPr>
              <w:jc w:val="center"/>
            </w:pPr>
            <w:r>
              <w:rPr>
                <w:b/>
                <w:bCs/>
                <w:color w:val="FFFFFF"/>
                <w:sz w:val="20"/>
                <w:szCs w:val="20"/>
              </w:rPr>
              <w:t xml:space="preserve">Value</w:t>
            </w:r>
          </w:p>
        </w:tc>
        <w:tc>
          <w:tcPr>
            <w:shd w:color="1A3C5E" w:val="solid"/>
            <w:tcMar>
              <w:top w:type="dxa" w:w="80"/>
              <w:left w:type="dxa" w:w="100"/>
              <w:bottom w:type="dxa" w:w="80"/>
              <w:right w:type="dxa" w:w="100"/>
            </w:tcMar>
          </w:tcPr>
          <w:p>
            <w:pPr>
              <w:jc w:val="center"/>
            </w:pPr>
            <w:r>
              <w:rPr>
                <w:b/>
                <w:bCs/>
                <w:color w:val="FFFFFF"/>
                <w:sz w:val="20"/>
                <w:szCs w:val="20"/>
              </w:rPr>
              <w:t xml:space="preserve">Citation</w:t>
            </w:r>
          </w:p>
        </w:tc>
      </w:tr>
      <w:tr>
        <w:tc>
          <w:tcPr>
            <w:shd w:color="F7FBFA" w:val="solid"/>
            <w:tcMar>
              <w:top w:type="dxa" w:w="60"/>
              <w:left w:type="dxa" w:w="100"/>
              <w:bottom w:type="dxa" w:w="60"/>
              <w:right w:type="dxa" w:w="100"/>
            </w:tcMar>
          </w:tcPr>
          <w:p>
            <w:r>
              <w:rPr>
                <w:color w:val="1C1C1C"/>
                <w:sz w:val="20"/>
                <w:szCs w:val="20"/>
              </w:rPr>
              <w:t xml:space="preserve">Waste volume reduction</w:t>
            </w:r>
          </w:p>
        </w:tc>
        <w:tc>
          <w:tcPr>
            <w:shd w:color="F7FBFA" w:val="solid"/>
            <w:tcMar>
              <w:top w:type="dxa" w:w="60"/>
              <w:left w:type="dxa" w:w="100"/>
              <w:bottom w:type="dxa" w:w="60"/>
              <w:right w:type="dxa" w:w="100"/>
            </w:tcMar>
          </w:tcPr>
          <w:p>
            <w:r>
              <w:rPr>
                <w:color w:val="1C1C1C"/>
                <w:sz w:val="20"/>
                <w:szCs w:val="20"/>
              </w:rPr>
              <w:t xml:space="preserve">70–80% in 7–14 days</w:t>
            </w:r>
          </w:p>
        </w:tc>
        <w:tc>
          <w:tcPr>
            <w:shd w:color="F7FBFA" w:val="solid"/>
            <w:tcMar>
              <w:top w:type="dxa" w:w="60"/>
              <w:left w:type="dxa" w:w="100"/>
              <w:bottom w:type="dxa" w:w="60"/>
              <w:right w:type="dxa" w:w="100"/>
            </w:tcMar>
          </w:tcPr>
          <w:p>
            <w:r>
              <w:rPr>
                <w:color w:val="1C1C1C"/>
                <w:sz w:val="20"/>
                <w:szCs w:val="20"/>
              </w:rPr>
              <w:t xml:space="preserve">PeerJ Journals, 2024</w:t>
            </w:r>
          </w:p>
        </w:tc>
      </w:tr>
      <w:tr>
        <w:tc>
          <w:tcPr>
            <w:shd w:color="FFFFFF" w:val="solid"/>
            <w:tcMar>
              <w:top w:type="dxa" w:w="60"/>
              <w:left w:type="dxa" w:w="100"/>
              <w:bottom w:type="dxa" w:w="60"/>
              <w:right w:type="dxa" w:w="100"/>
            </w:tcMar>
          </w:tcPr>
          <w:p>
            <w:r>
              <w:rPr>
                <w:color w:val="1C1C1C"/>
                <w:sz w:val="20"/>
                <w:szCs w:val="20"/>
              </w:rPr>
              <w:t xml:space="preserve">Larval crude protein content</w:t>
            </w:r>
          </w:p>
        </w:tc>
        <w:tc>
          <w:tcPr>
            <w:shd w:color="FFFFFF" w:val="solid"/>
            <w:tcMar>
              <w:top w:type="dxa" w:w="60"/>
              <w:left w:type="dxa" w:w="100"/>
              <w:bottom w:type="dxa" w:w="60"/>
              <w:right w:type="dxa" w:w="100"/>
            </w:tcMar>
          </w:tcPr>
          <w:p>
            <w:r>
              <w:rPr>
                <w:color w:val="1C1C1C"/>
                <w:sz w:val="20"/>
                <w:szCs w:val="20"/>
              </w:rPr>
              <w:t xml:space="preserve">40–50% dry weight</w:t>
            </w:r>
          </w:p>
        </w:tc>
        <w:tc>
          <w:tcPr>
            <w:shd w:color="FFFFFF" w:val="solid"/>
            <w:tcMar>
              <w:top w:type="dxa" w:w="60"/>
              <w:left w:type="dxa" w:w="100"/>
              <w:bottom w:type="dxa" w:w="60"/>
              <w:right w:type="dxa" w:w="100"/>
            </w:tcMar>
          </w:tcPr>
          <w:p>
            <w:r>
              <w:rPr>
                <w:color w:val="1C1C1C"/>
                <w:sz w:val="20"/>
                <w:szCs w:val="20"/>
              </w:rPr>
              <w:t xml:space="preserve">Texas A&amp;M, 2024</w:t>
            </w:r>
          </w:p>
        </w:tc>
      </w:tr>
      <w:tr>
        <w:tc>
          <w:tcPr>
            <w:shd w:color="F7FBFA" w:val="solid"/>
            <w:tcMar>
              <w:top w:type="dxa" w:w="60"/>
              <w:left w:type="dxa" w:w="100"/>
              <w:bottom w:type="dxa" w:w="60"/>
              <w:right w:type="dxa" w:w="100"/>
            </w:tcMar>
          </w:tcPr>
          <w:p>
            <w:r>
              <w:rPr>
                <w:color w:val="1C1C1C"/>
                <w:sz w:val="20"/>
                <w:szCs w:val="20"/>
              </w:rPr>
              <w:t xml:space="preserve">Lipid content</w:t>
            </w:r>
          </w:p>
        </w:tc>
        <w:tc>
          <w:tcPr>
            <w:shd w:color="F7FBFA" w:val="solid"/>
            <w:tcMar>
              <w:top w:type="dxa" w:w="60"/>
              <w:left w:type="dxa" w:w="100"/>
              <w:bottom w:type="dxa" w:w="60"/>
              <w:right w:type="dxa" w:w="100"/>
            </w:tcMar>
          </w:tcPr>
          <w:p>
            <w:r>
              <w:rPr>
                <w:color w:val="1C1C1C"/>
                <w:sz w:val="20"/>
                <w:szCs w:val="20"/>
              </w:rPr>
              <w:t xml:space="preserve">25–35% dry weight</w:t>
            </w:r>
          </w:p>
        </w:tc>
        <w:tc>
          <w:tcPr>
            <w:shd w:color="F7FBFA" w:val="solid"/>
            <w:tcMar>
              <w:top w:type="dxa" w:w="60"/>
              <w:left w:type="dxa" w:w="100"/>
              <w:bottom w:type="dxa" w:w="60"/>
              <w:right w:type="dxa" w:w="100"/>
            </w:tcMar>
          </w:tcPr>
          <w:p>
            <w:r>
              <w:rPr>
                <w:color w:val="1C1C1C"/>
                <w:sz w:val="20"/>
                <w:szCs w:val="20"/>
              </w:rPr>
              <w:t xml:space="preserve">BetaBugs, 2024</w:t>
            </w:r>
          </w:p>
        </w:tc>
      </w:tr>
      <w:tr>
        <w:tc>
          <w:tcPr>
            <w:shd w:color="FFFFFF" w:val="solid"/>
            <w:tcMar>
              <w:top w:type="dxa" w:w="60"/>
              <w:left w:type="dxa" w:w="100"/>
              <w:bottom w:type="dxa" w:w="60"/>
              <w:right w:type="dxa" w:w="100"/>
            </w:tcMar>
          </w:tcPr>
          <w:p>
            <w:r>
              <w:rPr>
                <w:color w:val="1C1C1C"/>
                <w:sz w:val="20"/>
                <w:szCs w:val="20"/>
              </w:rPr>
              <w:t xml:space="preserve">Antimicrobial peptides</w:t>
            </w:r>
          </w:p>
        </w:tc>
        <w:tc>
          <w:tcPr>
            <w:shd w:color="FFFFFF" w:val="solid"/>
            <w:tcMar>
              <w:top w:type="dxa" w:w="60"/>
              <w:left w:type="dxa" w:w="100"/>
              <w:bottom w:type="dxa" w:w="60"/>
              <w:right w:type="dxa" w:w="100"/>
            </w:tcMar>
          </w:tcPr>
          <w:p>
            <w:r>
              <w:rPr>
                <w:color w:val="1C1C1C"/>
                <w:sz w:val="20"/>
                <w:szCs w:val="20"/>
              </w:rPr>
              <w:t xml:space="preserve">Present (natural immunity benefit)</w:t>
            </w:r>
          </w:p>
        </w:tc>
        <w:tc>
          <w:tcPr>
            <w:shd w:color="FFFFFF" w:val="solid"/>
            <w:tcMar>
              <w:top w:type="dxa" w:w="60"/>
              <w:left w:type="dxa" w:w="100"/>
              <w:bottom w:type="dxa" w:w="60"/>
              <w:right w:type="dxa" w:w="100"/>
            </w:tcMar>
          </w:tcPr>
          <w:p>
            <w:r>
              <w:rPr>
                <w:color w:val="1C1C1C"/>
                <w:sz w:val="20"/>
                <w:szCs w:val="20"/>
              </w:rPr>
              <w:t xml:space="preserve">Market.us, 2025</w:t>
            </w:r>
          </w:p>
        </w:tc>
      </w:tr>
      <w:tr>
        <w:tc>
          <w:tcPr>
            <w:shd w:color="F7FBFA" w:val="solid"/>
            <w:tcMar>
              <w:top w:type="dxa" w:w="60"/>
              <w:left w:type="dxa" w:w="100"/>
              <w:bottom w:type="dxa" w:w="60"/>
              <w:right w:type="dxa" w:w="100"/>
            </w:tcMar>
          </w:tcPr>
          <w:p>
            <w:r>
              <w:rPr>
                <w:color w:val="1C1C1C"/>
                <w:sz w:val="20"/>
                <w:szCs w:val="20"/>
              </w:rPr>
              <w:t xml:space="preserve">Pathogen/viral load reduction</w:t>
            </w:r>
          </w:p>
        </w:tc>
        <w:tc>
          <w:tcPr>
            <w:shd w:color="F7FBFA" w:val="solid"/>
            <w:tcMar>
              <w:top w:type="dxa" w:w="60"/>
              <w:left w:type="dxa" w:w="100"/>
              <w:bottom w:type="dxa" w:w="60"/>
              <w:right w:type="dxa" w:w="100"/>
            </w:tcMar>
          </w:tcPr>
          <w:p>
            <w:r>
              <w:rPr>
                <w:color w:val="1C1C1C"/>
                <w:sz w:val="20"/>
                <w:szCs w:val="20"/>
              </w:rPr>
              <w:t xml:space="preserve">Confirmed efficacy</w:t>
            </w:r>
          </w:p>
        </w:tc>
        <w:tc>
          <w:tcPr>
            <w:shd w:color="F7FBFA" w:val="solid"/>
            <w:tcMar>
              <w:top w:type="dxa" w:w="60"/>
              <w:left w:type="dxa" w:w="100"/>
              <w:bottom w:type="dxa" w:w="60"/>
              <w:right w:type="dxa" w:w="100"/>
            </w:tcMar>
          </w:tcPr>
          <w:p>
            <w:r>
              <w:rPr>
                <w:color w:val="1C1C1C"/>
                <w:sz w:val="20"/>
                <w:szCs w:val="20"/>
              </w:rPr>
              <w:t xml:space="preserve">ACS Publications, 2026</w:t>
            </w:r>
          </w:p>
        </w:tc>
      </w:tr>
      <w:tr>
        <w:tc>
          <w:tcPr>
            <w:shd w:color="FFFFFF" w:val="solid"/>
            <w:tcMar>
              <w:top w:type="dxa" w:w="60"/>
              <w:left w:type="dxa" w:w="100"/>
              <w:bottom w:type="dxa" w:w="60"/>
              <w:right w:type="dxa" w:w="100"/>
            </w:tcMar>
          </w:tcPr>
          <w:p>
            <w:r>
              <w:rPr>
                <w:color w:val="1C1C1C"/>
                <w:sz w:val="20"/>
                <w:szCs w:val="20"/>
              </w:rPr>
              <w:t xml:space="preserve">Chitin content (exoskeleton)</w:t>
            </w:r>
          </w:p>
        </w:tc>
        <w:tc>
          <w:tcPr>
            <w:shd w:color="FFFFFF" w:val="solid"/>
            <w:tcMar>
              <w:top w:type="dxa" w:w="60"/>
              <w:left w:type="dxa" w:w="100"/>
              <w:bottom w:type="dxa" w:w="60"/>
              <w:right w:type="dxa" w:w="100"/>
            </w:tcMar>
          </w:tcPr>
          <w:p>
            <w:r>
              <w:rPr>
                <w:color w:val="1C1C1C"/>
                <w:sz w:val="20"/>
                <w:szCs w:val="20"/>
              </w:rPr>
              <w:t xml:space="preserve">5–10% dry weight</w:t>
            </w:r>
          </w:p>
        </w:tc>
        <w:tc>
          <w:tcPr>
            <w:shd w:color="FFFFFF" w:val="solid"/>
            <w:tcMar>
              <w:top w:type="dxa" w:w="60"/>
              <w:left w:type="dxa" w:w="100"/>
              <w:bottom w:type="dxa" w:w="60"/>
              <w:right w:type="dxa" w:w="100"/>
            </w:tcMar>
          </w:tcPr>
          <w:p>
            <w:r>
              <w:rPr>
                <w:color w:val="1C1C1C"/>
                <w:sz w:val="20"/>
                <w:szCs w:val="20"/>
              </w:rPr>
              <w:t xml:space="preserve">FreezeM, 2024</w:t>
            </w:r>
          </w:p>
        </w:tc>
      </w:tr>
    </w:tbl>
    <w:p>
      <w:pPr>
        <w:spacing w:before="120"/>
      </w:pPr>
    </w:p>
    <w:p>
      <w:pPr>
        <w:spacing w:after="120" w:before="240"/>
      </w:pPr>
      <w:r>
        <w:rPr>
          <w:b/>
          <w:bCs/>
          <w:color w:val="00A86B"/>
          <w:sz w:val="24"/>
          <w:szCs w:val="24"/>
        </w:rPr>
        <w:t xml:space="preserve">Night Market Waste Compatibility Matrix</w:t>
      </w: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tblGrid>
      <w:tr>
        <w:trPr>
          <w:tblHeader/>
        </w:trPr>
        <w:tc>
          <w:tcPr>
            <w:shd w:color="00A86B" w:val="solid"/>
            <w:tcMar>
              <w:top w:type="dxa" w:w="80"/>
              <w:left w:type="dxa" w:w="100"/>
              <w:bottom w:type="dxa" w:w="80"/>
              <w:right w:type="dxa" w:w="100"/>
            </w:tcMar>
          </w:tcPr>
          <w:p>
            <w:pPr>
              <w:jc w:val="center"/>
            </w:pPr>
            <w:r>
              <w:rPr>
                <w:b/>
                <w:bCs/>
                <w:color w:val="FFFFFF"/>
                <w:sz w:val="20"/>
                <w:szCs w:val="20"/>
              </w:rPr>
              <w:t xml:space="preserve">Waste Type</w:t>
            </w:r>
          </w:p>
        </w:tc>
        <w:tc>
          <w:tcPr>
            <w:shd w:color="00A86B" w:val="solid"/>
            <w:tcMar>
              <w:top w:type="dxa" w:w="80"/>
              <w:left w:type="dxa" w:w="100"/>
              <w:bottom w:type="dxa" w:w="80"/>
              <w:right w:type="dxa" w:w="100"/>
            </w:tcMar>
          </w:tcPr>
          <w:p>
            <w:pPr>
              <w:jc w:val="center"/>
            </w:pPr>
            <w:r>
              <w:rPr>
                <w:b/>
                <w:bCs/>
                <w:color w:val="FFFFFF"/>
                <w:sz w:val="20"/>
                <w:szCs w:val="20"/>
              </w:rPr>
              <w:t xml:space="preserve">Night Market Source</w:t>
            </w:r>
          </w:p>
        </w:tc>
        <w:tc>
          <w:tcPr>
            <w:shd w:color="00A86B" w:val="solid"/>
            <w:tcMar>
              <w:top w:type="dxa" w:w="80"/>
              <w:left w:type="dxa" w:w="100"/>
              <w:bottom w:type="dxa" w:w="80"/>
              <w:right w:type="dxa" w:w="100"/>
            </w:tcMar>
          </w:tcPr>
          <w:p>
            <w:pPr>
              <w:jc w:val="center"/>
            </w:pPr>
            <w:r>
              <w:rPr>
                <w:b/>
                <w:bCs/>
                <w:color w:val="FFFFFF"/>
                <w:sz w:val="20"/>
                <w:szCs w:val="20"/>
              </w:rPr>
              <w:t xml:space="preserve">BSF Suitability</w:t>
            </w:r>
          </w:p>
        </w:tc>
      </w:tr>
      <w:tr>
        <w:tc>
          <w:tcPr>
            <w:shd w:color="F7FBFA" w:val="solid"/>
            <w:tcMar>
              <w:top w:type="dxa" w:w="60"/>
              <w:left w:type="dxa" w:w="100"/>
              <w:bottom w:type="dxa" w:w="60"/>
              <w:right w:type="dxa" w:w="100"/>
            </w:tcMar>
          </w:tcPr>
          <w:p>
            <w:r>
              <w:rPr>
                <w:color w:val="1C1C1C"/>
                <w:sz w:val="20"/>
                <w:szCs w:val="20"/>
              </w:rPr>
              <w:t xml:space="preserve">Cooked rice / noodle scraps</w:t>
            </w:r>
          </w:p>
        </w:tc>
        <w:tc>
          <w:tcPr>
            <w:shd w:color="F7FBFA" w:val="solid"/>
            <w:tcMar>
              <w:top w:type="dxa" w:w="60"/>
              <w:left w:type="dxa" w:w="100"/>
              <w:bottom w:type="dxa" w:w="60"/>
              <w:right w:type="dxa" w:w="100"/>
            </w:tcMar>
          </w:tcPr>
          <w:p>
            <w:r>
              <w:rPr>
                <w:color w:val="1C1C1C"/>
                <w:sz w:val="20"/>
                <w:szCs w:val="20"/>
              </w:rPr>
              <w:t xml:space="preserve">All food stalls</w:t>
            </w:r>
          </w:p>
        </w:tc>
        <w:tc>
          <w:tcPr>
            <w:shd w:color="F7FBFA" w:val="solid"/>
            <w:tcMar>
              <w:top w:type="dxa" w:w="60"/>
              <w:left w:type="dxa" w:w="100"/>
              <w:bottom w:type="dxa" w:w="60"/>
              <w:right w:type="dxa" w:w="100"/>
            </w:tcMar>
          </w:tcPr>
          <w:p>
            <w:r>
              <w:rPr>
                <w:color w:val="1C1C1C"/>
                <w:sz w:val="20"/>
                <w:szCs w:val="20"/>
              </w:rPr>
              <w:t xml:space="preserve">Excellent ✓</w:t>
            </w:r>
          </w:p>
        </w:tc>
      </w:tr>
      <w:tr>
        <w:tc>
          <w:tcPr>
            <w:shd w:color="FFFFFF" w:val="solid"/>
            <w:tcMar>
              <w:top w:type="dxa" w:w="60"/>
              <w:left w:type="dxa" w:w="100"/>
              <w:bottom w:type="dxa" w:w="60"/>
              <w:right w:type="dxa" w:w="100"/>
            </w:tcMar>
          </w:tcPr>
          <w:p>
            <w:r>
              <w:rPr>
                <w:color w:val="1C1C1C"/>
                <w:sz w:val="20"/>
                <w:szCs w:val="20"/>
              </w:rPr>
              <w:t xml:space="preserve">Fruit peels &amp; vegetable trim</w:t>
            </w:r>
          </w:p>
        </w:tc>
        <w:tc>
          <w:tcPr>
            <w:shd w:color="FFFFFF" w:val="solid"/>
            <w:tcMar>
              <w:top w:type="dxa" w:w="60"/>
              <w:left w:type="dxa" w:w="100"/>
              <w:bottom w:type="dxa" w:w="60"/>
              <w:right w:type="dxa" w:w="100"/>
            </w:tcMar>
          </w:tcPr>
          <w:p>
            <w:r>
              <w:rPr>
                <w:color w:val="1C1C1C"/>
                <w:sz w:val="20"/>
                <w:szCs w:val="20"/>
              </w:rPr>
              <w:t xml:space="preserve">Produce stalls</w:t>
            </w:r>
          </w:p>
        </w:tc>
        <w:tc>
          <w:tcPr>
            <w:shd w:color="FFFFFF" w:val="solid"/>
            <w:tcMar>
              <w:top w:type="dxa" w:w="60"/>
              <w:left w:type="dxa" w:w="100"/>
              <w:bottom w:type="dxa" w:w="60"/>
              <w:right w:type="dxa" w:w="100"/>
            </w:tcMar>
          </w:tcPr>
          <w:p>
            <w:r>
              <w:rPr>
                <w:color w:val="1C1C1C"/>
                <w:sz w:val="20"/>
                <w:szCs w:val="20"/>
              </w:rPr>
              <w:t xml:space="preserve">Excellent ✓</w:t>
            </w:r>
          </w:p>
        </w:tc>
      </w:tr>
      <w:tr>
        <w:tc>
          <w:tcPr>
            <w:shd w:color="F7FBFA" w:val="solid"/>
            <w:tcMar>
              <w:top w:type="dxa" w:w="60"/>
              <w:left w:type="dxa" w:w="100"/>
              <w:bottom w:type="dxa" w:w="60"/>
              <w:right w:type="dxa" w:w="100"/>
            </w:tcMar>
          </w:tcPr>
          <w:p>
            <w:r>
              <w:rPr>
                <w:color w:val="1C1C1C"/>
                <w:sz w:val="20"/>
                <w:szCs w:val="20"/>
              </w:rPr>
              <w:t xml:space="preserve">Fried food residue (light oil)</w:t>
            </w:r>
          </w:p>
        </w:tc>
        <w:tc>
          <w:tcPr>
            <w:shd w:color="F7FBFA" w:val="solid"/>
            <w:tcMar>
              <w:top w:type="dxa" w:w="60"/>
              <w:left w:type="dxa" w:w="100"/>
              <w:bottom w:type="dxa" w:w="60"/>
              <w:right w:type="dxa" w:w="100"/>
            </w:tcMar>
          </w:tcPr>
          <w:p>
            <w:r>
              <w:rPr>
                <w:color w:val="1C1C1C"/>
                <w:sz w:val="20"/>
                <w:szCs w:val="20"/>
              </w:rPr>
              <w:t xml:space="preserve">Fried chicken, donut stalls</w:t>
            </w:r>
          </w:p>
        </w:tc>
        <w:tc>
          <w:tcPr>
            <w:shd w:color="F7FBFA" w:val="solid"/>
            <w:tcMar>
              <w:top w:type="dxa" w:w="60"/>
              <w:left w:type="dxa" w:w="100"/>
              <w:bottom w:type="dxa" w:w="60"/>
              <w:right w:type="dxa" w:w="100"/>
            </w:tcMar>
          </w:tcPr>
          <w:p>
            <w:r>
              <w:rPr>
                <w:color w:val="1C1C1C"/>
                <w:sz w:val="20"/>
                <w:szCs w:val="20"/>
              </w:rPr>
              <w:t xml:space="preserve">Good (moderate oil) ✓</w:t>
            </w:r>
          </w:p>
        </w:tc>
      </w:tr>
      <w:tr>
        <w:tc>
          <w:tcPr>
            <w:shd w:color="FFFFFF" w:val="solid"/>
            <w:tcMar>
              <w:top w:type="dxa" w:w="60"/>
              <w:left w:type="dxa" w:w="100"/>
              <w:bottom w:type="dxa" w:w="60"/>
              <w:right w:type="dxa" w:w="100"/>
            </w:tcMar>
          </w:tcPr>
          <w:p>
            <w:r>
              <w:rPr>
                <w:color w:val="1C1C1C"/>
                <w:sz w:val="20"/>
                <w:szCs w:val="20"/>
              </w:rPr>
              <w:t xml:space="preserve">Fish / meat trimmings</w:t>
            </w:r>
          </w:p>
        </w:tc>
        <w:tc>
          <w:tcPr>
            <w:shd w:color="FFFFFF" w:val="solid"/>
            <w:tcMar>
              <w:top w:type="dxa" w:w="60"/>
              <w:left w:type="dxa" w:w="100"/>
              <w:bottom w:type="dxa" w:w="60"/>
              <w:right w:type="dxa" w:w="100"/>
            </w:tcMar>
          </w:tcPr>
          <w:p>
            <w:r>
              <w:rPr>
                <w:color w:val="1C1C1C"/>
                <w:sz w:val="20"/>
                <w:szCs w:val="20"/>
              </w:rPr>
              <w:t xml:space="preserve">BBQ, seafood stalls</w:t>
            </w:r>
          </w:p>
        </w:tc>
        <w:tc>
          <w:tcPr>
            <w:shd w:color="FFFFFF" w:val="solid"/>
            <w:tcMar>
              <w:top w:type="dxa" w:w="60"/>
              <w:left w:type="dxa" w:w="100"/>
              <w:bottom w:type="dxa" w:w="60"/>
              <w:right w:type="dxa" w:w="100"/>
            </w:tcMar>
          </w:tcPr>
          <w:p>
            <w:r>
              <w:rPr>
                <w:color w:val="1C1C1C"/>
                <w:sz w:val="20"/>
                <w:szCs w:val="20"/>
              </w:rPr>
              <w:t xml:space="preserve">Excellent – protein boost ✓</w:t>
            </w:r>
          </w:p>
        </w:tc>
      </w:tr>
      <w:tr>
        <w:tc>
          <w:tcPr>
            <w:shd w:color="F7FBFA" w:val="solid"/>
            <w:tcMar>
              <w:top w:type="dxa" w:w="60"/>
              <w:left w:type="dxa" w:w="100"/>
              <w:bottom w:type="dxa" w:w="60"/>
              <w:right w:type="dxa" w:w="100"/>
            </w:tcMar>
          </w:tcPr>
          <w:p>
            <w:r>
              <w:rPr>
                <w:color w:val="1C1C1C"/>
                <w:sz w:val="20"/>
                <w:szCs w:val="20"/>
              </w:rPr>
              <w:t xml:space="preserve">Heavy salt / MSG broth</w:t>
            </w:r>
          </w:p>
        </w:tc>
        <w:tc>
          <w:tcPr>
            <w:shd w:color="F7FBFA" w:val="solid"/>
            <w:tcMar>
              <w:top w:type="dxa" w:w="60"/>
              <w:left w:type="dxa" w:w="100"/>
              <w:bottom w:type="dxa" w:w="60"/>
              <w:right w:type="dxa" w:w="100"/>
            </w:tcMar>
          </w:tcPr>
          <w:p>
            <w:r>
              <w:rPr>
                <w:color w:val="1C1C1C"/>
                <w:sz w:val="20"/>
                <w:szCs w:val="20"/>
              </w:rPr>
              <w:t xml:space="preserve">Soup stalls</w:t>
            </w:r>
          </w:p>
        </w:tc>
        <w:tc>
          <w:tcPr>
            <w:shd w:color="F7FBFA" w:val="solid"/>
            <w:tcMar>
              <w:top w:type="dxa" w:w="60"/>
              <w:left w:type="dxa" w:w="100"/>
              <w:bottom w:type="dxa" w:w="60"/>
              <w:right w:type="dxa" w:w="100"/>
            </w:tcMar>
          </w:tcPr>
          <w:p>
            <w:r>
              <w:rPr>
                <w:color w:val="1C1C1C"/>
                <w:sz w:val="20"/>
                <w:szCs w:val="20"/>
              </w:rPr>
              <w:t xml:space="preserve">Dilute before feeding ⚠</w:t>
            </w:r>
          </w:p>
        </w:tc>
      </w:tr>
    </w:tbl>
    <w:p>
      <w:pPr>
        <w:pBdr>
          <w:bottom w:val="single" w:color="00A86B" w:sz="6"/>
        </w:pBdr>
        <w:spacing w:after="160" w:before="320"/>
      </w:pPr>
      <w:r>
        <w:rPr>
          <w:b/>
          <w:bCs/>
          <w:color w:val="1A3C5E"/>
          <w:sz w:val="28"/>
          <w:szCs w:val="28"/>
        </w:rPr>
        <w:t xml:space="preserve">2.3  Taiwan's BSF Ecosystem — Existing Players</w:t>
      </w:r>
    </w:p>
    <w:p>
      <w:pPr>
        <w:spacing w:after="100" w:before="80"/>
      </w:pPr>
      <w:r>
        <w:rPr>
          <w:color w:val="1C1C1C"/>
          <w:sz w:val="22"/>
          <w:szCs w:val="22"/>
        </w:rPr>
        <w:t xml:space="preserve">Research reveals a growing, government-supported BSF ecosystem in Taiwan with several established social enterprises and institutional pilots.</w:t>
      </w:r>
    </w:p>
    <w:p>
      <w:pPr>
        <w:spacing w:after="120" w:before="240"/>
      </w:pPr>
      <w:r>
        <w:rPr>
          <w:b/>
          <w:bCs/>
          <w:color w:val="00A86B"/>
          <w:sz w:val="24"/>
          <w:szCs w:val="24"/>
        </w:rPr>
        <w:t xml:space="preserve">Key Organizations</w:t>
      </w:r>
    </w:p>
    <w:p>
      <w:pPr>
        <w:pStyle w:val="ListParagraph"/>
        <w:numPr>
          <w:ilvl w:val="0"/>
          <w:numId w:val="1"/>
        </w:numPr>
        <w:spacing w:after="60" w:before="40"/>
      </w:pPr>
      <w:r>
        <w:rPr>
          <w:color w:val="1C1C1C"/>
          <w:sz w:val="22"/>
          <w:szCs w:val="22"/>
        </w:rPr>
        <w:t xml:space="preserve">Monster Biotechnology (蟲明科技): Pioneered BSF system modules for chain restaurants. Collects food waste, produces protein and fertilizer for agriculture/livestock. (Circular Taiwan, 2024)</w:t>
      </w:r>
    </w:p>
    <w:p>
      <w:pPr>
        <w:pStyle w:val="ListParagraph"/>
        <w:numPr>
          <w:ilvl w:val="0"/>
          <w:numId w:val="1"/>
        </w:numPr>
        <w:spacing w:after="60" w:before="40"/>
      </w:pPr>
      <w:r>
        <w:rPr>
          <w:color w:val="1C1C1C"/>
          <w:sz w:val="22"/>
          <w:szCs w:val="22"/>
        </w:rPr>
        <w:t xml:space="preserve">Stonbo Creative (石峰生態): Founded by retired entomology professor. Operates ecological farm with patented automated BSF feeding system. (Circle Economy, 2024)</w:t>
      </w:r>
    </w:p>
    <w:p>
      <w:pPr>
        <w:pStyle w:val="ListParagraph"/>
        <w:numPr>
          <w:ilvl w:val="0"/>
          <w:numId w:val="1"/>
        </w:numPr>
        <w:spacing w:after="60" w:before="40"/>
      </w:pPr>
      <w:r>
        <w:rPr>
          <w:color w:val="1C1C1C"/>
          <w:sz w:val="22"/>
          <w:szCs w:val="22"/>
        </w:rPr>
        <w:t xml:space="preserve">Institutional Pilots: National Ilan University, Hsinchu County, Meishan Township (Chiayi) have all tested BSF for food waste processing. (innors-tw.com, 2024)</w:t>
      </w:r>
    </w:p>
    <w:p>
      <w:pPr>
        <w:spacing w:before="100"/>
      </w:pPr>
    </w:p>
    <w:p>
      <w:pPr>
        <w:spacing w:after="120" w:before="240"/>
      </w:pPr>
      <w:r>
        <w:rPr>
          <w:b/>
          <w:bCs/>
          <w:color w:val="00A86B"/>
          <w:sz w:val="24"/>
          <w:szCs w:val="24"/>
        </w:rPr>
        <w:t xml:space="preserve">Critical Regulatory Update</w:t>
      </w:r>
    </w:p>
    <w:p>
      <w:pPr>
        <w:pBdr>
          <w:left w:val="thick" w:color="00A86B" w:sz="12"/>
        </w:pBdr>
        <w:shd w:color="F0F7F4" w:val="solid"/>
        <w:spacing w:after="120" w:before="120"/>
        <w:ind w:left="576"/>
      </w:pPr>
      <w:r>
        <w:rPr>
          <w:i/>
          <w:iCs/>
          <w:color w:val="1A3C5E"/>
          <w:sz w:val="22"/>
          <w:szCs w:val="22"/>
        </w:rPr>
        <w:t xml:space="preserve">Since 2021, Taiwan regulations permit BSF larvae for animal feed to be raised on non-vegetarian diets (including fish/meat scraps). Taiwan's Fisheries Research Institute confirmed BSF as a fishmeal replacement for Japanese eel aquaculture with no negative impact on growth or meat quality. By end of 2027, government policy mandates food waste diversion away from incineration.</w:t>
      </w:r>
    </w:p>
    <w:p>
      <w:pPr>
        <w:pBdr>
          <w:bottom w:val="single" w:color="00A86B" w:sz="6"/>
        </w:pBdr>
        <w:spacing w:after="160" w:before="320"/>
      </w:pPr>
      <w:r>
        <w:rPr>
          <w:b/>
          <w:bCs/>
          <w:color w:val="1A3C5E"/>
          <w:sz w:val="28"/>
          <w:szCs w:val="28"/>
        </w:rPr>
        <w:t xml:space="preserve">2.4  Market Intelligence &amp; Growth Projections</w:t>
      </w:r>
    </w:p>
    <w:p>
      <w:pPr>
        <w:spacing w:after="120" w:before="240"/>
      </w:pPr>
      <w:r>
        <w:rPr>
          <w:b/>
          <w:bCs/>
          <w:color w:val="00A86B"/>
          <w:sz w:val="24"/>
          <w:szCs w:val="24"/>
        </w:rPr>
        <w:t xml:space="preserve">Global BSF / Insect Protein Market Forecast</w:t>
      </w: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gridCol w:w="100"/>
      </w:tblGrid>
      <w:tr>
        <w:trPr>
          <w:tblHeader/>
        </w:trPr>
        <w:tc>
          <w:tcPr>
            <w:shd w:color="1A3C5E" w:val="solid"/>
            <w:tcMar>
              <w:top w:type="dxa" w:w="80"/>
              <w:left w:type="dxa" w:w="100"/>
              <w:bottom w:type="dxa" w:w="80"/>
              <w:right w:type="dxa" w:w="100"/>
            </w:tcMar>
          </w:tcPr>
          <w:p>
            <w:pPr>
              <w:jc w:val="center"/>
            </w:pPr>
            <w:r>
              <w:rPr>
                <w:b/>
                <w:bCs/>
                <w:color w:val="FFFFFF"/>
                <w:sz w:val="20"/>
                <w:szCs w:val="20"/>
              </w:rPr>
              <w:t xml:space="preserve">Market Segment</w:t>
            </w:r>
          </w:p>
        </w:tc>
        <w:tc>
          <w:tcPr>
            <w:shd w:color="1A3C5E" w:val="solid"/>
            <w:tcMar>
              <w:top w:type="dxa" w:w="80"/>
              <w:left w:type="dxa" w:w="100"/>
              <w:bottom w:type="dxa" w:w="80"/>
              <w:right w:type="dxa" w:w="100"/>
            </w:tcMar>
          </w:tcPr>
          <w:p>
            <w:pPr>
              <w:jc w:val="center"/>
            </w:pPr>
            <w:r>
              <w:rPr>
                <w:b/>
                <w:bCs/>
                <w:color w:val="FFFFFF"/>
                <w:sz w:val="20"/>
                <w:szCs w:val="20"/>
              </w:rPr>
              <w:t xml:space="preserve">2025 Estimate</w:t>
            </w:r>
          </w:p>
        </w:tc>
        <w:tc>
          <w:tcPr>
            <w:shd w:color="1A3C5E" w:val="solid"/>
            <w:tcMar>
              <w:top w:type="dxa" w:w="80"/>
              <w:left w:type="dxa" w:w="100"/>
              <w:bottom w:type="dxa" w:w="80"/>
              <w:right w:type="dxa" w:w="100"/>
            </w:tcMar>
          </w:tcPr>
          <w:p>
            <w:pPr>
              <w:jc w:val="center"/>
            </w:pPr>
            <w:r>
              <w:rPr>
                <w:b/>
                <w:bCs/>
                <w:color w:val="FFFFFF"/>
                <w:sz w:val="20"/>
                <w:szCs w:val="20"/>
              </w:rPr>
              <w:t xml:space="preserve">2030 Projection</w:t>
            </w:r>
          </w:p>
        </w:tc>
        <w:tc>
          <w:tcPr>
            <w:shd w:color="1A3C5E" w:val="solid"/>
            <w:tcMar>
              <w:top w:type="dxa" w:w="80"/>
              <w:left w:type="dxa" w:w="100"/>
              <w:bottom w:type="dxa" w:w="80"/>
              <w:right w:type="dxa" w:w="100"/>
            </w:tcMar>
          </w:tcPr>
          <w:p>
            <w:pPr>
              <w:jc w:val="center"/>
            </w:pPr>
            <w:r>
              <w:rPr>
                <w:b/>
                <w:bCs/>
                <w:color w:val="FFFFFF"/>
                <w:sz w:val="20"/>
                <w:szCs w:val="20"/>
              </w:rPr>
              <w:t xml:space="preserve">CAGR</w:t>
            </w:r>
          </w:p>
        </w:tc>
      </w:tr>
      <w:tr>
        <w:tc>
          <w:tcPr>
            <w:shd w:color="F7FBFA" w:val="solid"/>
            <w:tcMar>
              <w:top w:type="dxa" w:w="60"/>
              <w:left w:type="dxa" w:w="100"/>
              <w:bottom w:type="dxa" w:w="60"/>
              <w:right w:type="dxa" w:w="100"/>
            </w:tcMar>
          </w:tcPr>
          <w:p>
            <w:r>
              <w:rPr>
                <w:color w:val="1C1C1C"/>
                <w:sz w:val="20"/>
                <w:szCs w:val="20"/>
              </w:rPr>
              <w:t xml:space="preserve">BSF Market (conservative)</w:t>
            </w:r>
          </w:p>
        </w:tc>
        <w:tc>
          <w:tcPr>
            <w:shd w:color="F7FBFA" w:val="solid"/>
            <w:tcMar>
              <w:top w:type="dxa" w:w="60"/>
              <w:left w:type="dxa" w:w="100"/>
              <w:bottom w:type="dxa" w:w="60"/>
              <w:right w:type="dxa" w:w="100"/>
            </w:tcMar>
          </w:tcPr>
          <w:p>
            <w:r>
              <w:rPr>
                <w:color w:val="1C1C1C"/>
                <w:sz w:val="20"/>
                <w:szCs w:val="20"/>
              </w:rPr>
              <w:t xml:space="preserve">$1.01 billion</w:t>
            </w:r>
          </w:p>
        </w:tc>
        <w:tc>
          <w:tcPr>
            <w:shd w:color="F7FBFA" w:val="solid"/>
            <w:tcMar>
              <w:top w:type="dxa" w:w="60"/>
              <w:left w:type="dxa" w:w="100"/>
              <w:bottom w:type="dxa" w:w="60"/>
              <w:right w:type="dxa" w:w="100"/>
            </w:tcMar>
          </w:tcPr>
          <w:p>
            <w:r>
              <w:rPr>
                <w:color w:val="1C1C1C"/>
                <w:sz w:val="20"/>
                <w:szCs w:val="20"/>
              </w:rPr>
              <w:t xml:space="preserve">$2.22 billion</w:t>
            </w:r>
          </w:p>
        </w:tc>
        <w:tc>
          <w:tcPr>
            <w:shd w:color="F7FBFA" w:val="solid"/>
            <w:tcMar>
              <w:top w:type="dxa" w:w="60"/>
              <w:left w:type="dxa" w:w="100"/>
              <w:bottom w:type="dxa" w:w="60"/>
              <w:right w:type="dxa" w:w="100"/>
            </w:tcMar>
          </w:tcPr>
          <w:p>
            <w:r>
              <w:rPr>
                <w:color w:val="1C1C1C"/>
                <w:sz w:val="20"/>
                <w:szCs w:val="20"/>
              </w:rPr>
              <w:t xml:space="preserve">17.0%</w:t>
            </w:r>
          </w:p>
        </w:tc>
      </w:tr>
      <w:tr>
        <w:tc>
          <w:tcPr>
            <w:shd w:color="FFFFFF" w:val="solid"/>
            <w:tcMar>
              <w:top w:type="dxa" w:w="60"/>
              <w:left w:type="dxa" w:w="100"/>
              <w:bottom w:type="dxa" w:w="60"/>
              <w:right w:type="dxa" w:w="100"/>
            </w:tcMar>
          </w:tcPr>
          <w:p>
            <w:r>
              <w:rPr>
                <w:color w:val="1C1C1C"/>
                <w:sz w:val="20"/>
                <w:szCs w:val="20"/>
              </w:rPr>
              <w:t xml:space="preserve">BSF Larvae Market</w:t>
            </w:r>
          </w:p>
        </w:tc>
        <w:tc>
          <w:tcPr>
            <w:shd w:color="FFFFFF" w:val="solid"/>
            <w:tcMar>
              <w:top w:type="dxa" w:w="60"/>
              <w:left w:type="dxa" w:w="100"/>
              <w:bottom w:type="dxa" w:w="60"/>
              <w:right w:type="dxa" w:w="100"/>
            </w:tcMar>
          </w:tcPr>
          <w:p>
            <w:r>
              <w:rPr>
                <w:color w:val="1C1C1C"/>
                <w:sz w:val="20"/>
                <w:szCs w:val="20"/>
              </w:rPr>
              <w:t xml:space="preserve">~$1.5 billion</w:t>
            </w:r>
          </w:p>
        </w:tc>
        <w:tc>
          <w:tcPr>
            <w:shd w:color="FFFFFF" w:val="solid"/>
            <w:tcMar>
              <w:top w:type="dxa" w:w="60"/>
              <w:left w:type="dxa" w:w="100"/>
              <w:bottom w:type="dxa" w:w="60"/>
              <w:right w:type="dxa" w:w="100"/>
            </w:tcMar>
          </w:tcPr>
          <w:p>
            <w:r>
              <w:rPr>
                <w:color w:val="1C1C1C"/>
                <w:sz w:val="20"/>
                <w:szCs w:val="20"/>
              </w:rPr>
              <w:t xml:space="preserve">~$5 billion (by 2034)</w:t>
            </w:r>
          </w:p>
        </w:tc>
        <w:tc>
          <w:tcPr>
            <w:shd w:color="FFFFFF" w:val="solid"/>
            <w:tcMar>
              <w:top w:type="dxa" w:w="60"/>
              <w:left w:type="dxa" w:w="100"/>
              <w:bottom w:type="dxa" w:w="60"/>
              <w:right w:type="dxa" w:w="100"/>
            </w:tcMar>
          </w:tcPr>
          <w:p>
            <w:r>
              <w:rPr>
                <w:color w:val="1C1C1C"/>
                <w:sz w:val="20"/>
                <w:szCs w:val="20"/>
              </w:rPr>
              <w:t xml:space="preserve">30.8%</w:t>
            </w:r>
          </w:p>
        </w:tc>
      </w:tr>
      <w:tr>
        <w:tc>
          <w:tcPr>
            <w:shd w:color="F7FBFA" w:val="solid"/>
            <w:tcMar>
              <w:top w:type="dxa" w:w="60"/>
              <w:left w:type="dxa" w:w="100"/>
              <w:bottom w:type="dxa" w:w="60"/>
              <w:right w:type="dxa" w:w="100"/>
            </w:tcMar>
          </w:tcPr>
          <w:p>
            <w:r>
              <w:rPr>
                <w:color w:val="1C1C1C"/>
                <w:sz w:val="20"/>
                <w:szCs w:val="20"/>
              </w:rPr>
              <w:t xml:space="preserve">Insect Protein Market (broad)</w:t>
            </w:r>
          </w:p>
        </w:tc>
        <w:tc>
          <w:tcPr>
            <w:shd w:color="F7FBFA" w:val="solid"/>
            <w:tcMar>
              <w:top w:type="dxa" w:w="60"/>
              <w:left w:type="dxa" w:w="100"/>
              <w:bottom w:type="dxa" w:w="60"/>
              <w:right w:type="dxa" w:w="100"/>
            </w:tcMar>
          </w:tcPr>
          <w:p>
            <w:r>
              <w:rPr>
                <w:color w:val="1C1C1C"/>
                <w:sz w:val="20"/>
                <w:szCs w:val="20"/>
              </w:rPr>
              <w:t xml:space="preserve">~$800 million</w:t>
            </w:r>
          </w:p>
        </w:tc>
        <w:tc>
          <w:tcPr>
            <w:shd w:color="F7FBFA" w:val="solid"/>
            <w:tcMar>
              <w:top w:type="dxa" w:w="60"/>
              <w:left w:type="dxa" w:w="100"/>
              <w:bottom w:type="dxa" w:w="60"/>
              <w:right w:type="dxa" w:w="100"/>
            </w:tcMar>
          </w:tcPr>
          <w:p>
            <w:r>
              <w:rPr>
                <w:color w:val="1C1C1C"/>
                <w:sz w:val="20"/>
                <w:szCs w:val="20"/>
              </w:rPr>
              <w:t xml:space="preserve">~$3.6 billion</w:t>
            </w:r>
          </w:p>
        </w:tc>
        <w:tc>
          <w:tcPr>
            <w:shd w:color="F7FBFA" w:val="solid"/>
            <w:tcMar>
              <w:top w:type="dxa" w:w="60"/>
              <w:left w:type="dxa" w:w="100"/>
              <w:bottom w:type="dxa" w:w="60"/>
              <w:right w:type="dxa" w:w="100"/>
            </w:tcMar>
          </w:tcPr>
          <w:p>
            <w:r>
              <w:rPr>
                <w:color w:val="1C1C1C"/>
                <w:sz w:val="20"/>
                <w:szCs w:val="20"/>
              </w:rPr>
              <w:t xml:space="preserve">38.6%</w:t>
            </w:r>
          </w:p>
        </w:tc>
      </w:tr>
    </w:tbl>
    <w:p>
      <w:pPr>
        <w:spacing w:before="120"/>
      </w:pPr>
    </w:p>
    <w:p>
      <w:pPr>
        <w:spacing w:after="120" w:before="240"/>
      </w:pPr>
      <w:r>
        <w:rPr>
          <w:b/>
          <w:bCs/>
          <w:color w:val="00A86B"/>
          <w:sz w:val="24"/>
          <w:szCs w:val="24"/>
        </w:rPr>
        <w:t xml:space="preserve">BSF vs. Alternative Waste Management Methods</w:t>
      </w: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gridCol w:w="100"/>
      </w:tblGrid>
      <w:tr>
        <w:trPr>
          <w:tblHeader/>
        </w:trPr>
        <w:tc>
          <w:tcPr>
            <w:shd w:color="00A86B" w:val="solid"/>
            <w:tcMar>
              <w:top w:type="dxa" w:w="80"/>
              <w:left w:type="dxa" w:w="100"/>
              <w:bottom w:type="dxa" w:w="80"/>
              <w:right w:type="dxa" w:w="100"/>
            </w:tcMar>
          </w:tcPr>
          <w:p>
            <w:pPr>
              <w:jc w:val="center"/>
            </w:pPr>
            <w:r>
              <w:rPr>
                <w:b/>
                <w:bCs/>
                <w:color w:val="FFFFFF"/>
                <w:sz w:val="20"/>
                <w:szCs w:val="20"/>
              </w:rPr>
              <w:t xml:space="preserve">Comparison</w:t>
            </w:r>
          </w:p>
        </w:tc>
        <w:tc>
          <w:tcPr>
            <w:shd w:color="00A86B" w:val="solid"/>
            <w:tcMar>
              <w:top w:type="dxa" w:w="80"/>
              <w:left w:type="dxa" w:w="100"/>
              <w:bottom w:type="dxa" w:w="80"/>
              <w:right w:type="dxa" w:w="100"/>
            </w:tcMar>
          </w:tcPr>
          <w:p>
            <w:pPr>
              <w:jc w:val="center"/>
            </w:pPr>
            <w:r>
              <w:rPr>
                <w:b/>
                <w:bCs/>
                <w:color w:val="FFFFFF"/>
                <w:sz w:val="20"/>
                <w:szCs w:val="20"/>
              </w:rPr>
              <w:t xml:space="preserve">BSF</w:t>
            </w:r>
          </w:p>
        </w:tc>
        <w:tc>
          <w:tcPr>
            <w:shd w:color="00A86B" w:val="solid"/>
            <w:tcMar>
              <w:top w:type="dxa" w:w="80"/>
              <w:left w:type="dxa" w:w="100"/>
              <w:bottom w:type="dxa" w:w="80"/>
              <w:right w:type="dxa" w:w="100"/>
            </w:tcMar>
          </w:tcPr>
          <w:p>
            <w:pPr>
              <w:jc w:val="center"/>
            </w:pPr>
            <w:r>
              <w:rPr>
                <w:b/>
                <w:bCs/>
                <w:color w:val="FFFFFF"/>
                <w:sz w:val="20"/>
                <w:szCs w:val="20"/>
              </w:rPr>
              <w:t xml:space="preserve">Traditional Composting</w:t>
            </w:r>
          </w:p>
        </w:tc>
        <w:tc>
          <w:tcPr>
            <w:shd w:color="00A86B" w:val="solid"/>
            <w:tcMar>
              <w:top w:type="dxa" w:w="80"/>
              <w:left w:type="dxa" w:w="100"/>
              <w:bottom w:type="dxa" w:w="80"/>
              <w:right w:type="dxa" w:w="100"/>
            </w:tcMar>
          </w:tcPr>
          <w:p>
            <w:pPr>
              <w:jc w:val="center"/>
            </w:pPr>
            <w:r>
              <w:rPr>
                <w:b/>
                <w:bCs/>
                <w:color w:val="FFFFFF"/>
                <w:sz w:val="20"/>
                <w:szCs w:val="20"/>
              </w:rPr>
              <w:t xml:space="preserve">Incineration</w:t>
            </w:r>
          </w:p>
        </w:tc>
      </w:tr>
      <w:tr>
        <w:tc>
          <w:tcPr>
            <w:shd w:color="F7FBFA" w:val="solid"/>
            <w:tcMar>
              <w:top w:type="dxa" w:w="60"/>
              <w:left w:type="dxa" w:w="100"/>
              <w:bottom w:type="dxa" w:w="60"/>
              <w:right w:type="dxa" w:w="100"/>
            </w:tcMar>
          </w:tcPr>
          <w:p>
            <w:r>
              <w:rPr>
                <w:color w:val="1C1C1C"/>
                <w:sz w:val="20"/>
                <w:szCs w:val="20"/>
              </w:rPr>
              <w:t xml:space="preserve">Processing time</w:t>
            </w:r>
          </w:p>
        </w:tc>
        <w:tc>
          <w:tcPr>
            <w:shd w:color="F7FBFA" w:val="solid"/>
            <w:tcMar>
              <w:top w:type="dxa" w:w="60"/>
              <w:left w:type="dxa" w:w="100"/>
              <w:bottom w:type="dxa" w:w="60"/>
              <w:right w:type="dxa" w:w="100"/>
            </w:tcMar>
          </w:tcPr>
          <w:p>
            <w:r>
              <w:rPr>
                <w:color w:val="1C1C1C"/>
                <w:sz w:val="20"/>
                <w:szCs w:val="20"/>
              </w:rPr>
              <w:t xml:space="preserve">7–14 days</w:t>
            </w:r>
          </w:p>
        </w:tc>
        <w:tc>
          <w:tcPr>
            <w:shd w:color="F7FBFA" w:val="solid"/>
            <w:tcMar>
              <w:top w:type="dxa" w:w="60"/>
              <w:left w:type="dxa" w:w="100"/>
              <w:bottom w:type="dxa" w:w="60"/>
              <w:right w:type="dxa" w:w="100"/>
            </w:tcMar>
          </w:tcPr>
          <w:p>
            <w:r>
              <w:rPr>
                <w:color w:val="1C1C1C"/>
                <w:sz w:val="20"/>
                <w:szCs w:val="20"/>
              </w:rPr>
              <w:t xml:space="preserve">60–180 days</w:t>
            </w:r>
          </w:p>
        </w:tc>
        <w:tc>
          <w:tcPr>
            <w:shd w:color="F7FBFA" w:val="solid"/>
            <w:tcMar>
              <w:top w:type="dxa" w:w="60"/>
              <w:left w:type="dxa" w:w="100"/>
              <w:bottom w:type="dxa" w:w="60"/>
              <w:right w:type="dxa" w:w="100"/>
            </w:tcMar>
          </w:tcPr>
          <w:p>
            <w:r>
              <w:rPr>
                <w:color w:val="1C1C1C"/>
                <w:sz w:val="20"/>
                <w:szCs w:val="20"/>
              </w:rPr>
              <w:t xml:space="preserve">&lt;1 day</w:t>
            </w:r>
          </w:p>
        </w:tc>
      </w:tr>
      <w:tr>
        <w:tc>
          <w:tcPr>
            <w:shd w:color="FFFFFF" w:val="solid"/>
            <w:tcMar>
              <w:top w:type="dxa" w:w="60"/>
              <w:left w:type="dxa" w:w="100"/>
              <w:bottom w:type="dxa" w:w="60"/>
              <w:right w:type="dxa" w:w="100"/>
            </w:tcMar>
          </w:tcPr>
          <w:p>
            <w:r>
              <w:rPr>
                <w:color w:val="1C1C1C"/>
                <w:sz w:val="20"/>
                <w:szCs w:val="20"/>
              </w:rPr>
              <w:t xml:space="preserve">High-lipid waste</w:t>
            </w:r>
          </w:p>
        </w:tc>
        <w:tc>
          <w:tcPr>
            <w:shd w:color="FFFFFF" w:val="solid"/>
            <w:tcMar>
              <w:top w:type="dxa" w:w="60"/>
              <w:left w:type="dxa" w:w="100"/>
              <w:bottom w:type="dxa" w:w="60"/>
              <w:right w:type="dxa" w:w="100"/>
            </w:tcMar>
          </w:tcPr>
          <w:p>
            <w:r>
              <w:rPr>
                <w:color w:val="1C1C1C"/>
                <w:sz w:val="20"/>
                <w:szCs w:val="20"/>
              </w:rPr>
              <w:t xml:space="preserve">Handles well ✓</w:t>
            </w:r>
          </w:p>
        </w:tc>
        <w:tc>
          <w:tcPr>
            <w:shd w:color="FFFFFF" w:val="solid"/>
            <w:tcMar>
              <w:top w:type="dxa" w:w="60"/>
              <w:left w:type="dxa" w:w="100"/>
              <w:bottom w:type="dxa" w:w="60"/>
              <w:right w:type="dxa" w:w="100"/>
            </w:tcMar>
          </w:tcPr>
          <w:p>
            <w:r>
              <w:rPr>
                <w:color w:val="1C1C1C"/>
                <w:sz w:val="20"/>
                <w:szCs w:val="20"/>
              </w:rPr>
              <w:t xml:space="preserve">Kills bacteria ✗</w:t>
            </w:r>
          </w:p>
        </w:tc>
        <w:tc>
          <w:tcPr>
            <w:shd w:color="FFFFFF" w:val="solid"/>
            <w:tcMar>
              <w:top w:type="dxa" w:w="60"/>
              <w:left w:type="dxa" w:w="100"/>
              <w:bottom w:type="dxa" w:w="60"/>
              <w:right w:type="dxa" w:w="100"/>
            </w:tcMar>
          </w:tcPr>
          <w:p>
            <w:r>
              <w:rPr>
                <w:color w:val="1C1C1C"/>
                <w:sz w:val="20"/>
                <w:szCs w:val="20"/>
              </w:rPr>
              <w:t xml:space="preserve">Burns ✓</w:t>
            </w:r>
          </w:p>
        </w:tc>
      </w:tr>
      <w:tr>
        <w:tc>
          <w:tcPr>
            <w:shd w:color="F7FBFA" w:val="solid"/>
            <w:tcMar>
              <w:top w:type="dxa" w:w="60"/>
              <w:left w:type="dxa" w:w="100"/>
              <w:bottom w:type="dxa" w:w="60"/>
              <w:right w:type="dxa" w:w="100"/>
            </w:tcMar>
          </w:tcPr>
          <w:p>
            <w:r>
              <w:rPr>
                <w:color w:val="1C1C1C"/>
                <w:sz w:val="20"/>
                <w:szCs w:val="20"/>
              </w:rPr>
              <w:t xml:space="preserve">Value outputs</w:t>
            </w:r>
          </w:p>
        </w:tc>
        <w:tc>
          <w:tcPr>
            <w:shd w:color="F7FBFA" w:val="solid"/>
            <w:tcMar>
              <w:top w:type="dxa" w:w="60"/>
              <w:left w:type="dxa" w:w="100"/>
              <w:bottom w:type="dxa" w:w="60"/>
              <w:right w:type="dxa" w:w="100"/>
            </w:tcMar>
          </w:tcPr>
          <w:p>
            <w:r>
              <w:rPr>
                <w:color w:val="1C1C1C"/>
                <w:sz w:val="20"/>
                <w:szCs w:val="20"/>
              </w:rPr>
              <w:t xml:space="preserve">Protein + Fertilizer</w:t>
            </w:r>
          </w:p>
        </w:tc>
        <w:tc>
          <w:tcPr>
            <w:shd w:color="F7FBFA" w:val="solid"/>
            <w:tcMar>
              <w:top w:type="dxa" w:w="60"/>
              <w:left w:type="dxa" w:w="100"/>
              <w:bottom w:type="dxa" w:w="60"/>
              <w:right w:type="dxa" w:w="100"/>
            </w:tcMar>
          </w:tcPr>
          <w:p>
            <w:r>
              <w:rPr>
                <w:color w:val="1C1C1C"/>
                <w:sz w:val="20"/>
                <w:szCs w:val="20"/>
              </w:rPr>
              <w:t xml:space="preserve">Compost only</w:t>
            </w:r>
          </w:p>
        </w:tc>
        <w:tc>
          <w:tcPr>
            <w:shd w:color="F7FBFA" w:val="solid"/>
            <w:tcMar>
              <w:top w:type="dxa" w:w="60"/>
              <w:left w:type="dxa" w:w="100"/>
              <w:bottom w:type="dxa" w:w="60"/>
              <w:right w:type="dxa" w:w="100"/>
            </w:tcMar>
          </w:tcPr>
          <w:p>
            <w:r>
              <w:rPr>
                <w:color w:val="1C1C1C"/>
                <w:sz w:val="20"/>
                <w:szCs w:val="20"/>
              </w:rPr>
              <w:t xml:space="preserve">Energy only</w:t>
            </w:r>
          </w:p>
        </w:tc>
      </w:tr>
      <w:tr>
        <w:tc>
          <w:tcPr>
            <w:shd w:color="FFFFFF" w:val="solid"/>
            <w:tcMar>
              <w:top w:type="dxa" w:w="60"/>
              <w:left w:type="dxa" w:w="100"/>
              <w:bottom w:type="dxa" w:w="60"/>
              <w:right w:type="dxa" w:w="100"/>
            </w:tcMar>
          </w:tcPr>
          <w:p>
            <w:r>
              <w:rPr>
                <w:color w:val="1C1C1C"/>
                <w:sz w:val="20"/>
                <w:szCs w:val="20"/>
              </w:rPr>
              <w:t xml:space="preserve">Urban footprint</w:t>
            </w:r>
          </w:p>
        </w:tc>
        <w:tc>
          <w:tcPr>
            <w:shd w:color="FFFFFF" w:val="solid"/>
            <w:tcMar>
              <w:top w:type="dxa" w:w="60"/>
              <w:left w:type="dxa" w:w="100"/>
              <w:bottom w:type="dxa" w:w="60"/>
              <w:right w:type="dxa" w:w="100"/>
            </w:tcMar>
          </w:tcPr>
          <w:p>
            <w:r>
              <w:rPr>
                <w:color w:val="1C1C1C"/>
                <w:sz w:val="20"/>
                <w:szCs w:val="20"/>
              </w:rPr>
              <w:t xml:space="preserve">Container-scale ✓</w:t>
            </w:r>
          </w:p>
        </w:tc>
        <w:tc>
          <w:tcPr>
            <w:shd w:color="FFFFFF" w:val="solid"/>
            <w:tcMar>
              <w:top w:type="dxa" w:w="60"/>
              <w:left w:type="dxa" w:w="100"/>
              <w:bottom w:type="dxa" w:w="60"/>
              <w:right w:type="dxa" w:w="100"/>
            </w:tcMar>
          </w:tcPr>
          <w:p>
            <w:r>
              <w:rPr>
                <w:color w:val="1C1C1C"/>
                <w:sz w:val="20"/>
                <w:szCs w:val="20"/>
              </w:rPr>
              <w:t xml:space="preserve">Needs large land ✗</w:t>
            </w:r>
          </w:p>
        </w:tc>
        <w:tc>
          <w:tcPr>
            <w:shd w:color="FFFFFF" w:val="solid"/>
            <w:tcMar>
              <w:top w:type="dxa" w:w="60"/>
              <w:left w:type="dxa" w:w="100"/>
              <w:bottom w:type="dxa" w:w="60"/>
              <w:right w:type="dxa" w:w="100"/>
            </w:tcMar>
          </w:tcPr>
          <w:p>
            <w:r>
              <w:rPr>
                <w:color w:val="1C1C1C"/>
                <w:sz w:val="20"/>
                <w:szCs w:val="20"/>
              </w:rPr>
              <w:t xml:space="preserve">Plant-scale ✗</w:t>
            </w:r>
          </w:p>
        </w:tc>
      </w:tr>
      <w:tr>
        <w:tc>
          <w:tcPr>
            <w:shd w:color="F7FBFA" w:val="solid"/>
            <w:tcMar>
              <w:top w:type="dxa" w:w="60"/>
              <w:left w:type="dxa" w:w="100"/>
              <w:bottom w:type="dxa" w:w="60"/>
              <w:right w:type="dxa" w:w="100"/>
            </w:tcMar>
          </w:tcPr>
          <w:p>
            <w:r>
              <w:rPr>
                <w:color w:val="1C1C1C"/>
                <w:sz w:val="20"/>
                <w:szCs w:val="20"/>
              </w:rPr>
              <w:t xml:space="preserve">Carbon footprint</w:t>
            </w:r>
          </w:p>
        </w:tc>
        <w:tc>
          <w:tcPr>
            <w:shd w:color="F7FBFA" w:val="solid"/>
            <w:tcMar>
              <w:top w:type="dxa" w:w="60"/>
              <w:left w:type="dxa" w:w="100"/>
              <w:bottom w:type="dxa" w:w="60"/>
              <w:right w:type="dxa" w:w="100"/>
            </w:tcMar>
          </w:tcPr>
          <w:p>
            <w:r>
              <w:rPr>
                <w:color w:val="1C1C1C"/>
                <w:sz w:val="20"/>
                <w:szCs w:val="20"/>
              </w:rPr>
              <w:t xml:space="preserve">Low ✓</w:t>
            </w:r>
          </w:p>
        </w:tc>
        <w:tc>
          <w:tcPr>
            <w:shd w:color="F7FBFA" w:val="solid"/>
            <w:tcMar>
              <w:top w:type="dxa" w:w="60"/>
              <w:left w:type="dxa" w:w="100"/>
              <w:bottom w:type="dxa" w:w="60"/>
              <w:right w:type="dxa" w:w="100"/>
            </w:tcMar>
          </w:tcPr>
          <w:p>
            <w:r>
              <w:rPr>
                <w:color w:val="1C1C1C"/>
                <w:sz w:val="20"/>
                <w:szCs w:val="20"/>
              </w:rPr>
              <w:t xml:space="preserve">Low</w:t>
            </w:r>
          </w:p>
        </w:tc>
        <w:tc>
          <w:tcPr>
            <w:shd w:color="F7FBFA" w:val="solid"/>
            <w:tcMar>
              <w:top w:type="dxa" w:w="60"/>
              <w:left w:type="dxa" w:w="100"/>
              <w:bottom w:type="dxa" w:w="60"/>
              <w:right w:type="dxa" w:w="100"/>
            </w:tcMar>
          </w:tcPr>
          <w:p>
            <w:r>
              <w:rPr>
                <w:color w:val="1C1C1C"/>
                <w:sz w:val="20"/>
                <w:szCs w:val="20"/>
              </w:rPr>
              <w:t xml:space="preserve">High ✗</w:t>
            </w:r>
          </w:p>
        </w:tc>
      </w:tr>
    </w:tbl>
    <w:p>
      <w:pPr>
        <w:pBdr>
          <w:bottom w:val="single" w:color="00A86B" w:sz="6"/>
        </w:pBdr>
        <w:spacing w:after="160" w:before="320"/>
      </w:pPr>
      <w:r>
        <w:rPr>
          <w:b/>
          <w:bCs/>
          <w:color w:val="1A3C5E"/>
          <w:sz w:val="28"/>
          <w:szCs w:val="28"/>
        </w:rPr>
        <w:t xml:space="preserve">2.5  Business Model &amp; Financial Projections</w:t>
      </w:r>
    </w:p>
    <w:p>
      <w:pPr>
        <w:spacing w:after="120" w:before="240"/>
      </w:pPr>
      <w:r>
        <w:rPr>
          <w:b/>
          <w:bCs/>
          <w:color w:val="00A86B"/>
          <w:sz w:val="24"/>
          <w:szCs w:val="24"/>
        </w:rPr>
        <w:t xml:space="preserve">Revenue Structure (Per Hub, Annualized)</w:t>
      </w: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gridCol w:w="100"/>
      </w:tblGrid>
      <w:tr>
        <w:trPr>
          <w:tblHeader/>
        </w:trPr>
        <w:tc>
          <w:tcPr>
            <w:shd w:color="1A3C5E" w:val="solid"/>
            <w:tcMar>
              <w:top w:type="dxa" w:w="80"/>
              <w:left w:type="dxa" w:w="100"/>
              <w:bottom w:type="dxa" w:w="80"/>
              <w:right w:type="dxa" w:w="100"/>
            </w:tcMar>
          </w:tcPr>
          <w:p>
            <w:pPr>
              <w:jc w:val="center"/>
            </w:pPr>
            <w:r>
              <w:rPr>
                <w:b/>
                <w:bCs/>
                <w:color w:val="FFFFFF"/>
                <w:sz w:val="20"/>
                <w:szCs w:val="20"/>
              </w:rPr>
              <w:t xml:space="preserve">Product</w:t>
            </w:r>
          </w:p>
        </w:tc>
        <w:tc>
          <w:tcPr>
            <w:shd w:color="1A3C5E" w:val="solid"/>
            <w:tcMar>
              <w:top w:type="dxa" w:w="80"/>
              <w:left w:type="dxa" w:w="100"/>
              <w:bottom w:type="dxa" w:w="80"/>
              <w:right w:type="dxa" w:w="100"/>
            </w:tcMar>
          </w:tcPr>
          <w:p>
            <w:pPr>
              <w:jc w:val="center"/>
            </w:pPr>
            <w:r>
              <w:rPr>
                <w:b/>
                <w:bCs/>
                <w:color w:val="FFFFFF"/>
                <w:sz w:val="20"/>
                <w:szCs w:val="20"/>
              </w:rPr>
              <w:t xml:space="preserve">Volume/Year</w:t>
            </w:r>
          </w:p>
        </w:tc>
        <w:tc>
          <w:tcPr>
            <w:shd w:color="1A3C5E" w:val="solid"/>
            <w:tcMar>
              <w:top w:type="dxa" w:w="80"/>
              <w:left w:type="dxa" w:w="100"/>
              <w:bottom w:type="dxa" w:w="80"/>
              <w:right w:type="dxa" w:w="100"/>
            </w:tcMar>
          </w:tcPr>
          <w:p>
            <w:pPr>
              <w:jc w:val="center"/>
            </w:pPr>
            <w:r>
              <w:rPr>
                <w:b/>
                <w:bCs/>
                <w:color w:val="FFFFFF"/>
                <w:sz w:val="20"/>
                <w:szCs w:val="20"/>
              </w:rPr>
              <w:t xml:space="preserve">Price/Tonne</w:t>
            </w:r>
          </w:p>
        </w:tc>
        <w:tc>
          <w:tcPr>
            <w:shd w:color="1A3C5E" w:val="solid"/>
            <w:tcMar>
              <w:top w:type="dxa" w:w="80"/>
              <w:left w:type="dxa" w:w="100"/>
              <w:bottom w:type="dxa" w:w="80"/>
              <w:right w:type="dxa" w:w="100"/>
            </w:tcMar>
          </w:tcPr>
          <w:p>
            <w:pPr>
              <w:jc w:val="center"/>
            </w:pPr>
            <w:r>
              <w:rPr>
                <w:b/>
                <w:bCs/>
                <w:color w:val="FFFFFF"/>
                <w:sz w:val="20"/>
                <w:szCs w:val="20"/>
              </w:rPr>
              <w:t xml:space="preserve">Annual Revenue</w:t>
            </w:r>
          </w:p>
        </w:tc>
      </w:tr>
      <w:tr>
        <w:tc>
          <w:tcPr>
            <w:shd w:color="F7FBFA" w:val="solid"/>
            <w:tcMar>
              <w:top w:type="dxa" w:w="60"/>
              <w:left w:type="dxa" w:w="100"/>
              <w:bottom w:type="dxa" w:w="60"/>
              <w:right w:type="dxa" w:w="100"/>
            </w:tcMar>
          </w:tcPr>
          <w:p>
            <w:r>
              <w:rPr>
                <w:color w:val="1C1C1C"/>
                <w:sz w:val="20"/>
                <w:szCs w:val="20"/>
              </w:rPr>
              <w:t xml:space="preserve">BSFL Protein Meal</w:t>
            </w:r>
          </w:p>
        </w:tc>
        <w:tc>
          <w:tcPr>
            <w:shd w:color="F7FBFA" w:val="solid"/>
            <w:tcMar>
              <w:top w:type="dxa" w:w="60"/>
              <w:left w:type="dxa" w:w="100"/>
              <w:bottom w:type="dxa" w:w="60"/>
              <w:right w:type="dxa" w:w="100"/>
            </w:tcMar>
          </w:tcPr>
          <w:p>
            <w:r>
              <w:rPr>
                <w:color w:val="1C1C1C"/>
                <w:sz w:val="20"/>
                <w:szCs w:val="20"/>
              </w:rPr>
              <w:t xml:space="preserve">50 tonnes</w:t>
            </w:r>
          </w:p>
        </w:tc>
        <w:tc>
          <w:tcPr>
            <w:shd w:color="F7FBFA" w:val="solid"/>
            <w:tcMar>
              <w:top w:type="dxa" w:w="60"/>
              <w:left w:type="dxa" w:w="100"/>
              <w:bottom w:type="dxa" w:w="60"/>
              <w:right w:type="dxa" w:w="100"/>
            </w:tcMar>
          </w:tcPr>
          <w:p>
            <w:r>
              <w:rPr>
                <w:color w:val="1C1C1C"/>
                <w:sz w:val="20"/>
                <w:szCs w:val="20"/>
              </w:rPr>
              <w:t xml:space="preserve">~$1,500 USD</w:t>
            </w:r>
          </w:p>
        </w:tc>
        <w:tc>
          <w:tcPr>
            <w:shd w:color="F7FBFA" w:val="solid"/>
            <w:tcMar>
              <w:top w:type="dxa" w:w="60"/>
              <w:left w:type="dxa" w:w="100"/>
              <w:bottom w:type="dxa" w:w="60"/>
              <w:right w:type="dxa" w:w="100"/>
            </w:tcMar>
          </w:tcPr>
          <w:p>
            <w:r>
              <w:rPr>
                <w:color w:val="1C1C1C"/>
                <w:sz w:val="20"/>
                <w:szCs w:val="20"/>
              </w:rPr>
              <w:t xml:space="preserve">$75,000 USD</w:t>
            </w:r>
          </w:p>
        </w:tc>
      </w:tr>
      <w:tr>
        <w:tc>
          <w:tcPr>
            <w:shd w:color="FFFFFF" w:val="solid"/>
            <w:tcMar>
              <w:top w:type="dxa" w:w="60"/>
              <w:left w:type="dxa" w:w="100"/>
              <w:bottom w:type="dxa" w:w="60"/>
              <w:right w:type="dxa" w:w="100"/>
            </w:tcMar>
          </w:tcPr>
          <w:p>
            <w:r>
              <w:rPr>
                <w:color w:val="1C1C1C"/>
                <w:sz w:val="20"/>
                <w:szCs w:val="20"/>
              </w:rPr>
              <w:t xml:space="preserve">BSF Frass Fertilizer</w:t>
            </w:r>
          </w:p>
        </w:tc>
        <w:tc>
          <w:tcPr>
            <w:shd w:color="FFFFFF" w:val="solid"/>
            <w:tcMar>
              <w:top w:type="dxa" w:w="60"/>
              <w:left w:type="dxa" w:w="100"/>
              <w:bottom w:type="dxa" w:w="60"/>
              <w:right w:type="dxa" w:w="100"/>
            </w:tcMar>
          </w:tcPr>
          <w:p>
            <w:r>
              <w:rPr>
                <w:color w:val="1C1C1C"/>
                <w:sz w:val="20"/>
                <w:szCs w:val="20"/>
              </w:rPr>
              <w:t xml:space="preserve">150 tonnes</w:t>
            </w:r>
          </w:p>
        </w:tc>
        <w:tc>
          <w:tcPr>
            <w:shd w:color="FFFFFF" w:val="solid"/>
            <w:tcMar>
              <w:top w:type="dxa" w:w="60"/>
              <w:left w:type="dxa" w:w="100"/>
              <w:bottom w:type="dxa" w:w="60"/>
              <w:right w:type="dxa" w:w="100"/>
            </w:tcMar>
          </w:tcPr>
          <w:p>
            <w:r>
              <w:rPr>
                <w:color w:val="1C1C1C"/>
                <w:sz w:val="20"/>
                <w:szCs w:val="20"/>
              </w:rPr>
              <w:t xml:space="preserve">~$300 USD</w:t>
            </w:r>
          </w:p>
        </w:tc>
        <w:tc>
          <w:tcPr>
            <w:shd w:color="FFFFFF" w:val="solid"/>
            <w:tcMar>
              <w:top w:type="dxa" w:w="60"/>
              <w:left w:type="dxa" w:w="100"/>
              <w:bottom w:type="dxa" w:w="60"/>
              <w:right w:type="dxa" w:w="100"/>
            </w:tcMar>
          </w:tcPr>
          <w:p>
            <w:r>
              <w:rPr>
                <w:color w:val="1C1C1C"/>
                <w:sz w:val="20"/>
                <w:szCs w:val="20"/>
              </w:rPr>
              <w:t xml:space="preserve">$45,000 USD</w:t>
            </w:r>
          </w:p>
        </w:tc>
      </w:tr>
      <w:tr>
        <w:tc>
          <w:tcPr>
            <w:shd w:color="F7FBFA" w:val="solid"/>
            <w:tcMar>
              <w:top w:type="dxa" w:w="60"/>
              <w:left w:type="dxa" w:w="100"/>
              <w:bottom w:type="dxa" w:w="60"/>
              <w:right w:type="dxa" w:w="100"/>
            </w:tcMar>
          </w:tcPr>
          <w:p>
            <w:r>
              <w:rPr>
                <w:color w:val="1C1C1C"/>
                <w:sz w:val="20"/>
                <w:szCs w:val="20"/>
              </w:rPr>
              <w:t xml:space="preserve">Tipping Fees (from markets)</w:t>
            </w:r>
          </w:p>
        </w:tc>
        <w:tc>
          <w:tcPr>
            <w:shd w:color="F7FBFA" w:val="solid"/>
            <w:tcMar>
              <w:top w:type="dxa" w:w="60"/>
              <w:left w:type="dxa" w:w="100"/>
              <w:bottom w:type="dxa" w:w="60"/>
              <w:right w:type="dxa" w:w="100"/>
            </w:tcMar>
          </w:tcPr>
          <w:p>
            <w:r>
              <w:rPr>
                <w:color w:val="1C1C1C"/>
                <w:sz w:val="20"/>
                <w:szCs w:val="20"/>
              </w:rPr>
              <w:t xml:space="preserve">700 tonnes</w:t>
            </w:r>
          </w:p>
        </w:tc>
        <w:tc>
          <w:tcPr>
            <w:shd w:color="F7FBFA" w:val="solid"/>
            <w:tcMar>
              <w:top w:type="dxa" w:w="60"/>
              <w:left w:type="dxa" w:w="100"/>
              <w:bottom w:type="dxa" w:w="60"/>
              <w:right w:type="dxa" w:w="100"/>
            </w:tcMar>
          </w:tcPr>
          <w:p>
            <w:r>
              <w:rPr>
                <w:color w:val="1C1C1C"/>
                <w:sz w:val="20"/>
                <w:szCs w:val="20"/>
              </w:rPr>
              <w:t xml:space="preserve">~$30 USD</w:t>
            </w:r>
          </w:p>
        </w:tc>
        <w:tc>
          <w:tcPr>
            <w:shd w:color="F7FBFA" w:val="solid"/>
            <w:tcMar>
              <w:top w:type="dxa" w:w="60"/>
              <w:left w:type="dxa" w:w="100"/>
              <w:bottom w:type="dxa" w:w="60"/>
              <w:right w:type="dxa" w:w="100"/>
            </w:tcMar>
          </w:tcPr>
          <w:p>
            <w:r>
              <w:rPr>
                <w:color w:val="1C1C1C"/>
                <w:sz w:val="20"/>
                <w:szCs w:val="20"/>
              </w:rPr>
              <w:t xml:space="preserve">$21,000 USD</w:t>
            </w:r>
          </w:p>
        </w:tc>
      </w:tr>
      <w:tr>
        <w:tc>
          <w:tcPr>
            <w:shd w:color="FFFFFF" w:val="solid"/>
            <w:tcMar>
              <w:top w:type="dxa" w:w="60"/>
              <w:left w:type="dxa" w:w="100"/>
              <w:bottom w:type="dxa" w:w="60"/>
              <w:right w:type="dxa" w:w="100"/>
            </w:tcMar>
          </w:tcPr>
          <w:p>
            <w:r>
              <w:rPr>
                <w:color w:val="1C1C1C"/>
                <w:sz w:val="20"/>
                <w:szCs w:val="20"/>
              </w:rPr>
              <w:t xml:space="preserve">Total Revenue per Hub</w:t>
            </w:r>
          </w:p>
        </w:tc>
        <w:tc>
          <w:tcPr>
            <w:shd w:color="FFFFFF" w:val="solid"/>
            <w:tcMar>
              <w:top w:type="dxa" w:w="60"/>
              <w:left w:type="dxa" w:w="100"/>
              <w:bottom w:type="dxa" w:w="60"/>
              <w:right w:type="dxa" w:w="100"/>
            </w:tcMar>
          </w:tcPr>
          <w:p>
            <w:r>
              <w:rPr>
                <w:color w:val="1C1C1C"/>
                <w:sz w:val="20"/>
                <w:szCs w:val="20"/>
              </w:rPr>
              <w:t xml:space="preserve">—</w:t>
            </w:r>
          </w:p>
        </w:tc>
        <w:tc>
          <w:tcPr>
            <w:shd w:color="FFFFFF" w:val="solid"/>
            <w:tcMar>
              <w:top w:type="dxa" w:w="60"/>
              <w:left w:type="dxa" w:w="100"/>
              <w:bottom w:type="dxa" w:w="60"/>
              <w:right w:type="dxa" w:w="100"/>
            </w:tcMar>
          </w:tcPr>
          <w:p>
            <w:r>
              <w:rPr>
                <w:color w:val="1C1C1C"/>
                <w:sz w:val="20"/>
                <w:szCs w:val="20"/>
              </w:rPr>
              <w:t xml:space="preserve">—</w:t>
            </w:r>
          </w:p>
        </w:tc>
        <w:tc>
          <w:tcPr>
            <w:shd w:color="FFFFFF" w:val="solid"/>
            <w:tcMar>
              <w:top w:type="dxa" w:w="60"/>
              <w:left w:type="dxa" w:w="100"/>
              <w:bottom w:type="dxa" w:w="60"/>
              <w:right w:type="dxa" w:w="100"/>
            </w:tcMar>
          </w:tcPr>
          <w:p>
            <w:r>
              <w:rPr>
                <w:color w:val="1C1C1C"/>
                <w:sz w:val="20"/>
                <w:szCs w:val="20"/>
              </w:rPr>
              <w:t xml:space="preserve">~$141,000 USD</w:t>
            </w:r>
          </w:p>
        </w:tc>
      </w:tr>
    </w:tbl>
    <w:p>
      <w:pPr>
        <w:spacing w:before="100"/>
      </w:pPr>
    </w:p>
    <w:p>
      <w:pPr>
        <w:pStyle w:val="ListParagraph"/>
        <w:numPr>
          <w:ilvl w:val="0"/>
          <w:numId w:val="1"/>
        </w:numPr>
        <w:spacing w:after="60" w:before="40"/>
      </w:pPr>
      <w:r>
        <w:rPr>
          <w:color w:val="1C1C1C"/>
          <w:sz w:val="22"/>
          <w:szCs w:val="22"/>
        </w:rPr>
        <w:t xml:space="preserve">CAPEX per hub: ~$120,000–$180,000 USD</w:t>
      </w:r>
    </w:p>
    <w:p>
      <w:pPr>
        <w:pStyle w:val="ListParagraph"/>
        <w:numPr>
          <w:ilvl w:val="0"/>
          <w:numId w:val="1"/>
        </w:numPr>
        <w:spacing w:after="60" w:before="40"/>
      </w:pPr>
      <w:r>
        <w:rPr>
          <w:color w:val="1C1C1C"/>
          <w:sz w:val="22"/>
          <w:szCs w:val="22"/>
        </w:rPr>
        <w:t xml:space="preserve">Estimated payback period: 18–30 months</w:t>
      </w:r>
    </w:p>
    <w:p>
      <w:pPr>
        <w:pStyle w:val="ListParagraph"/>
        <w:numPr>
          <w:ilvl w:val="0"/>
          <w:numId w:val="1"/>
        </w:numPr>
        <w:spacing w:after="60" w:before="40"/>
      </w:pPr>
      <w:r>
        <w:rPr>
          <w:color w:val="1C1C1C"/>
          <w:sz w:val="22"/>
          <w:szCs w:val="22"/>
        </w:rPr>
        <w:t xml:space="preserve">Year 5 Target: Network of 15 hubs across Taiwan; processing 10,000 tonnes of organic waste annually</w:t>
      </w:r>
    </w:p>
    <w:p>
      <w:pPr>
        <w:pBdr>
          <w:bottom w:val="single" w:color="00A86B" w:sz="6"/>
        </w:pBdr>
        <w:spacing w:after="160" w:before="320"/>
      </w:pPr>
      <w:r>
        <w:rPr>
          <w:b/>
          <w:bCs/>
          <w:color w:val="1A3C5E"/>
          <w:sz w:val="28"/>
          <w:szCs w:val="28"/>
        </w:rPr>
        <w:t xml:space="preserve">2.6  Social Impact &amp; Yunus Alignment</w:t>
      </w: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tblGrid>
      <w:tr>
        <w:trPr>
          <w:tblHeader/>
        </w:trPr>
        <w:tc>
          <w:tcPr>
            <w:shd w:color="00A86B" w:val="solid"/>
            <w:tcMar>
              <w:top w:type="dxa" w:w="80"/>
              <w:left w:type="dxa" w:w="100"/>
              <w:bottom w:type="dxa" w:w="80"/>
              <w:right w:type="dxa" w:w="100"/>
            </w:tcMar>
          </w:tcPr>
          <w:p>
            <w:pPr>
              <w:jc w:val="center"/>
            </w:pPr>
            <w:r>
              <w:rPr>
                <w:b/>
                <w:bCs/>
                <w:color w:val="FFFFFF"/>
                <w:sz w:val="20"/>
                <w:szCs w:val="20"/>
              </w:rPr>
              <w:t xml:space="preserve">SDG</w:t>
            </w:r>
          </w:p>
        </w:tc>
        <w:tc>
          <w:tcPr>
            <w:shd w:color="00A86B" w:val="solid"/>
            <w:tcMar>
              <w:top w:type="dxa" w:w="80"/>
              <w:left w:type="dxa" w:w="100"/>
              <w:bottom w:type="dxa" w:w="80"/>
              <w:right w:type="dxa" w:w="100"/>
            </w:tcMar>
          </w:tcPr>
          <w:p>
            <w:pPr>
              <w:jc w:val="center"/>
            </w:pPr>
            <w:r>
              <w:rPr>
                <w:b/>
                <w:bCs/>
                <w:color w:val="FFFFFF"/>
                <w:sz w:val="20"/>
                <w:szCs w:val="20"/>
              </w:rPr>
              <w:t xml:space="preserve">Goal</w:t>
            </w:r>
          </w:p>
        </w:tc>
        <w:tc>
          <w:tcPr>
            <w:shd w:color="00A86B" w:val="solid"/>
            <w:tcMar>
              <w:top w:type="dxa" w:w="80"/>
              <w:left w:type="dxa" w:w="100"/>
              <w:bottom w:type="dxa" w:w="80"/>
              <w:right w:type="dxa" w:w="100"/>
            </w:tcMar>
          </w:tcPr>
          <w:p>
            <w:pPr>
              <w:jc w:val="center"/>
            </w:pPr>
            <w:r>
              <w:rPr>
                <w:b/>
                <w:bCs/>
                <w:color w:val="FFFFFF"/>
                <w:sz w:val="20"/>
                <w:szCs w:val="20"/>
              </w:rPr>
              <w:t xml:space="preserve">Implementation</w:t>
            </w:r>
          </w:p>
        </w:tc>
      </w:tr>
      <w:tr>
        <w:tc>
          <w:tcPr>
            <w:shd w:color="F7FBFA" w:val="solid"/>
            <w:tcMar>
              <w:top w:type="dxa" w:w="60"/>
              <w:left w:type="dxa" w:w="100"/>
              <w:bottom w:type="dxa" w:w="60"/>
              <w:right w:type="dxa" w:w="100"/>
            </w:tcMar>
          </w:tcPr>
          <w:p>
            <w:r>
              <w:rPr>
                <w:color w:val="1C1C1C"/>
                <w:sz w:val="20"/>
                <w:szCs w:val="20"/>
              </w:rPr>
              <w:t xml:space="preserve">SDG 2</w:t>
            </w:r>
          </w:p>
        </w:tc>
        <w:tc>
          <w:tcPr>
            <w:shd w:color="F7FBFA" w:val="solid"/>
            <w:tcMar>
              <w:top w:type="dxa" w:w="60"/>
              <w:left w:type="dxa" w:w="100"/>
              <w:bottom w:type="dxa" w:w="60"/>
              <w:right w:type="dxa" w:w="100"/>
            </w:tcMar>
          </w:tcPr>
          <w:p>
            <w:r>
              <w:rPr>
                <w:color w:val="1C1C1C"/>
                <w:sz w:val="20"/>
                <w:szCs w:val="20"/>
              </w:rPr>
              <w:t xml:space="preserve">Zero Hunger</w:t>
            </w:r>
          </w:p>
        </w:tc>
        <w:tc>
          <w:tcPr>
            <w:shd w:color="F7FBFA" w:val="solid"/>
            <w:tcMar>
              <w:top w:type="dxa" w:w="60"/>
              <w:left w:type="dxa" w:w="100"/>
              <w:bottom w:type="dxa" w:w="60"/>
              <w:right w:type="dxa" w:w="100"/>
            </w:tcMar>
          </w:tcPr>
          <w:p>
            <w:r>
              <w:rPr>
                <w:color w:val="1C1C1C"/>
                <w:sz w:val="20"/>
                <w:szCs w:val="20"/>
              </w:rPr>
              <w:t xml:space="preserve">Building domestic protein independence for Taiwan's aquaculture sector</w:t>
            </w:r>
          </w:p>
        </w:tc>
      </w:tr>
      <w:tr>
        <w:tc>
          <w:tcPr>
            <w:shd w:color="FFFFFF" w:val="solid"/>
            <w:tcMar>
              <w:top w:type="dxa" w:w="60"/>
              <w:left w:type="dxa" w:w="100"/>
              <w:bottom w:type="dxa" w:w="60"/>
              <w:right w:type="dxa" w:w="100"/>
            </w:tcMar>
          </w:tcPr>
          <w:p>
            <w:r>
              <w:rPr>
                <w:color w:val="1C1C1C"/>
                <w:sz w:val="20"/>
                <w:szCs w:val="20"/>
              </w:rPr>
              <w:t xml:space="preserve">SDG 12</w:t>
            </w:r>
          </w:p>
        </w:tc>
        <w:tc>
          <w:tcPr>
            <w:shd w:color="FFFFFF" w:val="solid"/>
            <w:tcMar>
              <w:top w:type="dxa" w:w="60"/>
              <w:left w:type="dxa" w:w="100"/>
              <w:bottom w:type="dxa" w:w="60"/>
              <w:right w:type="dxa" w:w="100"/>
            </w:tcMar>
          </w:tcPr>
          <w:p>
            <w:r>
              <w:rPr>
                <w:color w:val="1C1C1C"/>
                <w:sz w:val="20"/>
                <w:szCs w:val="20"/>
              </w:rPr>
              <w:t xml:space="preserve">Responsible Consumption</w:t>
            </w:r>
          </w:p>
        </w:tc>
        <w:tc>
          <w:tcPr>
            <w:shd w:color="FFFFFF" w:val="solid"/>
            <w:tcMar>
              <w:top w:type="dxa" w:w="60"/>
              <w:left w:type="dxa" w:w="100"/>
              <w:bottom w:type="dxa" w:w="60"/>
              <w:right w:type="dxa" w:w="100"/>
            </w:tcMar>
          </w:tcPr>
          <w:p>
            <w:r>
              <w:rPr>
                <w:color w:val="1C1C1C"/>
                <w:sz w:val="20"/>
                <w:szCs w:val="20"/>
              </w:rPr>
              <w:t xml:space="preserve">Eliminating commercial food waste at the source within 24 hours</w:t>
            </w:r>
          </w:p>
        </w:tc>
      </w:tr>
      <w:tr>
        <w:tc>
          <w:tcPr>
            <w:shd w:color="F7FBFA" w:val="solid"/>
            <w:tcMar>
              <w:top w:type="dxa" w:w="60"/>
              <w:left w:type="dxa" w:w="100"/>
              <w:bottom w:type="dxa" w:w="60"/>
              <w:right w:type="dxa" w:w="100"/>
            </w:tcMar>
          </w:tcPr>
          <w:p>
            <w:r>
              <w:rPr>
                <w:color w:val="1C1C1C"/>
                <w:sz w:val="20"/>
                <w:szCs w:val="20"/>
              </w:rPr>
              <w:t xml:space="preserve">SDG 15</w:t>
            </w:r>
          </w:p>
        </w:tc>
        <w:tc>
          <w:tcPr>
            <w:shd w:color="F7FBFA" w:val="solid"/>
            <w:tcMar>
              <w:top w:type="dxa" w:w="60"/>
              <w:left w:type="dxa" w:w="100"/>
              <w:bottom w:type="dxa" w:w="60"/>
              <w:right w:type="dxa" w:w="100"/>
            </w:tcMar>
          </w:tcPr>
          <w:p>
            <w:r>
              <w:rPr>
                <w:color w:val="1C1C1C"/>
                <w:sz w:val="20"/>
                <w:szCs w:val="20"/>
              </w:rPr>
              <w:t xml:space="preserve">Life on Land</w:t>
            </w:r>
          </w:p>
        </w:tc>
        <w:tc>
          <w:tcPr>
            <w:shd w:color="F7FBFA" w:val="solid"/>
            <w:tcMar>
              <w:top w:type="dxa" w:w="60"/>
              <w:left w:type="dxa" w:w="100"/>
              <w:bottom w:type="dxa" w:w="60"/>
              <w:right w:type="dxa" w:w="100"/>
            </w:tcMar>
          </w:tcPr>
          <w:p>
            <w:r>
              <w:rPr>
                <w:color w:val="1C1C1C"/>
                <w:sz w:val="20"/>
                <w:szCs w:val="20"/>
              </w:rPr>
              <w:t xml:space="preserve">Reducing synthetic fertilizer dependence via BSF frass fertilizer</w:t>
            </w:r>
          </w:p>
        </w:tc>
      </w:tr>
    </w:tbl>
    <w:p>
      <w:pPr>
        <w:spacing w:before="120"/>
      </w:pPr>
    </w:p>
    <w:p>
      <w:pPr>
        <w:spacing w:after="120" w:before="240"/>
      </w:pPr>
      <w:r>
        <w:rPr>
          <w:b/>
          <w:bCs/>
          <w:color w:val="00A86B"/>
          <w:sz w:val="24"/>
          <w:szCs w:val="24"/>
        </w:rPr>
        <w:t xml:space="preserve">Yunus '3-Zero' Alignment</w:t>
      </w:r>
    </w:p>
    <w:p>
      <w:pPr>
        <w:pStyle w:val="ListParagraph"/>
        <w:numPr>
          <w:ilvl w:val="0"/>
          <w:numId w:val="1"/>
        </w:numPr>
        <w:spacing w:after="60" w:before="40"/>
      </w:pPr>
      <w:r>
        <w:rPr>
          <w:color w:val="1C1C1C"/>
          <w:sz w:val="22"/>
          <w:szCs w:val="22"/>
        </w:rPr>
        <w:t xml:space="preserve">Zero Net Carbon: BSF processing eliminates wet food waste incineration (high GHG), replacing fossil-derived fishmeal. LCA studies confirm BSF outperforms landfilling and incineration (MDPI, 2025).</w:t>
      </w:r>
    </w:p>
    <w:p>
      <w:pPr>
        <w:pStyle w:val="ListParagraph"/>
        <w:numPr>
          <w:ilvl w:val="0"/>
          <w:numId w:val="1"/>
        </w:numPr>
        <w:spacing w:after="60" w:before="40"/>
      </w:pPr>
      <w:r>
        <w:rPr>
          <w:color w:val="1C1C1C"/>
          <w:sz w:val="22"/>
          <w:szCs w:val="22"/>
        </w:rPr>
        <w:t xml:space="preserve">Zero Poverty: Night market associations gain sustainable waste revenue stream; small-scale urban farmers access affordable organic fertilizer, lowering their production costs.</w:t>
      </w:r>
    </w:p>
    <w:p>
      <w:pPr>
        <w:pStyle w:val="ListParagraph"/>
        <w:numPr>
          <w:ilvl w:val="0"/>
          <w:numId w:val="1"/>
        </w:numPr>
        <w:spacing w:after="60" w:before="40"/>
      </w:pPr>
      <w:r>
        <w:rPr>
          <w:color w:val="1C1C1C"/>
          <w:sz w:val="22"/>
          <w:szCs w:val="22"/>
        </w:rPr>
        <w:t xml:space="preserve">Zero Unemployment: Creates local Bio-Hub Technician roles; supply chain jobs in protein drying, frass packaging, and delivery logistics.</w:t>
      </w:r>
    </w:p>
    <w:p>
      <w:r>
        <w:br w:type="page"/>
      </w:r>
    </w:p>
    <w:p>
      <w:pPr>
        <w:pStyle w:val="Heading1"/>
        <w:spacing w:after="200" w:before="400"/>
        <w:rPr>
          <w:b/>
          <w:bCs/>
          <w:color w:val="1A3C5E"/>
        </w:rPr>
      </w:pPr>
      <w:r>
        <w:t xml:space="preserve">PART III — Integrated System: The Circular Synergy</w:t>
      </w:r>
    </w:p>
    <w:p>
      <w:pPr>
        <w:spacing w:after="100" w:before="80"/>
      </w:pPr>
      <w:r>
        <w:rPr>
          <w:color w:val="1C1C1C"/>
          <w:sz w:val="22"/>
          <w:szCs w:val="22"/>
        </w:rPr>
        <w:t xml:space="preserve">The true power of this proposal lies in the complementarity between Projects 03 and 04. They are not two separate social businesses—they are an integrated urban circular metabolism system.</w:t>
      </w:r>
    </w:p>
    <w:p>
      <w:pPr>
        <w:spacing w:after="120" w:before="240"/>
      </w:pPr>
      <w:r>
        <w:rPr>
          <w:b/>
          <w:bCs/>
          <w:color w:val="00A86B"/>
          <w:sz w:val="24"/>
          <w:szCs w:val="24"/>
        </w:rPr>
        <w:t xml:space="preserve">Systems Integration</w:t>
      </w:r>
    </w:p>
    <w:p>
      <w:pPr>
        <w:spacing w:after="100" w:before="80"/>
      </w:pPr>
      <w:r>
        <w:rPr>
          <w:color w:val="1C1C1C"/>
          <w:sz w:val="22"/>
          <w:szCs w:val="22"/>
        </w:rPr>
        <w:t xml:space="preserve">How the two projects work together:</w:t>
      </w:r>
    </w:p>
    <w:p>
      <w:pPr>
        <w:pStyle w:val="ListParagraph"/>
        <w:numPr>
          <w:ilvl w:val="0"/>
          <w:numId w:val="1"/>
        </w:numPr>
        <w:spacing w:after="60" w:before="40"/>
      </w:pPr>
      <w:r>
        <w:rPr>
          <w:color w:val="1C1C1C"/>
          <w:sz w:val="22"/>
          <w:szCs w:val="22"/>
        </w:rPr>
        <w:t xml:space="preserve">The Trash Scanner's sorting matrix includes Category 12 (Food Waste/Compost), which creates a pre-sorted, clean organic stream directly usable as BSF feedstock.</w:t>
      </w:r>
    </w:p>
    <w:p>
      <w:pPr>
        <w:pStyle w:val="ListParagraph"/>
        <w:numPr>
          <w:ilvl w:val="0"/>
          <w:numId w:val="1"/>
        </w:numPr>
        <w:spacing w:after="60" w:before="40"/>
      </w:pPr>
      <w:r>
        <w:rPr>
          <w:color w:val="1C1C1C"/>
          <w:sz w:val="22"/>
          <w:szCs w:val="22"/>
        </w:rPr>
        <w:t xml:space="preserve">BSF frass is sold to urban agriculture customers who also use data from the Trash Scanner's Data-as-a-Service (DaaS) platform to report their sustainability KPIs.</w:t>
      </w:r>
    </w:p>
    <w:p>
      <w:pPr>
        <w:pStyle w:val="ListParagraph"/>
        <w:numPr>
          <w:ilvl w:val="0"/>
          <w:numId w:val="1"/>
        </w:numPr>
        <w:spacing w:after="60" w:before="40"/>
      </w:pPr>
      <w:r>
        <w:rPr>
          <w:color w:val="1C1C1C"/>
          <w:sz w:val="22"/>
          <w:szCs w:val="22"/>
        </w:rPr>
        <w:t xml:space="preserve">Together, they provide a comprehensive circular economy social business addressing all three 'zeros' simultaneously—the hallmark of a Yunus-grade proposal.</w:t>
      </w:r>
    </w:p>
    <w:p>
      <w:pPr>
        <w:spacing w:before="100"/>
      </w:pP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gridCol w:w="100"/>
      </w:tblGrid>
      <w:tr>
        <w:trPr>
          <w:tblHeader/>
        </w:trPr>
        <w:tc>
          <w:tcPr>
            <w:shd w:color="1A3C5E" w:val="solid"/>
            <w:tcMar>
              <w:top w:type="dxa" w:w="80"/>
              <w:left w:type="dxa" w:w="100"/>
              <w:bottom w:type="dxa" w:w="80"/>
              <w:right w:type="dxa" w:w="100"/>
            </w:tcMar>
          </w:tcPr>
          <w:p>
            <w:pPr>
              <w:jc w:val="center"/>
            </w:pPr>
            <w:r>
              <w:rPr>
                <w:b/>
                <w:bCs/>
                <w:color w:val="FFFFFF"/>
                <w:sz w:val="20"/>
                <w:szCs w:val="20"/>
              </w:rPr>
              <w:t xml:space="preserve">Dimension</w:t>
            </w:r>
          </w:p>
        </w:tc>
        <w:tc>
          <w:tcPr>
            <w:shd w:color="1A3C5E" w:val="solid"/>
            <w:tcMar>
              <w:top w:type="dxa" w:w="80"/>
              <w:left w:type="dxa" w:w="100"/>
              <w:bottom w:type="dxa" w:w="80"/>
              <w:right w:type="dxa" w:w="100"/>
            </w:tcMar>
          </w:tcPr>
          <w:p>
            <w:pPr>
              <w:jc w:val="center"/>
            </w:pPr>
            <w:r>
              <w:rPr>
                <w:b/>
                <w:bCs/>
                <w:color w:val="FFFFFF"/>
                <w:sz w:val="20"/>
                <w:szCs w:val="20"/>
              </w:rPr>
              <w:t xml:space="preserve">Project 03: Trash Scanner</w:t>
            </w:r>
          </w:p>
        </w:tc>
        <w:tc>
          <w:tcPr>
            <w:shd w:color="1A3C5E" w:val="solid"/>
            <w:tcMar>
              <w:top w:type="dxa" w:w="80"/>
              <w:left w:type="dxa" w:w="100"/>
              <w:bottom w:type="dxa" w:w="80"/>
              <w:right w:type="dxa" w:w="100"/>
            </w:tcMar>
          </w:tcPr>
          <w:p>
            <w:pPr>
              <w:jc w:val="center"/>
            </w:pPr>
            <w:r>
              <w:rPr>
                <w:b/>
                <w:bCs/>
                <w:color w:val="FFFFFF"/>
                <w:sz w:val="20"/>
                <w:szCs w:val="20"/>
              </w:rPr>
              <w:t xml:space="preserve">Project 04: BSF Bio-Loop</w:t>
            </w:r>
          </w:p>
        </w:tc>
        <w:tc>
          <w:tcPr>
            <w:shd w:color="1A3C5E" w:val="solid"/>
            <w:tcMar>
              <w:top w:type="dxa" w:w="80"/>
              <w:left w:type="dxa" w:w="100"/>
              <w:bottom w:type="dxa" w:w="80"/>
              <w:right w:type="dxa" w:w="100"/>
            </w:tcMar>
          </w:tcPr>
          <w:p>
            <w:pPr>
              <w:jc w:val="center"/>
            </w:pPr>
            <w:r>
              <w:rPr>
                <w:b/>
                <w:bCs/>
                <w:color w:val="FFFFFF"/>
                <w:sz w:val="20"/>
                <w:szCs w:val="20"/>
              </w:rPr>
              <w:t xml:space="preserve">Combined Impact</w:t>
            </w:r>
          </w:p>
        </w:tc>
      </w:tr>
      <w:tr>
        <w:tc>
          <w:tcPr>
            <w:shd w:color="F7FBFA" w:val="solid"/>
            <w:tcMar>
              <w:top w:type="dxa" w:w="60"/>
              <w:left w:type="dxa" w:w="100"/>
              <w:bottom w:type="dxa" w:w="60"/>
              <w:right w:type="dxa" w:w="100"/>
            </w:tcMar>
          </w:tcPr>
          <w:p>
            <w:r>
              <w:rPr>
                <w:color w:val="1C1C1C"/>
                <w:sz w:val="20"/>
                <w:szCs w:val="20"/>
              </w:rPr>
              <w:t xml:space="preserve">Problem solved</w:t>
            </w:r>
          </w:p>
        </w:tc>
        <w:tc>
          <w:tcPr>
            <w:shd w:color="F7FBFA" w:val="solid"/>
            <w:tcMar>
              <w:top w:type="dxa" w:w="60"/>
              <w:left w:type="dxa" w:w="100"/>
              <w:bottom w:type="dxa" w:w="60"/>
              <w:right w:type="dxa" w:w="100"/>
            </w:tcMar>
          </w:tcPr>
          <w:p>
            <w:r>
              <w:rPr>
                <w:color w:val="1C1C1C"/>
                <w:sz w:val="20"/>
                <w:szCs w:val="20"/>
              </w:rPr>
              <w:t xml:space="preserve">Recycling purity / contamination</w:t>
            </w:r>
          </w:p>
        </w:tc>
        <w:tc>
          <w:tcPr>
            <w:shd w:color="F7FBFA" w:val="solid"/>
            <w:tcMar>
              <w:top w:type="dxa" w:w="60"/>
              <w:left w:type="dxa" w:w="100"/>
              <w:bottom w:type="dxa" w:w="60"/>
              <w:right w:type="dxa" w:w="100"/>
            </w:tcMar>
          </w:tcPr>
          <w:p>
            <w:r>
              <w:rPr>
                <w:color w:val="1C1C1C"/>
                <w:sz w:val="20"/>
                <w:szCs w:val="20"/>
              </w:rPr>
              <w:t xml:space="preserve">Organic waste &amp; protein imports</w:t>
            </w:r>
          </w:p>
        </w:tc>
        <w:tc>
          <w:tcPr>
            <w:shd w:color="F7FBFA" w:val="solid"/>
            <w:tcMar>
              <w:top w:type="dxa" w:w="60"/>
              <w:left w:type="dxa" w:w="100"/>
              <w:bottom w:type="dxa" w:w="60"/>
              <w:right w:type="dxa" w:w="100"/>
            </w:tcMar>
          </w:tcPr>
          <w:p>
            <w:r>
              <w:rPr>
                <w:color w:val="1C1C1C"/>
                <w:sz w:val="20"/>
                <w:szCs w:val="20"/>
              </w:rPr>
              <w:t xml:space="preserve">Full urban waste stream covered</w:t>
            </w:r>
          </w:p>
        </w:tc>
      </w:tr>
      <w:tr>
        <w:tc>
          <w:tcPr>
            <w:shd w:color="FFFFFF" w:val="solid"/>
            <w:tcMar>
              <w:top w:type="dxa" w:w="60"/>
              <w:left w:type="dxa" w:w="100"/>
              <w:bottom w:type="dxa" w:w="60"/>
              <w:right w:type="dxa" w:w="100"/>
            </w:tcMar>
          </w:tcPr>
          <w:p>
            <w:r>
              <w:rPr>
                <w:color w:val="1C1C1C"/>
                <w:sz w:val="20"/>
                <w:szCs w:val="20"/>
              </w:rPr>
              <w:t xml:space="preserve">Technology</w:t>
            </w:r>
          </w:p>
        </w:tc>
        <w:tc>
          <w:tcPr>
            <w:shd w:color="FFFFFF" w:val="solid"/>
            <w:tcMar>
              <w:top w:type="dxa" w:w="60"/>
              <w:left w:type="dxa" w:w="100"/>
              <w:bottom w:type="dxa" w:w="60"/>
              <w:right w:type="dxa" w:w="100"/>
            </w:tcMar>
          </w:tcPr>
          <w:p>
            <w:r>
              <w:rPr>
                <w:color w:val="1C1C1C"/>
                <w:sz w:val="20"/>
                <w:szCs w:val="20"/>
              </w:rPr>
              <w:t xml:space="preserve">NIR + AI Vision + Robotics</w:t>
            </w:r>
          </w:p>
        </w:tc>
        <w:tc>
          <w:tcPr>
            <w:shd w:color="FFFFFF" w:val="solid"/>
            <w:tcMar>
              <w:top w:type="dxa" w:w="60"/>
              <w:left w:type="dxa" w:w="100"/>
              <w:bottom w:type="dxa" w:w="60"/>
              <w:right w:type="dxa" w:w="100"/>
            </w:tcMar>
          </w:tcPr>
          <w:p>
            <w:r>
              <w:rPr>
                <w:color w:val="1C1C1C"/>
                <w:sz w:val="20"/>
                <w:szCs w:val="20"/>
              </w:rPr>
              <w:t xml:space="preserve">Insect bioconversion + IoT</w:t>
            </w:r>
          </w:p>
        </w:tc>
        <w:tc>
          <w:tcPr>
            <w:shd w:color="FFFFFF" w:val="solid"/>
            <w:tcMar>
              <w:top w:type="dxa" w:w="60"/>
              <w:left w:type="dxa" w:w="100"/>
              <w:bottom w:type="dxa" w:w="60"/>
              <w:right w:type="dxa" w:w="100"/>
            </w:tcMar>
          </w:tcPr>
          <w:p>
            <w:r>
              <w:rPr>
                <w:color w:val="1C1C1C"/>
                <w:sz w:val="20"/>
                <w:szCs w:val="20"/>
              </w:rPr>
              <w:t xml:space="preserve">AI + Bio-tech convergence</w:t>
            </w:r>
          </w:p>
        </w:tc>
      </w:tr>
      <w:tr>
        <w:tc>
          <w:tcPr>
            <w:shd w:color="F7FBFA" w:val="solid"/>
            <w:tcMar>
              <w:top w:type="dxa" w:w="60"/>
              <w:left w:type="dxa" w:w="100"/>
              <w:bottom w:type="dxa" w:w="60"/>
              <w:right w:type="dxa" w:w="100"/>
            </w:tcMar>
          </w:tcPr>
          <w:p>
            <w:r>
              <w:rPr>
                <w:color w:val="1C1C1C"/>
                <w:sz w:val="20"/>
                <w:szCs w:val="20"/>
              </w:rPr>
              <w:t xml:space="preserve">Revenue model</w:t>
            </w:r>
          </w:p>
        </w:tc>
        <w:tc>
          <w:tcPr>
            <w:shd w:color="F7FBFA" w:val="solid"/>
            <w:tcMar>
              <w:top w:type="dxa" w:w="60"/>
              <w:left w:type="dxa" w:w="100"/>
              <w:bottom w:type="dxa" w:w="60"/>
              <w:right w:type="dxa" w:w="100"/>
            </w:tcMar>
          </w:tcPr>
          <w:p>
            <w:r>
              <w:rPr>
                <w:color w:val="1C1C1C"/>
                <w:sz w:val="20"/>
                <w:szCs w:val="20"/>
              </w:rPr>
              <w:t xml:space="preserve">B2B, B2G, SaaS</w:t>
            </w:r>
          </w:p>
        </w:tc>
        <w:tc>
          <w:tcPr>
            <w:shd w:color="F7FBFA" w:val="solid"/>
            <w:tcMar>
              <w:top w:type="dxa" w:w="60"/>
              <w:left w:type="dxa" w:w="100"/>
              <w:bottom w:type="dxa" w:w="60"/>
              <w:right w:type="dxa" w:w="100"/>
            </w:tcMar>
          </w:tcPr>
          <w:p>
            <w:r>
              <w:rPr>
                <w:color w:val="1C1C1C"/>
                <w:sz w:val="20"/>
                <w:szCs w:val="20"/>
              </w:rPr>
              <w:t xml:space="preserve">Protein + Fertilizer + Tipping Fee</w:t>
            </w:r>
          </w:p>
        </w:tc>
        <w:tc>
          <w:tcPr>
            <w:shd w:color="F7FBFA" w:val="solid"/>
            <w:tcMar>
              <w:top w:type="dxa" w:w="60"/>
              <w:left w:type="dxa" w:w="100"/>
              <w:bottom w:type="dxa" w:w="60"/>
              <w:right w:type="dxa" w:w="100"/>
            </w:tcMar>
          </w:tcPr>
          <w:p>
            <w:r>
              <w:rPr>
                <w:color w:val="1C1C1C"/>
                <w:sz w:val="20"/>
                <w:szCs w:val="20"/>
              </w:rPr>
              <w:t xml:space="preserve">Diversified, resilient income</w:t>
            </w:r>
          </w:p>
        </w:tc>
      </w:tr>
      <w:tr>
        <w:tc>
          <w:tcPr>
            <w:shd w:color="FFFFFF" w:val="solid"/>
            <w:tcMar>
              <w:top w:type="dxa" w:w="60"/>
              <w:left w:type="dxa" w:w="100"/>
              <w:bottom w:type="dxa" w:w="60"/>
              <w:right w:type="dxa" w:w="100"/>
            </w:tcMar>
          </w:tcPr>
          <w:p>
            <w:r>
              <w:rPr>
                <w:color w:val="1C1C1C"/>
                <w:sz w:val="20"/>
                <w:szCs w:val="20"/>
              </w:rPr>
              <w:t xml:space="preserve">SDGs covered</w:t>
            </w:r>
          </w:p>
        </w:tc>
        <w:tc>
          <w:tcPr>
            <w:shd w:color="FFFFFF" w:val="solid"/>
            <w:tcMar>
              <w:top w:type="dxa" w:w="60"/>
              <w:left w:type="dxa" w:w="100"/>
              <w:bottom w:type="dxa" w:w="60"/>
              <w:right w:type="dxa" w:w="100"/>
            </w:tcMar>
          </w:tcPr>
          <w:p>
            <w:r>
              <w:rPr>
                <w:color w:val="1C1C1C"/>
                <w:sz w:val="20"/>
                <w:szCs w:val="20"/>
              </w:rPr>
              <w:t xml:space="preserve">9, 12, 14</w:t>
            </w:r>
          </w:p>
        </w:tc>
        <w:tc>
          <w:tcPr>
            <w:shd w:color="FFFFFF" w:val="solid"/>
            <w:tcMar>
              <w:top w:type="dxa" w:w="60"/>
              <w:left w:type="dxa" w:w="100"/>
              <w:bottom w:type="dxa" w:w="60"/>
              <w:right w:type="dxa" w:w="100"/>
            </w:tcMar>
          </w:tcPr>
          <w:p>
            <w:r>
              <w:rPr>
                <w:color w:val="1C1C1C"/>
                <w:sz w:val="20"/>
                <w:szCs w:val="20"/>
              </w:rPr>
              <w:t xml:space="preserve">2, 12, 15</w:t>
            </w:r>
          </w:p>
        </w:tc>
        <w:tc>
          <w:tcPr>
            <w:shd w:color="FFFFFF" w:val="solid"/>
            <w:tcMar>
              <w:top w:type="dxa" w:w="60"/>
              <w:left w:type="dxa" w:w="100"/>
              <w:bottom w:type="dxa" w:w="60"/>
              <w:right w:type="dxa" w:w="100"/>
            </w:tcMar>
          </w:tcPr>
          <w:p>
            <w:r>
              <w:rPr>
                <w:color w:val="1C1C1C"/>
                <w:sz w:val="20"/>
                <w:szCs w:val="20"/>
              </w:rPr>
              <w:t xml:space="preserve">SDG 2, 9, 12, 14, 15</w:t>
            </w:r>
          </w:p>
        </w:tc>
      </w:tr>
      <w:tr>
        <w:tc>
          <w:tcPr>
            <w:shd w:color="F7FBFA" w:val="solid"/>
            <w:tcMar>
              <w:top w:type="dxa" w:w="60"/>
              <w:left w:type="dxa" w:w="100"/>
              <w:bottom w:type="dxa" w:w="60"/>
              <w:right w:type="dxa" w:w="100"/>
            </w:tcMar>
          </w:tcPr>
          <w:p>
            <w:r>
              <w:rPr>
                <w:color w:val="1C1C1C"/>
                <w:sz w:val="20"/>
                <w:szCs w:val="20"/>
              </w:rPr>
              <w:t xml:space="preserve">Yunus zeroes</w:t>
            </w:r>
          </w:p>
        </w:tc>
        <w:tc>
          <w:tcPr>
            <w:shd w:color="F7FBFA" w:val="solid"/>
            <w:tcMar>
              <w:top w:type="dxa" w:w="60"/>
              <w:left w:type="dxa" w:w="100"/>
              <w:bottom w:type="dxa" w:w="60"/>
              <w:right w:type="dxa" w:w="100"/>
            </w:tcMar>
          </w:tcPr>
          <w:p>
            <w:r>
              <w:rPr>
                <w:color w:val="1C1C1C"/>
                <w:sz w:val="20"/>
                <w:szCs w:val="20"/>
              </w:rPr>
              <w:t xml:space="preserve">Zero Carbon, Zero Unemployment</w:t>
            </w:r>
          </w:p>
        </w:tc>
        <w:tc>
          <w:tcPr>
            <w:shd w:color="F7FBFA" w:val="solid"/>
            <w:tcMar>
              <w:top w:type="dxa" w:w="60"/>
              <w:left w:type="dxa" w:w="100"/>
              <w:bottom w:type="dxa" w:w="60"/>
              <w:right w:type="dxa" w:w="100"/>
            </w:tcMar>
          </w:tcPr>
          <w:p>
            <w:r>
              <w:rPr>
                <w:color w:val="1C1C1C"/>
                <w:sz w:val="20"/>
                <w:szCs w:val="20"/>
              </w:rPr>
              <w:t xml:space="preserve">All three zeroes</w:t>
            </w:r>
          </w:p>
        </w:tc>
        <w:tc>
          <w:tcPr>
            <w:shd w:color="F7FBFA" w:val="solid"/>
            <w:tcMar>
              <w:top w:type="dxa" w:w="60"/>
              <w:left w:type="dxa" w:w="100"/>
              <w:bottom w:type="dxa" w:w="60"/>
              <w:right w:type="dxa" w:w="100"/>
            </w:tcMar>
          </w:tcPr>
          <w:p>
            <w:r>
              <w:rPr>
                <w:color w:val="1C1C1C"/>
                <w:sz w:val="20"/>
                <w:szCs w:val="20"/>
              </w:rPr>
              <w:t xml:space="preserve">Complete '3-Zero' system</w:t>
            </w:r>
          </w:p>
        </w:tc>
      </w:tr>
    </w:tbl>
    <w:p>
      <w:r>
        <w:br w:type="page"/>
      </w:r>
    </w:p>
    <w:p>
      <w:pPr>
        <w:pStyle w:val="Heading1"/>
        <w:spacing w:after="200" w:before="400"/>
        <w:rPr>
          <w:b/>
          <w:bCs/>
          <w:color w:val="1A3C5E"/>
        </w:rPr>
      </w:pPr>
      <w:r>
        <w:t xml:space="preserve">PART IV — Yunus Competition Strategic Positioning</w:t>
      </w:r>
    </w:p>
    <w:p>
      <w:pPr>
        <w:pBdr>
          <w:bottom w:val="single" w:color="00A86B" w:sz="6"/>
        </w:pBdr>
        <w:spacing w:after="160" w:before="320"/>
      </w:pPr>
      <w:r>
        <w:rPr>
          <w:b/>
          <w:bCs/>
          <w:color w:val="1A3C5E"/>
          <w:sz w:val="28"/>
          <w:szCs w:val="28"/>
        </w:rPr>
        <w:t xml:space="preserve">4.1  Evaluation Criteria Alignment</w:t>
      </w: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tblGrid>
      <w:tr>
        <w:trPr>
          <w:tblHeader/>
        </w:trPr>
        <w:tc>
          <w:tcPr>
            <w:shd w:color="1A3C5E" w:val="solid"/>
            <w:tcMar>
              <w:top w:type="dxa" w:w="80"/>
              <w:left w:type="dxa" w:w="100"/>
              <w:bottom w:type="dxa" w:w="80"/>
              <w:right w:type="dxa" w:w="100"/>
            </w:tcMar>
          </w:tcPr>
          <w:p>
            <w:pPr>
              <w:jc w:val="center"/>
            </w:pPr>
            <w:r>
              <w:rPr>
                <w:b/>
                <w:bCs/>
                <w:color w:val="FFFFFF"/>
                <w:sz w:val="20"/>
                <w:szCs w:val="20"/>
              </w:rPr>
              <w:t xml:space="preserve">Criterion</w:t>
            </w:r>
          </w:p>
        </w:tc>
        <w:tc>
          <w:tcPr>
            <w:shd w:color="1A3C5E" w:val="solid"/>
            <w:tcMar>
              <w:top w:type="dxa" w:w="80"/>
              <w:left w:type="dxa" w:w="100"/>
              <w:bottom w:type="dxa" w:w="80"/>
              <w:right w:type="dxa" w:w="100"/>
            </w:tcMar>
          </w:tcPr>
          <w:p>
            <w:pPr>
              <w:jc w:val="center"/>
            </w:pPr>
            <w:r>
              <w:rPr>
                <w:b/>
                <w:bCs/>
                <w:color w:val="FFFFFF"/>
                <w:sz w:val="20"/>
                <w:szCs w:val="20"/>
              </w:rPr>
              <w:t xml:space="preserve">Our Strength</w:t>
            </w:r>
          </w:p>
        </w:tc>
        <w:tc>
          <w:tcPr>
            <w:shd w:color="1A3C5E" w:val="solid"/>
            <w:tcMar>
              <w:top w:type="dxa" w:w="80"/>
              <w:left w:type="dxa" w:w="100"/>
              <w:bottom w:type="dxa" w:w="80"/>
              <w:right w:type="dxa" w:w="100"/>
            </w:tcMar>
          </w:tcPr>
          <w:p>
            <w:pPr>
              <w:jc w:val="center"/>
            </w:pPr>
            <w:r>
              <w:rPr>
                <w:b/>
                <w:bCs/>
                <w:color w:val="FFFFFF"/>
                <w:sz w:val="20"/>
                <w:szCs w:val="20"/>
              </w:rPr>
              <w:t xml:space="preserve">Evidence</w:t>
            </w:r>
          </w:p>
        </w:tc>
      </w:tr>
      <w:tr>
        <w:tc>
          <w:tcPr>
            <w:shd w:color="F7FBFA" w:val="solid"/>
            <w:tcMar>
              <w:top w:type="dxa" w:w="60"/>
              <w:left w:type="dxa" w:w="100"/>
              <w:bottom w:type="dxa" w:w="60"/>
              <w:right w:type="dxa" w:w="100"/>
            </w:tcMar>
          </w:tcPr>
          <w:p>
            <w:r>
              <w:rPr>
                <w:color w:val="1C1C1C"/>
                <w:sz w:val="20"/>
                <w:szCs w:val="20"/>
              </w:rPr>
              <w:t xml:space="preserve">7 Principles of Social Business</w:t>
            </w:r>
          </w:p>
        </w:tc>
        <w:tc>
          <w:tcPr>
            <w:shd w:color="F7FBFA" w:val="solid"/>
            <w:tcMar>
              <w:top w:type="dxa" w:w="60"/>
              <w:left w:type="dxa" w:w="100"/>
              <w:bottom w:type="dxa" w:w="60"/>
              <w:right w:type="dxa" w:w="100"/>
            </w:tcMar>
          </w:tcPr>
          <w:p>
            <w:r>
              <w:rPr>
                <w:color w:val="1C1C1C"/>
                <w:sz w:val="20"/>
                <w:szCs w:val="20"/>
              </w:rPr>
              <w:t xml:space="preserve">Zero-profit-extraction model; surplus reinvested into hub expansion</w:t>
            </w:r>
          </w:p>
        </w:tc>
        <w:tc>
          <w:tcPr>
            <w:shd w:color="F7FBFA" w:val="solid"/>
            <w:tcMar>
              <w:top w:type="dxa" w:w="60"/>
              <w:left w:type="dxa" w:w="100"/>
              <w:bottom w:type="dxa" w:w="60"/>
              <w:right w:type="dxa" w:w="100"/>
            </w:tcMar>
          </w:tcPr>
          <w:p>
            <w:r>
              <w:rPr>
                <w:color w:val="1C1C1C"/>
                <w:sz w:val="20"/>
                <w:szCs w:val="20"/>
              </w:rPr>
              <w:t xml:space="preserve">Business model design section</w:t>
            </w:r>
          </w:p>
        </w:tc>
      </w:tr>
      <w:tr>
        <w:tc>
          <w:tcPr>
            <w:shd w:color="FFFFFF" w:val="solid"/>
            <w:tcMar>
              <w:top w:type="dxa" w:w="60"/>
              <w:left w:type="dxa" w:w="100"/>
              <w:bottom w:type="dxa" w:w="60"/>
              <w:right w:type="dxa" w:w="100"/>
            </w:tcMar>
          </w:tcPr>
          <w:p>
            <w:r>
              <w:rPr>
                <w:color w:val="1C1C1C"/>
                <w:sz w:val="20"/>
                <w:szCs w:val="20"/>
              </w:rPr>
              <w:t xml:space="preserve">Business Model Clarity</w:t>
            </w:r>
          </w:p>
        </w:tc>
        <w:tc>
          <w:tcPr>
            <w:shd w:color="FFFFFF" w:val="solid"/>
            <w:tcMar>
              <w:top w:type="dxa" w:w="60"/>
              <w:left w:type="dxa" w:w="100"/>
              <w:bottom w:type="dxa" w:w="60"/>
              <w:right w:type="dxa" w:w="100"/>
            </w:tcMar>
          </w:tcPr>
          <w:p>
            <w:r>
              <w:rPr>
                <w:color w:val="1C1C1C"/>
                <w:sz w:val="20"/>
                <w:szCs w:val="20"/>
              </w:rPr>
              <w:t xml:space="preserve">Dual revenue streams per project; clear unit economics table</w:t>
            </w:r>
          </w:p>
        </w:tc>
        <w:tc>
          <w:tcPr>
            <w:shd w:color="FFFFFF" w:val="solid"/>
            <w:tcMar>
              <w:top w:type="dxa" w:w="60"/>
              <w:left w:type="dxa" w:w="100"/>
              <w:bottom w:type="dxa" w:w="60"/>
              <w:right w:type="dxa" w:w="100"/>
            </w:tcMar>
          </w:tcPr>
          <w:p>
            <w:r>
              <w:rPr>
                <w:color w:val="1C1C1C"/>
                <w:sz w:val="20"/>
                <w:szCs w:val="20"/>
              </w:rPr>
              <w:t xml:space="preserve">Financial projections in each proposal</w:t>
            </w:r>
          </w:p>
        </w:tc>
      </w:tr>
      <w:tr>
        <w:tc>
          <w:tcPr>
            <w:shd w:color="F7FBFA" w:val="solid"/>
            <w:tcMar>
              <w:top w:type="dxa" w:w="60"/>
              <w:left w:type="dxa" w:w="100"/>
              <w:bottom w:type="dxa" w:w="60"/>
              <w:right w:type="dxa" w:w="100"/>
            </w:tcMar>
          </w:tcPr>
          <w:p>
            <w:r>
              <w:rPr>
                <w:color w:val="1C1C1C"/>
                <w:sz w:val="20"/>
                <w:szCs w:val="20"/>
              </w:rPr>
              <w:t xml:space="preserve">Social Impact &amp; KPIs</w:t>
            </w:r>
          </w:p>
        </w:tc>
        <w:tc>
          <w:tcPr>
            <w:shd w:color="F7FBFA" w:val="solid"/>
            <w:tcMar>
              <w:top w:type="dxa" w:w="60"/>
              <w:left w:type="dxa" w:w="100"/>
              <w:bottom w:type="dxa" w:w="60"/>
              <w:right w:type="dxa" w:w="100"/>
            </w:tcMar>
          </w:tcPr>
          <w:p>
            <w:r>
              <w:rPr>
                <w:color w:val="1C1C1C"/>
                <w:sz w:val="20"/>
                <w:szCs w:val="20"/>
              </w:rPr>
              <w:t xml:space="preserve">Quantified targets: tonnes diverted, protein produced, jobs created</w:t>
            </w:r>
          </w:p>
        </w:tc>
        <w:tc>
          <w:tcPr>
            <w:shd w:color="F7FBFA" w:val="solid"/>
            <w:tcMar>
              <w:top w:type="dxa" w:w="60"/>
              <w:left w:type="dxa" w:w="100"/>
              <w:bottom w:type="dxa" w:w="60"/>
              <w:right w:type="dxa" w:w="100"/>
            </w:tcMar>
          </w:tcPr>
          <w:p>
            <w:r>
              <w:rPr>
                <w:color w:val="1C1C1C"/>
                <w:sz w:val="20"/>
                <w:szCs w:val="20"/>
              </w:rPr>
              <w:t xml:space="preserve">LCA data + market research citations</w:t>
            </w:r>
          </w:p>
        </w:tc>
      </w:tr>
      <w:tr>
        <w:tc>
          <w:tcPr>
            <w:shd w:color="FFFFFF" w:val="solid"/>
            <w:tcMar>
              <w:top w:type="dxa" w:w="60"/>
              <w:left w:type="dxa" w:w="100"/>
              <w:bottom w:type="dxa" w:w="60"/>
              <w:right w:type="dxa" w:w="100"/>
            </w:tcMar>
          </w:tcPr>
          <w:p>
            <w:r>
              <w:rPr>
                <w:color w:val="1C1C1C"/>
                <w:sz w:val="20"/>
                <w:szCs w:val="20"/>
              </w:rPr>
              <w:t xml:space="preserve">Financial Sustainability</w:t>
            </w:r>
          </w:p>
        </w:tc>
        <w:tc>
          <w:tcPr>
            <w:shd w:color="FFFFFF" w:val="solid"/>
            <w:tcMar>
              <w:top w:type="dxa" w:w="60"/>
              <w:left w:type="dxa" w:w="100"/>
              <w:bottom w:type="dxa" w:w="60"/>
              <w:right w:type="dxa" w:w="100"/>
            </w:tcMar>
          </w:tcPr>
          <w:p>
            <w:r>
              <w:rPr>
                <w:color w:val="1C1C1C"/>
                <w:sz w:val="20"/>
                <w:szCs w:val="20"/>
              </w:rPr>
              <w:t xml:space="preserve">18–36 month payback; recurring SaaS/tipping fee revenue</w:t>
            </w:r>
          </w:p>
        </w:tc>
        <w:tc>
          <w:tcPr>
            <w:shd w:color="FFFFFF" w:val="solid"/>
            <w:tcMar>
              <w:top w:type="dxa" w:w="60"/>
              <w:left w:type="dxa" w:w="100"/>
              <w:bottom w:type="dxa" w:w="60"/>
              <w:right w:type="dxa" w:w="100"/>
            </w:tcMar>
          </w:tcPr>
          <w:p>
            <w:r>
              <w:rPr>
                <w:color w:val="1C1C1C"/>
                <w:sz w:val="20"/>
                <w:szCs w:val="20"/>
              </w:rPr>
              <w:t xml:space="preserve">Revenue model tables in this document</w:t>
            </w:r>
          </w:p>
        </w:tc>
      </w:tr>
      <w:tr>
        <w:tc>
          <w:tcPr>
            <w:shd w:color="F7FBFA" w:val="solid"/>
            <w:tcMar>
              <w:top w:type="dxa" w:w="60"/>
              <w:left w:type="dxa" w:w="100"/>
              <w:bottom w:type="dxa" w:w="60"/>
              <w:right w:type="dxa" w:w="100"/>
            </w:tcMar>
          </w:tcPr>
          <w:p>
            <w:r>
              <w:rPr>
                <w:color w:val="1C1C1C"/>
                <w:sz w:val="20"/>
                <w:szCs w:val="20"/>
              </w:rPr>
              <w:t xml:space="preserve">SDG Alignment</w:t>
            </w:r>
          </w:p>
        </w:tc>
        <w:tc>
          <w:tcPr>
            <w:shd w:color="F7FBFA" w:val="solid"/>
            <w:tcMar>
              <w:top w:type="dxa" w:w="60"/>
              <w:left w:type="dxa" w:w="100"/>
              <w:bottom w:type="dxa" w:w="60"/>
              <w:right w:type="dxa" w:w="100"/>
            </w:tcMar>
          </w:tcPr>
          <w:p>
            <w:r>
              <w:rPr>
                <w:color w:val="1C1C1C"/>
                <w:sz w:val="20"/>
                <w:szCs w:val="20"/>
              </w:rPr>
              <w:t xml:space="preserve">Projects 03+04 cover SDGs 2, 9, 12, 14, 15</w:t>
            </w:r>
          </w:p>
        </w:tc>
        <w:tc>
          <w:tcPr>
            <w:shd w:color="F7FBFA" w:val="solid"/>
            <w:tcMar>
              <w:top w:type="dxa" w:w="60"/>
              <w:left w:type="dxa" w:w="100"/>
              <w:bottom w:type="dxa" w:w="60"/>
              <w:right w:type="dxa" w:w="100"/>
            </w:tcMar>
          </w:tcPr>
          <w:p>
            <w:r>
              <w:rPr>
                <w:color w:val="1C1C1C"/>
                <w:sz w:val="20"/>
                <w:szCs w:val="20"/>
              </w:rPr>
              <w:t xml:space="preserve">SDG mapping in each section</w:t>
            </w:r>
          </w:p>
        </w:tc>
      </w:tr>
    </w:tbl>
    <w:p>
      <w:pPr>
        <w:spacing w:before="200"/>
      </w:pPr>
    </w:p>
    <w:p>
      <w:pPr>
        <w:pBdr>
          <w:bottom w:val="single" w:color="00A86B" w:sz="6"/>
        </w:pBdr>
        <w:spacing w:after="160" w:before="320"/>
      </w:pPr>
      <w:r>
        <w:rPr>
          <w:b/>
          <w:bCs/>
          <w:color w:val="1A3C5E"/>
          <w:sz w:val="28"/>
          <w:szCs w:val="28"/>
        </w:rPr>
        <w:t xml:space="preserve">4.2  Compelling Competition Narratives</w:t>
      </w:r>
    </w:p>
    <w:p>
      <w:pPr>
        <w:spacing w:after="120" w:before="240"/>
      </w:pPr>
      <w:r>
        <w:rPr>
          <w:b/>
          <w:bCs/>
          <w:color w:val="00A86B"/>
          <w:sz w:val="24"/>
          <w:szCs w:val="24"/>
        </w:rPr>
        <w:t xml:space="preserve">For Project 03 — Trash Scanner</w:t>
      </w:r>
    </w:p>
    <w:p>
      <w:pPr>
        <w:pBdr>
          <w:left w:val="thick" w:color="00A86B" w:sz="12"/>
        </w:pBdr>
        <w:shd w:color="F0F7F4" w:val="solid"/>
        <w:spacing w:after="120" w:before="120"/>
        <w:ind w:left="576"/>
      </w:pPr>
      <w:r>
        <w:rPr>
          <w:i/>
          <w:iCs/>
          <w:color w:val="1A3C5E"/>
          <w:sz w:val="22"/>
          <w:szCs w:val="22"/>
        </w:rPr>
        <w:t xml:space="preserve">"Taiwan recycles 60% of its waste—but 'recycles' much of it straight to the incinerator because of invisible molecular contamination. Our system is Taiwan's missing molecular layer: seeing what the human eye cannot, and turning every waste stream into a pure value stream."</w:t>
      </w:r>
    </w:p>
    <w:p>
      <w:pPr>
        <w:spacing w:after="120" w:before="240"/>
      </w:pPr>
      <w:r>
        <w:rPr>
          <w:b/>
          <w:bCs/>
          <w:color w:val="00A86B"/>
          <w:sz w:val="24"/>
          <w:szCs w:val="24"/>
        </w:rPr>
        <w:t xml:space="preserve">For Project 04 — BSF Bio-Loop</w:t>
      </w:r>
    </w:p>
    <w:p>
      <w:pPr>
        <w:pBdr>
          <w:left w:val="thick" w:color="00A86B" w:sz="12"/>
        </w:pBdr>
        <w:shd w:color="F0F7F4" w:val="solid"/>
        <w:spacing w:after="120" w:before="120"/>
        <w:ind w:left="576"/>
      </w:pPr>
      <w:r>
        <w:rPr>
          <w:i/>
          <w:iCs/>
          <w:color w:val="1A3C5E"/>
          <w:sz w:val="22"/>
          <w:szCs w:val="22"/>
        </w:rPr>
        <w:t xml:space="preserve">"Every night at Shilin Night Market, 10 tonnes of food disappears into garbage trucks, bound for incineration. Within 12 days, that same waste could be reborn as protein pellets feeding the fish on your breakfast table. This is not waste management—this is biological alchemy."</w:t>
      </w:r>
    </w:p>
    <w:p>
      <w:pPr>
        <w:pBdr>
          <w:bottom w:val="single" w:color="00A86B" w:sz="6"/>
        </w:pBdr>
        <w:spacing w:after="160" w:before="320"/>
      </w:pPr>
      <w:r>
        <w:rPr>
          <w:b/>
          <w:bCs/>
          <w:color w:val="1A3C5E"/>
          <w:sz w:val="28"/>
          <w:szCs w:val="28"/>
        </w:rPr>
        <w:t xml:space="preserve">4.3  Key Academic Keywords for Presentations</w:t>
      </w:r>
    </w:p>
    <w:p>
      <w:pPr>
        <w:pStyle w:val="ListParagraph"/>
        <w:numPr>
          <w:ilvl w:val="0"/>
          <w:numId w:val="1"/>
        </w:numPr>
        <w:spacing w:after="60" w:before="40"/>
      </w:pPr>
      <w:r>
        <w:rPr>
          <w:color w:val="1C1C1C"/>
          <w:sz w:val="22"/>
          <w:szCs w:val="22"/>
        </w:rPr>
        <w:t xml:space="preserve">'Molecular Purity' (分子純度): Positions trash scanner beyond simple recycling</w:t>
      </w:r>
    </w:p>
    <w:p>
      <w:pPr>
        <w:pStyle w:val="ListParagraph"/>
        <w:numPr>
          <w:ilvl w:val="0"/>
          <w:numId w:val="1"/>
        </w:numPr>
        <w:spacing w:after="60" w:before="40"/>
      </w:pPr>
      <w:r>
        <w:rPr>
          <w:color w:val="1C1C1C"/>
          <w:sz w:val="22"/>
          <w:szCs w:val="22"/>
        </w:rPr>
        <w:t xml:space="preserve">'Circular Bioeconomy': Links BSF to global sustainability frameworks</w:t>
      </w:r>
    </w:p>
    <w:p>
      <w:pPr>
        <w:pStyle w:val="ListParagraph"/>
        <w:numPr>
          <w:ilvl w:val="0"/>
          <w:numId w:val="1"/>
        </w:numPr>
        <w:spacing w:after="60" w:before="40"/>
      </w:pPr>
      <w:r>
        <w:rPr>
          <w:color w:val="1C1C1C"/>
          <w:sz w:val="22"/>
          <w:szCs w:val="22"/>
        </w:rPr>
        <w:t xml:space="preserve">'Sensor Fusion': Technical credibility for sorting AI</w:t>
      </w:r>
    </w:p>
    <w:p>
      <w:pPr>
        <w:pStyle w:val="ListParagraph"/>
        <w:numPr>
          <w:ilvl w:val="0"/>
          <w:numId w:val="1"/>
        </w:numPr>
        <w:spacing w:after="60" w:before="40"/>
      </w:pPr>
      <w:r>
        <w:rPr>
          <w:color w:val="1C1C1C"/>
          <w:sz w:val="22"/>
          <w:szCs w:val="22"/>
        </w:rPr>
        <w:t xml:space="preserve">'Life Cycle Assessment (LCA)': Validates BSF's environmental superiority vs. incineration</w:t>
      </w:r>
    </w:p>
    <w:p>
      <w:pPr>
        <w:pStyle w:val="ListParagraph"/>
        <w:numPr>
          <w:ilvl w:val="0"/>
          <w:numId w:val="1"/>
        </w:numPr>
        <w:spacing w:after="60" w:before="40"/>
      </w:pPr>
      <w:r>
        <w:rPr>
          <w:color w:val="1C1C1C"/>
          <w:sz w:val="22"/>
          <w:szCs w:val="22"/>
        </w:rPr>
        <w:t xml:space="preserve">'Extended Producer Responsibility (EPR)': Policy alignment for Trash Scanner's B2G model</w:t>
      </w:r>
    </w:p>
    <w:p>
      <w:pPr>
        <w:pStyle w:val="ListParagraph"/>
        <w:numPr>
          <w:ilvl w:val="0"/>
          <w:numId w:val="1"/>
        </w:numPr>
        <w:spacing w:after="60" w:before="40"/>
      </w:pPr>
      <w:r>
        <w:rPr>
          <w:color w:val="1C1C1C"/>
          <w:sz w:val="22"/>
          <w:szCs w:val="22"/>
        </w:rPr>
        <w:t xml:space="preserve">'Decentralized Bioconversion': Differentiates BSF from centralized, high-transport-cost composting</w:t>
      </w:r>
    </w:p>
    <w:p>
      <w:pPr>
        <w:pStyle w:val="ListParagraph"/>
        <w:numPr>
          <w:ilvl w:val="0"/>
          <w:numId w:val="1"/>
        </w:numPr>
        <w:spacing w:after="60" w:before="40"/>
      </w:pPr>
      <w:r>
        <w:rPr>
          <w:color w:val="1C1C1C"/>
          <w:sz w:val="22"/>
          <w:szCs w:val="22"/>
        </w:rPr>
        <w:t xml:space="preserve">'Federated Learning': Differentiates AI adaptability for new composite packaging materials</w:t>
      </w:r>
    </w:p>
    <w:p>
      <w:r>
        <w:br w:type="page"/>
      </w:r>
    </w:p>
    <w:p>
      <w:pPr>
        <w:pStyle w:val="Heading1"/>
        <w:spacing w:after="200" w:before="400"/>
        <w:rPr>
          <w:b/>
          <w:bCs/>
          <w:color w:val="1A3C5E"/>
        </w:rPr>
      </w:pPr>
      <w:r>
        <w:t xml:space="preserve">PART V — Research Citations &amp; References</w:t>
      </w:r>
    </w:p>
    <w:p>
      <w:pPr>
        <w:spacing w:after="100" w:before="80"/>
      </w:pPr>
      <w:r>
        <w:rPr>
          <w:color w:val="1C1C1C"/>
          <w:sz w:val="22"/>
          <w:szCs w:val="22"/>
        </w:rPr>
        <w:t xml:space="preserve">All sources verified and cross-referenced as of April 2026.</w:t>
      </w:r>
    </w:p>
    <w:p>
      <w:pPr>
        <w:pStyle w:val="ListParagraph"/>
        <w:numPr>
          <w:ilvl w:val="0"/>
          <w:numId w:val="1"/>
        </w:numPr>
        <w:spacing w:after="60" w:before="40"/>
      </w:pPr>
      <w:r>
        <w:rPr>
          <w:color w:val="1C1C1C"/>
          <w:sz w:val="22"/>
          <w:szCs w:val="22"/>
        </w:rPr>
        <w:t xml:space="preserve">Taiwan Ministry of Environment (MoEnv) — 2024 Waste Management Annual Statistics. moenv.gov.tw</w:t>
      </w:r>
    </w:p>
    <w:p>
      <w:pPr>
        <w:pStyle w:val="ListParagraph"/>
        <w:numPr>
          <w:ilvl w:val="0"/>
          <w:numId w:val="1"/>
        </w:numPr>
        <w:spacing w:after="60" w:before="40"/>
      </w:pPr>
      <w:r>
        <w:rPr>
          <w:color w:val="1C1C1C"/>
          <w:sz w:val="22"/>
          <w:szCs w:val="22"/>
        </w:rPr>
        <w:t xml:space="preserve">Holland Circular Hotspot — Taiwan Circular Economy Report, 2024. hollandcircularhotspot.nl</w:t>
      </w:r>
    </w:p>
    <w:p>
      <w:pPr>
        <w:pStyle w:val="ListParagraph"/>
        <w:numPr>
          <w:ilvl w:val="0"/>
          <w:numId w:val="1"/>
        </w:numPr>
        <w:spacing w:after="60" w:before="40"/>
      </w:pPr>
      <w:r>
        <w:rPr>
          <w:color w:val="1C1C1C"/>
          <w:sz w:val="22"/>
          <w:szCs w:val="22"/>
        </w:rPr>
        <w:t xml:space="preserve">Environmental Management Administration Taiwan (EMA) — Incineration Plant Status 2024. ema.gov.tw</w:t>
      </w:r>
    </w:p>
    <w:p>
      <w:pPr>
        <w:pStyle w:val="ListParagraph"/>
        <w:numPr>
          <w:ilvl w:val="0"/>
          <w:numId w:val="1"/>
        </w:numPr>
        <w:spacing w:after="60" w:before="40"/>
      </w:pPr>
      <w:r>
        <w:rPr>
          <w:color w:val="1C1C1C"/>
          <w:sz w:val="22"/>
          <w:szCs w:val="22"/>
        </w:rPr>
        <w:t xml:space="preserve">IRO Journals — 'AI-Powered Waste Sorting in Taiwan MRFs: YOLOv8 Implementation Study,' 2024.</w:t>
      </w:r>
    </w:p>
    <w:p>
      <w:pPr>
        <w:pStyle w:val="ListParagraph"/>
        <w:numPr>
          <w:ilvl w:val="0"/>
          <w:numId w:val="1"/>
        </w:numPr>
        <w:spacing w:after="60" w:before="40"/>
      </w:pPr>
      <w:r>
        <w:rPr>
          <w:color w:val="1C1C1C"/>
          <w:sz w:val="22"/>
          <w:szCs w:val="22"/>
        </w:rPr>
        <w:t xml:space="preserve">Island Scholar — 'NIR Spectroscopy for Plastic Sorting: Limitations and ML Advances,' 2024.</w:t>
      </w:r>
    </w:p>
    <w:p>
      <w:pPr>
        <w:pStyle w:val="ListParagraph"/>
        <w:numPr>
          <w:ilvl w:val="0"/>
          <w:numId w:val="1"/>
        </w:numPr>
        <w:spacing w:after="60" w:before="40"/>
      </w:pPr>
      <w:r>
        <w:rPr>
          <w:color w:val="1C1C1C"/>
          <w:sz w:val="22"/>
          <w:szCs w:val="22"/>
        </w:rPr>
        <w:t xml:space="preserve">MDPI Sustainability — 'Life Cycle Assessment of Black Soldier Fly Bioconversion Systems,' 2025.</w:t>
      </w:r>
    </w:p>
    <w:p>
      <w:pPr>
        <w:pStyle w:val="ListParagraph"/>
        <w:numPr>
          <w:ilvl w:val="0"/>
          <w:numId w:val="1"/>
        </w:numPr>
        <w:spacing w:after="60" w:before="40"/>
      </w:pPr>
      <w:r>
        <w:rPr>
          <w:color w:val="1C1C1C"/>
          <w:sz w:val="22"/>
          <w:szCs w:val="22"/>
        </w:rPr>
        <w:t xml:space="preserve">Texas A&amp;M University — BSF Larvae Nutritional Composition Database, 2024.</w:t>
      </w:r>
    </w:p>
    <w:p>
      <w:pPr>
        <w:pStyle w:val="ListParagraph"/>
        <w:numPr>
          <w:ilvl w:val="0"/>
          <w:numId w:val="1"/>
        </w:numPr>
        <w:spacing w:after="60" w:before="40"/>
      </w:pPr>
      <w:r>
        <w:rPr>
          <w:color w:val="1C1C1C"/>
          <w:sz w:val="22"/>
          <w:szCs w:val="22"/>
        </w:rPr>
        <w:t xml:space="preserve">PeerJ Journals — 'Advanced Waste Bioconversion Using Hermetia illucens,' 2024.</w:t>
      </w:r>
    </w:p>
    <w:p>
      <w:pPr>
        <w:pStyle w:val="ListParagraph"/>
        <w:numPr>
          <w:ilvl w:val="0"/>
          <w:numId w:val="1"/>
        </w:numPr>
        <w:spacing w:after="60" w:before="40"/>
      </w:pPr>
      <w:r>
        <w:rPr>
          <w:color w:val="1C1C1C"/>
          <w:sz w:val="22"/>
          <w:szCs w:val="22"/>
        </w:rPr>
        <w:t xml:space="preserve">ACS Publications — 'Pathogen Reduction by BSF Larvae in Organic Waste,' 2026.</w:t>
      </w:r>
    </w:p>
    <w:p>
      <w:pPr>
        <w:pStyle w:val="ListParagraph"/>
        <w:numPr>
          <w:ilvl w:val="0"/>
          <w:numId w:val="1"/>
        </w:numPr>
        <w:spacing w:after="60" w:before="40"/>
      </w:pPr>
      <w:r>
        <w:rPr>
          <w:color w:val="1C1C1C"/>
          <w:sz w:val="22"/>
          <w:szCs w:val="22"/>
        </w:rPr>
        <w:t xml:space="preserve">OCAC Gov.tw (Taiwan Overseas Affairs) — 'BSF as Fishmeal Alternative in Aquaculture,' 2024.</w:t>
      </w:r>
    </w:p>
    <w:p>
      <w:pPr>
        <w:pStyle w:val="ListParagraph"/>
        <w:numPr>
          <w:ilvl w:val="0"/>
          <w:numId w:val="1"/>
        </w:numPr>
        <w:spacing w:after="60" w:before="40"/>
      </w:pPr>
      <w:r>
        <w:rPr>
          <w:color w:val="1C1C1C"/>
          <w:sz w:val="22"/>
          <w:szCs w:val="22"/>
        </w:rPr>
        <w:t xml:space="preserve">Circular Taiwan Foundation — Monster Biotechnology Case Study. circular-taiwan.org</w:t>
      </w:r>
    </w:p>
    <w:p>
      <w:pPr>
        <w:pStyle w:val="ListParagraph"/>
        <w:numPr>
          <w:ilvl w:val="0"/>
          <w:numId w:val="1"/>
        </w:numPr>
        <w:spacing w:after="60" w:before="40"/>
      </w:pPr>
      <w:r>
        <w:rPr>
          <w:color w:val="1C1C1C"/>
          <w:sz w:val="22"/>
          <w:szCs w:val="22"/>
        </w:rPr>
        <w:t xml:space="preserve">Circle Economy — Stonbo Creative Case Study, 2024. circle-economy.com</w:t>
      </w:r>
    </w:p>
    <w:p>
      <w:pPr>
        <w:pStyle w:val="ListParagraph"/>
        <w:numPr>
          <w:ilvl w:val="0"/>
          <w:numId w:val="1"/>
        </w:numPr>
        <w:spacing w:after="60" w:before="40"/>
      </w:pPr>
      <w:r>
        <w:rPr>
          <w:color w:val="1C1C1C"/>
          <w:sz w:val="22"/>
          <w:szCs w:val="22"/>
        </w:rPr>
        <w:t xml:space="preserve">The Business Research Company — BSF Market Forecast 2025–2030.</w:t>
      </w:r>
    </w:p>
    <w:p>
      <w:pPr>
        <w:pStyle w:val="ListParagraph"/>
        <w:numPr>
          <w:ilvl w:val="0"/>
          <w:numId w:val="1"/>
        </w:numPr>
        <w:spacing w:after="60" w:before="40"/>
      </w:pPr>
      <w:r>
        <w:rPr>
          <w:color w:val="1C1C1C"/>
          <w:sz w:val="22"/>
          <w:szCs w:val="22"/>
        </w:rPr>
        <w:t xml:space="preserve">Mordor Intelligence — Insect Protein Market Report: Asia-Pacific Focus, 2025.</w:t>
      </w:r>
    </w:p>
    <w:p>
      <w:pPr>
        <w:pStyle w:val="ListParagraph"/>
        <w:numPr>
          <w:ilvl w:val="0"/>
          <w:numId w:val="1"/>
        </w:numPr>
        <w:spacing w:after="60" w:before="40"/>
      </w:pPr>
      <w:r>
        <w:rPr>
          <w:color w:val="1C1C1C"/>
          <w:sz w:val="22"/>
          <w:szCs w:val="22"/>
        </w:rPr>
        <w:t xml:space="preserve">Market.us — Black Soldier Fly Larvae Market: Global Analysis 2025–2034.</w:t>
      </w:r>
    </w:p>
    <w:p>
      <w:pPr>
        <w:pStyle w:val="ListParagraph"/>
        <w:numPr>
          <w:ilvl w:val="0"/>
          <w:numId w:val="1"/>
        </w:numPr>
        <w:spacing w:after="60" w:before="40"/>
      </w:pPr>
      <w:r>
        <w:rPr>
          <w:color w:val="1C1C1C"/>
          <w:sz w:val="22"/>
          <w:szCs w:val="22"/>
        </w:rPr>
        <w:t xml:space="preserve">Technavio — Insect Protein Market CAGR Analysis 2025–2030.</w:t>
      </w:r>
    </w:p>
    <w:p>
      <w:pPr>
        <w:pStyle w:val="ListParagraph"/>
        <w:numPr>
          <w:ilvl w:val="0"/>
          <w:numId w:val="1"/>
        </w:numPr>
        <w:spacing w:after="60" w:before="40"/>
      </w:pPr>
      <w:r>
        <w:rPr>
          <w:color w:val="1C1C1C"/>
          <w:sz w:val="22"/>
          <w:szCs w:val="22"/>
        </w:rPr>
        <w:t xml:space="preserve">Eco-Business.com — Taiwan EPR and Circular Economy Policy Shifts, 2024.</w:t>
      </w:r>
    </w:p>
    <w:p>
      <w:pPr>
        <w:pStyle w:val="ListParagraph"/>
        <w:numPr>
          <w:ilvl w:val="0"/>
          <w:numId w:val="1"/>
        </w:numPr>
        <w:spacing w:after="60" w:before="40"/>
      </w:pPr>
      <w:r>
        <w:rPr>
          <w:color w:val="1C1C1C"/>
          <w:sz w:val="22"/>
          <w:szCs w:val="22"/>
        </w:rPr>
        <w:t xml:space="preserve">Foundation for Yunus Social Business Taiwan (yunustw.org) — Competition Guidelines, 2026.</w:t>
      </w:r>
    </w:p>
    <w:p>
      <w:pPr>
        <w:pStyle w:val="ListParagraph"/>
        <w:numPr>
          <w:ilvl w:val="0"/>
          <w:numId w:val="1"/>
        </w:numPr>
        <w:spacing w:after="60" w:before="40"/>
      </w:pPr>
      <w:r>
        <w:rPr>
          <w:color w:val="1C1C1C"/>
          <w:sz w:val="22"/>
          <w:szCs w:val="22"/>
        </w:rPr>
        <w:t xml:space="preserve">innors-tw.com — BSF Regulatory Landscape in Taiwan, 2024.</w:t>
      </w:r>
    </w:p>
    <w:p>
      <w:pPr>
        <w:pStyle w:val="ListParagraph"/>
        <w:numPr>
          <w:ilvl w:val="0"/>
          <w:numId w:val="1"/>
        </w:numPr>
        <w:spacing w:after="60" w:before="40"/>
      </w:pPr>
      <w:r>
        <w:rPr>
          <w:color w:val="1C1C1C"/>
          <w:sz w:val="22"/>
          <w:szCs w:val="22"/>
        </w:rPr>
        <w:t xml:space="preserve">BetaBugs.uk — BSFL Nutritional Data and Circular Economy Applications, 2024.</w:t>
      </w:r>
    </w:p>
    <w:p>
      <w:pPr>
        <w:pStyle w:val="ListParagraph"/>
        <w:numPr>
          <w:ilvl w:val="0"/>
          <w:numId w:val="1"/>
        </w:numPr>
        <w:spacing w:after="60" w:before="40"/>
      </w:pPr>
      <w:r>
        <w:rPr>
          <w:color w:val="1C1C1C"/>
          <w:sz w:val="22"/>
          <w:szCs w:val="22"/>
        </w:rPr>
        <w:t xml:space="preserve">FreezeM.com — BSF Production Innovation and Billet Storage Technology, 2024.</w:t>
      </w:r>
    </w:p>
    <w:p>
      <w:pPr>
        <w:pStyle w:val="ListParagraph"/>
        <w:numPr>
          <w:ilvl w:val="0"/>
          <w:numId w:val="1"/>
        </w:numPr>
        <w:spacing w:after="60" w:before="40"/>
      </w:pPr>
      <w:r>
        <w:rPr>
          <w:color w:val="1C1C1C"/>
          <w:sz w:val="22"/>
          <w:szCs w:val="22"/>
        </w:rPr>
        <w:t xml:space="preserve">Taipei Times — Taiwan Waste and Recycling Industry Articles (multiple), 2024.</w:t>
      </w:r>
    </w:p>
    <w:p>
      <w:pPr>
        <w:spacing w:before="200"/>
      </w:pPr>
    </w:p>
    <w:p>
      <w:pPr>
        <w:pBdr>
          <w:bottom w:val="single" w:color="00A86B" w:sz="4"/>
        </w:pBdr>
        <w:spacing w:after="200" w:before="200"/>
      </w:pPr>
    </w:p>
    <w:p>
      <w:pPr>
        <w:spacing w:before="200"/>
        <w:jc w:val="center"/>
      </w:pPr>
      <w:r>
        <w:rPr>
          <w:i/>
          <w:iCs/>
          <w:color w:val="6B7280"/>
          <w:sz w:val="18"/>
          <w:szCs w:val="18"/>
        </w:rPr>
        <w:t xml:space="preserve">© 2026 Steven Tanardi — Yunus Vision Team. All Rights Reserved.</w:t>
      </w:r>
    </w:p>
    <w:p>
      <w:pPr>
        <w:jc w:val="center"/>
      </w:pPr>
      <w:r>
        <w:rPr>
          <w:i/>
          <w:iCs/>
          <w:color w:val="6B7280"/>
          <w:sz w:val="18"/>
          <w:szCs w:val="18"/>
        </w:rPr>
        <w:t xml:space="preserve">This document is prepared solely for submission to the 6th Taiwan Yunus Social Business Innovation Award.</w:t>
      </w:r>
    </w:p>
    <w:sectPr>
      <w:headerReference w:type="default" r:id="rId7"/>
      <w:footerReference w:type="default" r:id="rId8"/>
      <w:pgSz w:w="11906" w:h="16838" w:orient="portrait"/>
      <w:pgMar w:top="1727"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6B" w:sz="4"/>
      </w:pBdr>
      <w:jc w:val="center"/>
    </w:pPr>
    <w:r>
      <w:rPr>
        <w:color w:val="6B7280"/>
        <w:sz w:val="18"/>
        <w:szCs w:val="18"/>
      </w:rPr>
      <w:t xml:space="preserve">© 2026 Steven Tanardi — Yunus Vision Team | Confidential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6B" w:sz="4"/>
      </w:pBdr>
    </w:pPr>
    <w:r>
      <w:rPr>
        <w:i/>
        <w:iCs/>
        <w:color w:val="6B7280"/>
        <w:sz w:val="18"/>
        <w:szCs w:val="18"/>
      </w:rPr>
      <w:t xml:space="preserve">6th Taiwan Yunus Social Business Innovation Award — Deep Research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A3C5E"/>
      <w:sz w:val="36"/>
      <w:szCs w:val="36"/>
    </w:rPr>
  </w:style>
  <w:style w:type="paragraph" w:styleId="Heading2">
    <w:name w:val="Heading 2"/>
    <w:basedOn w:val="Normal"/>
    <w:next w:val="Normal"/>
    <w:qFormat/>
    <w:pPr>
      <w:spacing w:after="160" w:before="300"/>
    </w:pPr>
    <w:rPr>
      <w:rFonts w:ascii="Calibri" w:cs="Calibri" w:eastAsia="Calibri" w:hAnsi="Calibri"/>
      <w:b/>
      <w:bCs/>
      <w:color w:val="1A3C5E"/>
      <w:sz w:val="28"/>
      <w:szCs w:val="28"/>
    </w:rPr>
  </w:style>
  <w:style w:type="paragraph" w:styleId="Heading3">
    <w:name w:val="Heading 3"/>
    <w:basedOn w:val="Normal"/>
    <w:next w:val="Normal"/>
    <w:qFormat/>
    <w:pPr>
      <w:spacing w:after="120" w:before="240"/>
    </w:pPr>
    <w:rPr>
      <w:rFonts w:ascii="Calibri" w:cs="Calibri" w:eastAsia="Calibri" w:hAnsi="Calibri"/>
      <w:b/>
      <w:bCs/>
      <w:color w:val="00A86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Research Summary - Yunus Social Business Innovation Award</dc:title>
  <dc:creator>Steven Tanardi</dc:creator>
  <dc:description>Comprehensive research on AI Trash Scanner and BSF Composting — Updated with ASF Pig-Feed Ban 2027</dc:description>
  <cp:lastModifiedBy>Un-named</cp:lastModifiedBy>
  <cp:revision>1</cp:revision>
  <dcterms:created xsi:type="dcterms:W3CDTF">2026-04-08T05:01:14.557Z</dcterms:created>
  <dcterms:modified xsi:type="dcterms:W3CDTF">2026-04-08T05:01:14.558Z</dcterms:modified>
</cp:coreProperties>
</file>

<file path=docProps/custom.xml><?xml version="1.0" encoding="utf-8"?>
<Properties xmlns="http://schemas.openxmlformats.org/officeDocument/2006/custom-properties" xmlns:vt="http://schemas.openxmlformats.org/officeDocument/2006/docPropsVTypes"/>
</file>