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3C5E"/>
          <w:sz w:val="56"/>
          <w:szCs w:val="56"/>
        </w:rPr>
        <w:t xml:space="preserve">深度研究摘要</w:t>
      </w:r>
    </w:p>
    <w:p>
      <w:pPr>
        <w:spacing w:after="80"/>
        <w:jc w:val="center"/>
      </w:pPr>
      <w:r>
        <w:rPr>
          <w:color w:val="00A86B"/>
          <w:sz w:val="32"/>
          <w:szCs w:val="32"/>
        </w:rPr>
        <w:t xml:space="preserve">第六屆台灣尤努斯社會商業創新獎</w:t>
      </w:r>
    </w:p>
    <w:p>
      <w:pPr>
        <w:spacing w:after="60"/>
        <w:jc w:val="center"/>
      </w:pPr>
      <w:r>
        <w:rPr>
          <w:i/>
          <w:iCs/>
          <w:color w:val="0D2B45"/>
          <w:sz w:val="26"/>
          <w:szCs w:val="26"/>
        </w:rPr>
        <w:t xml:space="preserve">計畫 03 &amp; 04 — 繁體中文版</w:t>
      </w:r>
    </w:p>
    <w:p>
      <w:pPr>
        <w:pBdr>
          <w:bottom w:val="single" w:color="00A86B" w:sz="4"/>
        </w:pBdr>
        <w:spacing w:after="200" w:before="200"/>
      </w:pP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撰寫者：</w:t>
      </w:r>
      <w:r>
        <w:rPr>
          <w:color w:val="1A3C5E"/>
          <w:sz w:val="22"/>
          <w:szCs w:val="22"/>
        </w:rPr>
        <w:t xml:space="preserve">Steven Tanardi</w:t>
      </w:r>
      <w:r>
        <w:rPr>
          <w:color w:val="6B7280"/>
          <w:sz w:val="22"/>
          <w:szCs w:val="22"/>
        </w:rPr>
        <w:t xml:space="preserve">  ｜  2026 年 4 月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3C5E"/>
        </w:rPr>
      </w:pPr>
      <w:r>
        <w:t xml:space="preserve">關鍵政策催化劑：台灣 2027 年廚餘養豬禁令（非洲豬瘟）</w:t>
      </w:r>
    </w:p>
    <w:p>
      <w:pPr>
        <w:pBdr>
          <w:left w:val="thick" w:color="00A86B" w:sz="12"/>
        </w:pBdr>
        <w:shd w:color="F0F7F4" w:val="solid"/>
        <w:spacing w:after="120" w:before="120"/>
        <w:ind w:left="576"/>
      </w:pPr>
      <w:r>
        <w:rPr>
          <w:i/>
          <w:iCs/>
          <w:color w:val="1A3C5E"/>
          <w:sz w:val="22"/>
          <w:szCs w:val="22"/>
        </w:rPr>
        <w:t xml:space="preserve">本節記錄直接創造 BSF Bio-Loop 市場機會的最重要監管進展，已由台灣多個官方政府來源於 2025-2026 年確認。</w:t>
      </w:r>
    </w:p>
    <w:p>
      <w:pPr>
        <w:pBdr>
          <w:bottom w:val="single" w:color="00A86B" w:sz="6"/>
        </w:pBdr>
        <w:spacing w:after="160" w:before="320"/>
      </w:pPr>
      <w:r>
        <w:rPr>
          <w:b/>
          <w:bCs/>
          <w:color w:val="1A3C5E"/>
          <w:sz w:val="28"/>
          <w:szCs w:val="28"/>
        </w:rPr>
        <w:t xml:space="preserve">導火線：2025 年 10 月非洲豬瘟疫情</w:t>
      </w:r>
    </w:p>
    <w:p>
      <w:pPr>
        <w:spacing w:after="100" w:before="80"/>
      </w:pPr>
      <w:r>
        <w:rPr>
          <w:color w:val="1C1C1C"/>
          <w:sz w:val="22"/>
          <w:szCs w:val="22"/>
        </w:rPr>
        <w:t xml:space="preserve">2025 年 10 月，台灣爆發非洲豬瘟（ASF）疫情。政府調查將病源直接追溯至商業農場使用未經高溫滅菌的廚餘（廚餘）餵豬。ASF 是高度傳染性病毒性疾病，無解藥，豬隻死亡率近 100%，對台灣豬肉產業構成災難性威脅。</w:t>
      </w:r>
    </w:p>
    <w:p>
      <w:pPr>
        <w:spacing w:after="120" w:before="240"/>
      </w:pPr>
      <w:r>
        <w:rPr>
          <w:b/>
          <w:bCs/>
          <w:color w:val="00A86B"/>
          <w:sz w:val="24"/>
          <w:szCs w:val="24"/>
        </w:rPr>
        <w:t xml:space="preserve">分階段全國禁令時間表</w:t>
      </w:r>
    </w:p>
    <w:tbl>
      <w:tblPr>
        <w:tblW w:type="pct" w:w="100%"/>
        <w:tblBorders>
          <w:top w:val="single" w:color="00A86B" w:sz="4"/>
          <w:left w:val="single" w:color="00A86B" w:sz="4"/>
          <w:bottom w:val="single" w:color="00A86B" w:sz="4"/>
          <w:right w:val="single" w:color="00A86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C0392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shd w:color="C0392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shd w:color="C0392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規定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第一階段 — 立即實施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2026 年 1 月 1 日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家戶廚餘立即禁止作為豬飼料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第二階段 — 有條件開放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2026 年全年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事業廚餘須符合：高溫處理 + 即時CCTV + GPS追蹤 + 地方政府同意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第三階段 — 全面禁止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2027 年 1 月 1 日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所有廚餘作為豬飼料全面禁止，不得例外</w:t>
            </w:r>
          </w:p>
        </w:tc>
      </w:tr>
    </w:tbl>
    <w:p>
      <w:pPr>
        <w:spacing w:before="100"/>
      </w:pPr>
    </w:p>
    <w:p>
      <w:pPr>
        <w:pBdr>
          <w:bottom w:val="single" w:color="00A86B" w:sz="6"/>
        </w:pBdr>
        <w:spacing w:after="160" w:before="320"/>
      </w:pPr>
      <w:r>
        <w:rPr>
          <w:b/>
          <w:bCs/>
          <w:color w:val="1A3C5E"/>
          <w:sz w:val="28"/>
          <w:szCs w:val="28"/>
        </w:rPr>
        <w:t xml:space="preserve">市場真空：每日 731 公噸的孤兒廚餘</w:t>
      </w:r>
    </w:p>
    <w:tbl>
      <w:tblPr>
        <w:tblW w:type="pct" w:w="100%"/>
        <w:tblBorders>
          <w:top w:val="single" w:color="00A86B" w:sz="4"/>
          <w:left w:val="single" w:color="00A86B" w:sz="4"/>
          <w:bottom w:val="single" w:color="00A86B" w:sz="4"/>
          <w:right w:val="single" w:color="00A86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C5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廚餘流向</w:t>
            </w:r>
          </w:p>
        </w:tc>
        <w:tc>
          <w:tcPr>
            <w:shd w:color="1A3C5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每日量</w:t>
            </w:r>
          </w:p>
        </w:tc>
        <w:tc>
          <w:tcPr>
            <w:shd w:color="1A3C5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 年後去向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台灣每日廚餘總產生量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2,115 公噸/日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需要處理途徑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過往由養豬場吸收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約 731 公噸/日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禁止 — 急需新方案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目前由回收設施處理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約 1,100 公噸/日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堆肥/沼氣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目前流向焚化/掩埋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約 284 公噸/日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2028 年前目標消除</w:t>
            </w:r>
          </w:p>
        </w:tc>
      </w:tr>
    </w:tbl>
    <w:p>
      <w:pPr>
        <w:spacing w:before="80"/>
      </w:pPr>
    </w:p>
    <w:p>
      <w:pPr>
        <w:pBdr>
          <w:left w:val="thick" w:color="00A86B" w:sz="12"/>
        </w:pBdr>
        <w:shd w:color="F0F7F4" w:val="solid"/>
        <w:spacing w:after="120" w:before="120"/>
        <w:ind w:left="576"/>
      </w:pPr>
      <w:r>
        <w:rPr>
          <w:i/>
          <w:iCs/>
          <w:color w:val="1A3C5E"/>
          <w:sz w:val="22"/>
          <w:szCs w:val="22"/>
        </w:rPr>
        <w:t xml:space="preserve">這 731 公噸/日就是市場缺口。這些廚餘過去有人要、有利可圖，現在卻突然無處可去。我們的 BSF 生物樞紐正是這個問題的解答。</w:t>
      </w:r>
    </w:p>
    <w:p>
      <w:pPr>
        <w:pBdr>
          <w:bottom w:val="single" w:color="00A86B" w:sz="6"/>
        </w:pBdr>
        <w:spacing w:after="160" w:before="320"/>
      </w:pPr>
      <w:r>
        <w:rPr>
          <w:b/>
          <w:bCs/>
          <w:color w:val="1A3C5E"/>
          <w:sz w:val="28"/>
          <w:szCs w:val="28"/>
        </w:rPr>
        <w:t xml:space="preserve">台灣政府四大官方替代方案</w:t>
      </w:r>
    </w:p>
    <w:tbl>
      <w:tblPr>
        <w:tblW w:type="pct" w:w="100%"/>
        <w:tblBorders>
          <w:top w:val="single" w:color="00A86B" w:sz="4"/>
          <w:left w:val="single" w:color="00A86B" w:sz="4"/>
          <w:bottom w:val="single" w:color="00A86B" w:sz="4"/>
          <w:right w:val="single" w:color="00A86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A8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A8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官方途徑</w:t>
            </w:r>
          </w:p>
        </w:tc>
        <w:tc>
          <w:tcPr>
            <w:shd w:color="00A8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規模</w:t>
            </w:r>
          </w:p>
        </w:tc>
        <w:tc>
          <w:tcPr>
            <w:shd w:color="00A8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產值輸出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堆肥（堆肥）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大規模、農村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有機肥料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生質能源/厭氧消化（能源化/沼氣）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廠房規模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沼氣 + 電力</w:t>
            </w:r>
          </w:p>
        </w:tc>
      </w:tr>
      <w:tr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3 ★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黑水虻養殖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去中心化、都市型</w:t>
            </w:r>
          </w:p>
        </w:tc>
        <w:tc>
          <w:tcPr>
            <w:shd w:color="F7FBF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蛋白質 + 有機肥 — 最高價值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焚化（焚化）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最後手段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C1C"/>
                <w:sz w:val="20"/>
                <w:szCs w:val="20"/>
              </w:rPr>
              <w:t xml:space="preserve">僅有能源</w:t>
            </w:r>
          </w:p>
        </w:tc>
      </w:tr>
    </w:tbl>
    <w:p>
      <w:pPr>
        <w:pBdr>
          <w:left w:val="thick" w:color="00A86B" w:sz="12"/>
        </w:pBdr>
        <w:shd w:color="F0F7F4" w:val="solid"/>
        <w:spacing w:after="120" w:before="120"/>
        <w:ind w:left="576"/>
      </w:pPr>
      <w:r>
        <w:rPr>
          <w:i/>
          <w:iCs/>
          <w:color w:val="1A3C5E"/>
          <w:sz w:val="22"/>
          <w:szCs w:val="22"/>
        </w:rPr>
        <w:t xml:space="preserve">黑水虻已被台灣環境部正式列名為廚餘替代處理方案。這不是新創公司的假設——這是政府已驗證、積極支持的技術。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3C5E"/>
        </w:rPr>
      </w:pPr>
      <w:r>
        <w:t xml:space="preserve">如需完整繁體中文版報告，請參閱：Deep_Research_Summary_CH.md</w:t>
      </w:r>
    </w:p>
    <w:p>
      <w:pPr>
        <w:spacing w:after="100" w:before="80"/>
      </w:pPr>
      <w:r>
        <w:rPr>
          <w:color w:val="1C1C1C"/>
          <w:sz w:val="22"/>
          <w:szCs w:val="22"/>
        </w:rPr>
        <w:t xml:space="preserve">本 DOCX 文件為深度研究摘要之繁體中文版概要。</w:t>
      </w:r>
    </w:p>
    <w:p>
      <w:pPr>
        <w:spacing w:after="100" w:before="80"/>
      </w:pPr>
      <w:r>
        <w:rPr>
          <w:color w:val="1C1C1C"/>
          <w:sz w:val="22"/>
          <w:szCs w:val="22"/>
        </w:rPr>
        <w:t xml:space="preserve">完整參考文件：Deep_Research_Summary_CH.md</w:t>
      </w:r>
    </w:p>
    <w:sectPr>
      <w:headerReference w:type="default" r:id="rId7"/>
      <w:footerReference w:type="default" r:id="rId8"/>
      <w:pgSz w:w="11906" w:h="16838" w:orient="portrait"/>
      <w:pgMar w:top="1727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6B" w:sz="4"/>
      </w:pBdr>
      <w:jc w:val="center"/>
    </w:pPr>
    <w:r>
      <w:rPr>
        <w:color w:val="6B7280"/>
        <w:sz w:val="18"/>
        <w:szCs w:val="18"/>
      </w:rPr>
      <w:t xml:space="preserve">© 2026 Steven Tanardi — 尤努斯願景團隊 | 機密提交文件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6B" w:sz="4"/>
      </w:pBdr>
    </w:pPr>
    <w:r>
      <w:rPr>
        <w:i/>
        <w:iCs/>
        <w:color w:val="6B7280"/>
        <w:sz w:val="18"/>
        <w:szCs w:val="18"/>
      </w:rPr>
      <w:t xml:space="preserve">第六屆台灣尤努斯創新獎 — 深度研究摘要（繁中）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深度研究摘要 - 第六屆台灣尤努斯社會商業創新獎</dc:title>
  <dc:creator>Steven Tanardi</dc:creator>
  <dc:description>深度研究報告 — 繁體中文版 — AI 垃圾掃描器 &amp; 黑水虻生物循環</dc:description>
  <cp:lastModifiedBy>Un-named</cp:lastModifiedBy>
  <cp:revision>1</cp:revision>
  <dcterms:created xsi:type="dcterms:W3CDTF">2026-04-08T05:01:14.565Z</dcterms:created>
  <dcterms:modified xsi:type="dcterms:W3CDTF">2026-04-08T05:01:14.565Z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