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100"/>
        <w:jc w:val="center"/>
      </w:pPr>
      <w:r>
        <w:rPr>
          <w:rFonts w:ascii="Calibri" w:cs="Calibri" w:eastAsia="Calibri" w:hAnsi="Calibri"/>
          <w:b/>
          <w:bCs/>
          <w:color w:val="1A3C5E"/>
          <w:sz w:val="56"/>
          <w:szCs w:val="56"/>
        </w:rPr>
        <w:t xml:space="preserve">Ringkasan Riset Mendalam</w:t>
      </w:r>
    </w:p>
    <w:p>
      <w:pPr>
        <w:spacing w:after="80"/>
        <w:jc w:val="center"/>
      </w:pPr>
      <w:r>
        <w:rPr>
          <w:color w:val="00A86B"/>
          <w:sz w:val="32"/>
          <w:szCs w:val="32"/>
        </w:rPr>
        <w:t xml:space="preserve">Penghargaan Inovasi Sosial Bisnis Yunus Taiwan ke-6</w:t>
      </w:r>
    </w:p>
    <w:p>
      <w:pPr>
        <w:spacing w:after="60"/>
        <w:jc w:val="center"/>
      </w:pPr>
      <w:r>
        <w:rPr>
          <w:i/>
          <w:iCs/>
          <w:color w:val="0D2B45"/>
          <w:sz w:val="26"/>
          <w:szCs w:val="26"/>
        </w:rPr>
        <w:t xml:space="preserve">Proyek 03 &amp; 04 — Bahasa Indonesia</w:t>
      </w:r>
    </w:p>
    <w:p>
      <w:pPr>
        <w:pBdr>
          <w:bottom w:val="single" w:color="00A86B" w:sz="4"/>
        </w:pBdr>
        <w:spacing w:after="200" w:before="200"/>
      </w:pPr>
    </w:p>
    <w:p>
      <w:pPr>
        <w:spacing w:after="200"/>
        <w:jc w:val="center"/>
      </w:pPr>
      <w:r>
        <w:rPr>
          <w:b/>
          <w:bCs/>
          <w:sz w:val="22"/>
          <w:szCs w:val="22"/>
        </w:rPr>
        <w:t xml:space="preserve">Disusun oleh: </w:t>
      </w:r>
      <w:r>
        <w:rPr>
          <w:color w:val="1A3C5E"/>
          <w:sz w:val="22"/>
          <w:szCs w:val="22"/>
        </w:rPr>
        <w:t xml:space="preserve">Steven Tanardi</w:t>
      </w:r>
      <w:r>
        <w:rPr>
          <w:color w:val="6B7280"/>
          <w:sz w:val="22"/>
          <w:szCs w:val="22"/>
        </w:rPr>
        <w:t xml:space="preserve">  |  April 2026</w:t>
      </w:r>
    </w:p>
    <w:p>
      <w:r>
        <w:br w:type="page"/>
      </w:r>
    </w:p>
    <w:p>
      <w:pPr>
        <w:pStyle w:val="Heading1"/>
        <w:spacing w:after="200" w:before="400"/>
        <w:rPr>
          <w:b/>
          <w:bCs/>
          <w:color w:val="1A3C5E"/>
        </w:rPr>
      </w:pPr>
      <w:r>
        <w:t xml:space="preserve">KATALIS KEBIJAKAN KRITIS: Larangan Pakan Babi 2027 (Demam Babi Afrika)</w:t>
      </w:r>
    </w:p>
    <w:p>
      <w:pPr>
        <w:pBdr>
          <w:left w:val="thick" w:color="00A86B" w:sz="12"/>
        </w:pBdr>
        <w:shd w:color="F0F7F4" w:val="solid"/>
        <w:spacing w:after="120" w:before="120"/>
        <w:ind w:left="576"/>
      </w:pPr>
      <w:r>
        <w:rPr>
          <w:i/>
          <w:iCs/>
          <w:color w:val="1A3C5E"/>
          <w:sz w:val="22"/>
          <w:szCs w:val="22"/>
        </w:rPr>
        <w:t xml:space="preserve">Bagian ini mendokumentasikan perkembangan regulasi terpenting yang secara langsung menciptakan peluang pasar untuk Bio-Loop BSF.</w:t>
      </w:r>
    </w:p>
    <w:p>
      <w:pPr>
        <w:pBdr>
          <w:bottom w:val="single" w:color="00A86B" w:sz="6"/>
        </w:pBdr>
        <w:spacing w:after="160" w:before="320"/>
      </w:pPr>
      <w:r>
        <w:rPr>
          <w:b/>
          <w:bCs/>
          <w:color w:val="1A3C5E"/>
          <w:sz w:val="28"/>
          <w:szCs w:val="28"/>
        </w:rPr>
        <w:t xml:space="preserve">Pemicu: Wabah Demam Babi Afrika Oktober 2025</w:t>
      </w:r>
    </w:p>
    <w:p>
      <w:pPr>
        <w:spacing w:after="100" w:before="80"/>
      </w:pPr>
      <w:r>
        <w:rPr>
          <w:color w:val="1C1C1C"/>
          <w:sz w:val="22"/>
          <w:szCs w:val="22"/>
        </w:rPr>
        <w:t xml:space="preserve">Pada Oktober 2025, Taiwan mengalami wabah Demam Babi Afrika (ASF). Investigasi pemerintah menelusuri sumber langsung ke limbah dapur yang tidak disterilkan (廚餘) yang diberikan ke babi di peternakan komersial. ASF adalah penyakit virus yang sangat menular tanpa obat dan tingkat kematian mendekati 100% pada babi.</w:t>
      </w:r>
    </w:p>
    <w:p>
      <w:pPr>
        <w:spacing w:after="120" w:before="240"/>
      </w:pPr>
      <w:r>
        <w:rPr>
          <w:b/>
          <w:bCs/>
          <w:color w:val="00A86B"/>
          <w:sz w:val="24"/>
          <w:szCs w:val="24"/>
        </w:rPr>
        <w:t xml:space="preserve">Jadwal Larangan Nasional Bertahap</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C0392B" w:val="solid"/>
            <w:tcMar>
              <w:top w:type="dxa" w:w="80"/>
              <w:left w:type="dxa" w:w="100"/>
              <w:bottom w:type="dxa" w:w="80"/>
              <w:right w:type="dxa" w:w="100"/>
            </w:tcMar>
          </w:tcPr>
          <w:p>
            <w:pPr>
              <w:jc w:val="center"/>
            </w:pPr>
            <w:r>
              <w:rPr>
                <w:b/>
                <w:bCs/>
                <w:color w:val="FFFFFF"/>
                <w:sz w:val="20"/>
                <w:szCs w:val="20"/>
              </w:rPr>
              <w:t xml:space="preserve">Fase</w:t>
            </w:r>
          </w:p>
        </w:tc>
        <w:tc>
          <w:tcPr>
            <w:shd w:color="C0392B" w:val="solid"/>
            <w:tcMar>
              <w:top w:type="dxa" w:w="80"/>
              <w:left w:type="dxa" w:w="100"/>
              <w:bottom w:type="dxa" w:w="80"/>
              <w:right w:type="dxa" w:w="100"/>
            </w:tcMar>
          </w:tcPr>
          <w:p>
            <w:pPr>
              <w:jc w:val="center"/>
            </w:pPr>
            <w:r>
              <w:rPr>
                <w:b/>
                <w:bCs/>
                <w:color w:val="FFFFFF"/>
                <w:sz w:val="20"/>
                <w:szCs w:val="20"/>
              </w:rPr>
              <w:t xml:space="preserve">Waktu</w:t>
            </w:r>
          </w:p>
        </w:tc>
        <w:tc>
          <w:tcPr>
            <w:shd w:color="C0392B" w:val="solid"/>
            <w:tcMar>
              <w:top w:type="dxa" w:w="80"/>
              <w:left w:type="dxa" w:w="100"/>
              <w:bottom w:type="dxa" w:w="80"/>
              <w:right w:type="dxa" w:w="100"/>
            </w:tcMar>
          </w:tcPr>
          <w:p>
            <w:pPr>
              <w:jc w:val="center"/>
            </w:pPr>
            <w:r>
              <w:rPr>
                <w:b/>
                <w:bCs/>
                <w:color w:val="FFFFFF"/>
                <w:sz w:val="20"/>
                <w:szCs w:val="20"/>
              </w:rPr>
              <w:t xml:space="preserve">Aturan</w:t>
            </w:r>
          </w:p>
        </w:tc>
      </w:tr>
      <w:tr>
        <w:tc>
          <w:tcPr>
            <w:shd w:color="F7FBFA" w:val="solid"/>
            <w:tcMar>
              <w:top w:type="dxa" w:w="60"/>
              <w:left w:type="dxa" w:w="100"/>
              <w:bottom w:type="dxa" w:w="60"/>
              <w:right w:type="dxa" w:w="100"/>
            </w:tcMar>
          </w:tcPr>
          <w:p>
            <w:r>
              <w:rPr>
                <w:color w:val="1C1C1C"/>
                <w:sz w:val="20"/>
                <w:szCs w:val="20"/>
              </w:rPr>
              <w:t xml:space="preserve">Fase 1 — Segera</w:t>
            </w:r>
          </w:p>
        </w:tc>
        <w:tc>
          <w:tcPr>
            <w:shd w:color="F7FBFA" w:val="solid"/>
            <w:tcMar>
              <w:top w:type="dxa" w:w="60"/>
              <w:left w:type="dxa" w:w="100"/>
              <w:bottom w:type="dxa" w:w="60"/>
              <w:right w:type="dxa" w:w="100"/>
            </w:tcMar>
          </w:tcPr>
          <w:p>
            <w:r>
              <w:rPr>
                <w:color w:val="1C1C1C"/>
                <w:sz w:val="20"/>
                <w:szCs w:val="20"/>
              </w:rPr>
              <w:t xml:space="preserve">1 Jan 2026</w:t>
            </w:r>
          </w:p>
        </w:tc>
        <w:tc>
          <w:tcPr>
            <w:shd w:color="F7FBFA" w:val="solid"/>
            <w:tcMar>
              <w:top w:type="dxa" w:w="60"/>
              <w:left w:type="dxa" w:w="100"/>
              <w:bottom w:type="dxa" w:w="60"/>
              <w:right w:type="dxa" w:w="100"/>
            </w:tcMar>
          </w:tcPr>
          <w:p>
            <w:r>
              <w:rPr>
                <w:color w:val="1C1C1C"/>
                <w:sz w:val="20"/>
                <w:szCs w:val="20"/>
              </w:rPr>
              <w:t xml:space="preserve">Limbah dapur rumah tangga langsung dilarang sebagai pakan babi</w:t>
            </w:r>
          </w:p>
        </w:tc>
      </w:tr>
      <w:tr>
        <w:tc>
          <w:tcPr>
            <w:shd w:color="FFFFFF" w:val="solid"/>
            <w:tcMar>
              <w:top w:type="dxa" w:w="60"/>
              <w:left w:type="dxa" w:w="100"/>
              <w:bottom w:type="dxa" w:w="60"/>
              <w:right w:type="dxa" w:w="100"/>
            </w:tcMar>
          </w:tcPr>
          <w:p>
            <w:r>
              <w:rPr>
                <w:color w:val="1C1C1C"/>
                <w:sz w:val="20"/>
                <w:szCs w:val="20"/>
              </w:rPr>
              <w:t xml:space="preserve">Fase 2 — Diatur</w:t>
            </w:r>
          </w:p>
        </w:tc>
        <w:tc>
          <w:tcPr>
            <w:shd w:color="FFFFFF" w:val="solid"/>
            <w:tcMar>
              <w:top w:type="dxa" w:w="60"/>
              <w:left w:type="dxa" w:w="100"/>
              <w:bottom w:type="dxa" w:w="60"/>
              <w:right w:type="dxa" w:w="100"/>
            </w:tcMar>
          </w:tcPr>
          <w:p>
            <w:r>
              <w:rPr>
                <w:color w:val="1C1C1C"/>
                <w:sz w:val="20"/>
                <w:szCs w:val="20"/>
              </w:rPr>
              <w:t xml:space="preserve">Sepanjang 2026</w:t>
            </w:r>
          </w:p>
        </w:tc>
        <w:tc>
          <w:tcPr>
            <w:shd w:color="FFFFFF" w:val="solid"/>
            <w:tcMar>
              <w:top w:type="dxa" w:w="60"/>
              <w:left w:type="dxa" w:w="100"/>
              <w:bottom w:type="dxa" w:w="60"/>
              <w:right w:type="dxa" w:w="100"/>
            </w:tcMar>
          </w:tcPr>
          <w:p>
            <w:r>
              <w:rPr>
                <w:color w:val="1C1C1C"/>
                <w:sz w:val="20"/>
                <w:szCs w:val="20"/>
              </w:rPr>
              <w:t xml:space="preserve">Limbah makanan bisnis hanya dengan: perlakuan panas + CCTV + GPS + persetujuan pemerintah</w:t>
            </w:r>
          </w:p>
        </w:tc>
      </w:tr>
      <w:tr>
        <w:tc>
          <w:tcPr>
            <w:shd w:color="F7FBFA" w:val="solid"/>
            <w:tcMar>
              <w:top w:type="dxa" w:w="60"/>
              <w:left w:type="dxa" w:w="100"/>
              <w:bottom w:type="dxa" w:w="60"/>
              <w:right w:type="dxa" w:w="100"/>
            </w:tcMar>
          </w:tcPr>
          <w:p>
            <w:r>
              <w:rPr>
                <w:color w:val="1C1C1C"/>
                <w:sz w:val="20"/>
                <w:szCs w:val="20"/>
              </w:rPr>
              <w:t xml:space="preserve">Fase 3 — LARANGAN PENUH</w:t>
            </w:r>
          </w:p>
        </w:tc>
        <w:tc>
          <w:tcPr>
            <w:shd w:color="F7FBFA" w:val="solid"/>
            <w:tcMar>
              <w:top w:type="dxa" w:w="60"/>
              <w:left w:type="dxa" w:w="100"/>
              <w:bottom w:type="dxa" w:w="60"/>
              <w:right w:type="dxa" w:w="100"/>
            </w:tcMar>
          </w:tcPr>
          <w:p>
            <w:r>
              <w:rPr>
                <w:color w:val="1C1C1C"/>
                <w:sz w:val="20"/>
                <w:szCs w:val="20"/>
              </w:rPr>
              <w:t xml:space="preserve">1 Jan 2027</w:t>
            </w:r>
          </w:p>
        </w:tc>
        <w:tc>
          <w:tcPr>
            <w:shd w:color="F7FBFA" w:val="solid"/>
            <w:tcMar>
              <w:top w:type="dxa" w:w="60"/>
              <w:left w:type="dxa" w:w="100"/>
              <w:bottom w:type="dxa" w:w="60"/>
              <w:right w:type="dxa" w:w="100"/>
            </w:tcMar>
          </w:tcPr>
          <w:p>
            <w:r>
              <w:rPr>
                <w:color w:val="1C1C1C"/>
                <w:sz w:val="20"/>
                <w:szCs w:val="20"/>
              </w:rPr>
              <w:t xml:space="preserve">SEMUA limbah makanan sebagai pakan babi dilarang total</w:t>
            </w:r>
          </w:p>
        </w:tc>
      </w:tr>
    </w:tbl>
    <w:p>
      <w:pPr>
        <w:spacing w:before="100"/>
      </w:pPr>
    </w:p>
    <w:p>
      <w:pPr>
        <w:pBdr>
          <w:bottom w:val="single" w:color="00A86B" w:sz="6"/>
        </w:pBdr>
        <w:spacing w:after="160" w:before="320"/>
      </w:pPr>
      <w:r>
        <w:rPr>
          <w:b/>
          <w:bCs/>
          <w:color w:val="1A3C5E"/>
          <w:sz w:val="28"/>
          <w:szCs w:val="28"/>
        </w:rPr>
        <w:t xml:space="preserve">Kekosongan: 731 Ton/Hari Limbah Makanan Terlantar</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tblGrid>
      <w:tr>
        <w:trPr>
          <w:tblHeader/>
        </w:trPr>
        <w:tc>
          <w:tcPr>
            <w:shd w:color="1A3C5E" w:val="solid"/>
            <w:tcMar>
              <w:top w:type="dxa" w:w="80"/>
              <w:left w:type="dxa" w:w="100"/>
              <w:bottom w:type="dxa" w:w="80"/>
              <w:right w:type="dxa" w:w="100"/>
            </w:tcMar>
          </w:tcPr>
          <w:p>
            <w:pPr>
              <w:jc w:val="center"/>
            </w:pPr>
            <w:r>
              <w:rPr>
                <w:b/>
                <w:bCs/>
                <w:color w:val="FFFFFF"/>
                <w:sz w:val="20"/>
                <w:szCs w:val="20"/>
              </w:rPr>
              <w:t xml:space="preserve">Aliran Limbah Makanan</w:t>
            </w:r>
          </w:p>
        </w:tc>
        <w:tc>
          <w:tcPr>
            <w:shd w:color="1A3C5E" w:val="solid"/>
            <w:tcMar>
              <w:top w:type="dxa" w:w="80"/>
              <w:left w:type="dxa" w:w="100"/>
              <w:bottom w:type="dxa" w:w="80"/>
              <w:right w:type="dxa" w:w="100"/>
            </w:tcMar>
          </w:tcPr>
          <w:p>
            <w:pPr>
              <w:jc w:val="center"/>
            </w:pPr>
            <w:r>
              <w:rPr>
                <w:b/>
                <w:bCs/>
                <w:color w:val="FFFFFF"/>
                <w:sz w:val="20"/>
                <w:szCs w:val="20"/>
              </w:rPr>
              <w:t xml:space="preserve">Volume Harian</w:t>
            </w:r>
          </w:p>
        </w:tc>
        <w:tc>
          <w:tcPr>
            <w:shd w:color="1A3C5E" w:val="solid"/>
            <w:tcMar>
              <w:top w:type="dxa" w:w="80"/>
              <w:left w:type="dxa" w:w="100"/>
              <w:bottom w:type="dxa" w:w="80"/>
              <w:right w:type="dxa" w:w="100"/>
            </w:tcMar>
          </w:tcPr>
          <w:p>
            <w:pPr>
              <w:jc w:val="center"/>
            </w:pPr>
            <w:r>
              <w:rPr>
                <w:b/>
                <w:bCs/>
                <w:color w:val="FFFFFF"/>
                <w:sz w:val="20"/>
                <w:szCs w:val="20"/>
              </w:rPr>
              <w:t xml:space="preserve">Tujuan Setelah 2027</w:t>
            </w:r>
          </w:p>
        </w:tc>
      </w:tr>
      <w:tr>
        <w:tc>
          <w:tcPr>
            <w:shd w:color="F7FBFA" w:val="solid"/>
            <w:tcMar>
              <w:top w:type="dxa" w:w="60"/>
              <w:left w:type="dxa" w:w="100"/>
              <w:bottom w:type="dxa" w:w="60"/>
              <w:right w:type="dxa" w:w="100"/>
            </w:tcMar>
          </w:tcPr>
          <w:p>
            <w:r>
              <w:rPr>
                <w:color w:val="1C1C1C"/>
                <w:sz w:val="20"/>
                <w:szCs w:val="20"/>
              </w:rPr>
              <w:t xml:space="preserve">Total limbah makanan Taiwan</w:t>
            </w:r>
          </w:p>
        </w:tc>
        <w:tc>
          <w:tcPr>
            <w:shd w:color="F7FBFA" w:val="solid"/>
            <w:tcMar>
              <w:top w:type="dxa" w:w="60"/>
              <w:left w:type="dxa" w:w="100"/>
              <w:bottom w:type="dxa" w:w="60"/>
              <w:right w:type="dxa" w:w="100"/>
            </w:tcMar>
          </w:tcPr>
          <w:p>
            <w:r>
              <w:rPr>
                <w:color w:val="1C1C1C"/>
                <w:sz w:val="20"/>
                <w:szCs w:val="20"/>
              </w:rPr>
              <w:t xml:space="preserve">2.115 ton/hari</w:t>
            </w:r>
          </w:p>
        </w:tc>
        <w:tc>
          <w:tcPr>
            <w:shd w:color="F7FBFA" w:val="solid"/>
            <w:tcMar>
              <w:top w:type="dxa" w:w="60"/>
              <w:left w:type="dxa" w:w="100"/>
              <w:bottom w:type="dxa" w:w="60"/>
              <w:right w:type="dxa" w:w="100"/>
            </w:tcMar>
          </w:tcPr>
          <w:p>
            <w:r>
              <w:rPr>
                <w:color w:val="1C1C1C"/>
                <w:sz w:val="20"/>
                <w:szCs w:val="20"/>
              </w:rPr>
              <w:t xml:space="preserve">Perlu pemrosesan</w:t>
            </w:r>
          </w:p>
        </w:tc>
      </w:tr>
      <w:tr>
        <w:tc>
          <w:tcPr>
            <w:shd w:color="FFFFFF" w:val="solid"/>
            <w:tcMar>
              <w:top w:type="dxa" w:w="60"/>
              <w:left w:type="dxa" w:w="100"/>
              <w:bottom w:type="dxa" w:w="60"/>
              <w:right w:type="dxa" w:w="100"/>
            </w:tcMar>
          </w:tcPr>
          <w:p>
            <w:r>
              <w:rPr>
                <w:color w:val="1C1C1C"/>
                <w:sz w:val="20"/>
                <w:szCs w:val="20"/>
              </w:rPr>
              <w:t xml:space="preserve">Sebelumnya diserap peternakan babi</w:t>
            </w:r>
          </w:p>
        </w:tc>
        <w:tc>
          <w:tcPr>
            <w:shd w:color="FFFFFF" w:val="solid"/>
            <w:tcMar>
              <w:top w:type="dxa" w:w="60"/>
              <w:left w:type="dxa" w:w="100"/>
              <w:bottom w:type="dxa" w:w="60"/>
              <w:right w:type="dxa" w:w="100"/>
            </w:tcMar>
          </w:tcPr>
          <w:p>
            <w:r>
              <w:rPr>
                <w:color w:val="1C1C1C"/>
                <w:sz w:val="20"/>
                <w:szCs w:val="20"/>
              </w:rPr>
              <w:t xml:space="preserve">~731 ton/hari</w:t>
            </w:r>
          </w:p>
        </w:tc>
        <w:tc>
          <w:tcPr>
            <w:shd w:color="FFFFFF" w:val="solid"/>
            <w:tcMar>
              <w:top w:type="dxa" w:w="60"/>
              <w:left w:type="dxa" w:w="100"/>
              <w:bottom w:type="dxa" w:w="60"/>
              <w:right w:type="dxa" w:w="100"/>
            </w:tcMar>
          </w:tcPr>
          <w:p>
            <w:r>
              <w:rPr>
                <w:color w:val="1C1C1C"/>
                <w:sz w:val="20"/>
                <w:szCs w:val="20"/>
              </w:rPr>
              <w:t xml:space="preserve">DILARANG — butuh solusi baru</w:t>
            </w:r>
          </w:p>
        </w:tc>
      </w:tr>
      <w:tr>
        <w:tc>
          <w:tcPr>
            <w:shd w:color="F7FBFA" w:val="solid"/>
            <w:tcMar>
              <w:top w:type="dxa" w:w="60"/>
              <w:left w:type="dxa" w:w="100"/>
              <w:bottom w:type="dxa" w:w="60"/>
              <w:right w:type="dxa" w:w="100"/>
            </w:tcMar>
          </w:tcPr>
          <w:p>
            <w:r>
              <w:rPr>
                <w:color w:val="1C1C1C"/>
                <w:sz w:val="20"/>
                <w:szCs w:val="20"/>
              </w:rPr>
              <w:t xml:space="preserve">Ditangani fasilitas daur ulang</w:t>
            </w:r>
          </w:p>
        </w:tc>
        <w:tc>
          <w:tcPr>
            <w:shd w:color="F7FBFA" w:val="solid"/>
            <w:tcMar>
              <w:top w:type="dxa" w:w="60"/>
              <w:left w:type="dxa" w:w="100"/>
              <w:bottom w:type="dxa" w:w="60"/>
              <w:right w:type="dxa" w:w="100"/>
            </w:tcMar>
          </w:tcPr>
          <w:p>
            <w:r>
              <w:rPr>
                <w:color w:val="1C1C1C"/>
                <w:sz w:val="20"/>
                <w:szCs w:val="20"/>
              </w:rPr>
              <w:t xml:space="preserve">~1.100 ton/hari</w:t>
            </w:r>
          </w:p>
        </w:tc>
        <w:tc>
          <w:tcPr>
            <w:shd w:color="F7FBFA" w:val="solid"/>
            <w:tcMar>
              <w:top w:type="dxa" w:w="60"/>
              <w:left w:type="dxa" w:w="100"/>
              <w:bottom w:type="dxa" w:w="60"/>
              <w:right w:type="dxa" w:w="100"/>
            </w:tcMar>
          </w:tcPr>
          <w:p>
            <w:r>
              <w:rPr>
                <w:color w:val="1C1C1C"/>
                <w:sz w:val="20"/>
                <w:szCs w:val="20"/>
              </w:rPr>
              <w:t xml:space="preserve">Kompos/biogas</w:t>
            </w:r>
          </w:p>
        </w:tc>
      </w:tr>
      <w:tr>
        <w:tc>
          <w:tcPr>
            <w:shd w:color="FFFFFF" w:val="solid"/>
            <w:tcMar>
              <w:top w:type="dxa" w:w="60"/>
              <w:left w:type="dxa" w:w="100"/>
              <w:bottom w:type="dxa" w:w="60"/>
              <w:right w:type="dxa" w:w="100"/>
            </w:tcMar>
          </w:tcPr>
          <w:p>
            <w:r>
              <w:rPr>
                <w:color w:val="1C1C1C"/>
                <w:sz w:val="20"/>
                <w:szCs w:val="20"/>
              </w:rPr>
              <w:t xml:space="preserve">Menuju insinerasi/TPA</w:t>
            </w:r>
          </w:p>
        </w:tc>
        <w:tc>
          <w:tcPr>
            <w:shd w:color="FFFFFF" w:val="solid"/>
            <w:tcMar>
              <w:top w:type="dxa" w:w="60"/>
              <w:left w:type="dxa" w:w="100"/>
              <w:bottom w:type="dxa" w:w="60"/>
              <w:right w:type="dxa" w:w="100"/>
            </w:tcMar>
          </w:tcPr>
          <w:p>
            <w:r>
              <w:rPr>
                <w:color w:val="1C1C1C"/>
                <w:sz w:val="20"/>
                <w:szCs w:val="20"/>
              </w:rPr>
              <w:t xml:space="preserve">~284 ton/hari</w:t>
            </w:r>
          </w:p>
        </w:tc>
        <w:tc>
          <w:tcPr>
            <w:shd w:color="FFFFFF" w:val="solid"/>
            <w:tcMar>
              <w:top w:type="dxa" w:w="60"/>
              <w:left w:type="dxa" w:w="100"/>
              <w:bottom w:type="dxa" w:w="60"/>
              <w:right w:type="dxa" w:w="100"/>
            </w:tcMar>
          </w:tcPr>
          <w:p>
            <w:r>
              <w:rPr>
                <w:color w:val="1C1C1C"/>
                <w:sz w:val="20"/>
                <w:szCs w:val="20"/>
              </w:rPr>
              <w:t xml:space="preserve">Target eliminasi sebelum 2028</w:t>
            </w:r>
          </w:p>
        </w:tc>
      </w:tr>
    </w:tbl>
    <w:p>
      <w:pPr>
        <w:spacing w:before="80"/>
      </w:pPr>
    </w:p>
    <w:p>
      <w:pPr>
        <w:pBdr>
          <w:left w:val="thick" w:color="00A86B" w:sz="12"/>
        </w:pBdr>
        <w:shd w:color="F0F7F4" w:val="solid"/>
        <w:spacing w:after="120" w:before="120"/>
        <w:ind w:left="576"/>
      </w:pPr>
      <w:r>
        <w:rPr>
          <w:i/>
          <w:iCs/>
          <w:color w:val="1A3C5E"/>
          <w:sz w:val="22"/>
          <w:szCs w:val="22"/>
        </w:rPr>
        <w:t xml:space="preserve">731 ton/hari inilah celah pasarnya. Ini adalah limbah makanan yang sebelumnya diproses, menguntungkan, dan kini tiba-tiba tidak memiliki tempat. BSF Bio-Hub kami adalah solusinya.</w:t>
      </w:r>
    </w:p>
    <w:p>
      <w:pPr>
        <w:pBdr>
          <w:bottom w:val="single" w:color="00A86B" w:sz="6"/>
        </w:pBdr>
        <w:spacing w:after="160" w:before="320"/>
      </w:pPr>
      <w:r>
        <w:rPr>
          <w:b/>
          <w:bCs/>
          <w:color w:val="1A3C5E"/>
          <w:sz w:val="28"/>
          <w:szCs w:val="28"/>
        </w:rPr>
        <w:t xml:space="preserve">Empat Alternatif Resmi Pemerintah Taiwan</w:t>
      </w:r>
    </w:p>
    <w:tbl>
      <w:tblPr>
        <w:tblW w:type="pct" w:w="100%"/>
        <w:tblBorders>
          <w:top w:val="single" w:color="00A86B" w:sz="4"/>
          <w:left w:val="single" w:color="00A86B" w:sz="4"/>
          <w:bottom w:val="single" w:color="00A86B" w:sz="4"/>
          <w:right w:val="single" w:color="00A86B" w:sz="4"/>
          <w:insideH w:val="single" w:color="auto" w:sz="4"/>
          <w:insideV w:val="single" w:color="auto" w:sz="4"/>
        </w:tblBorders>
      </w:tblPr>
      <w:tblGrid>
        <w:gridCol w:w="100"/>
        <w:gridCol w:w="100"/>
        <w:gridCol w:w="100"/>
        <w:gridCol w:w="100"/>
      </w:tblGrid>
      <w:tr>
        <w:trPr>
          <w:tblHeader/>
        </w:trPr>
        <w:tc>
          <w:tcPr>
            <w:shd w:color="00A86B" w:val="solid"/>
            <w:tcMar>
              <w:top w:type="dxa" w:w="80"/>
              <w:left w:type="dxa" w:w="100"/>
              <w:bottom w:type="dxa" w:w="80"/>
              <w:right w:type="dxa" w:w="100"/>
            </w:tcMar>
          </w:tcPr>
          <w:p>
            <w:pPr>
              <w:jc w:val="center"/>
            </w:pPr>
            <w:r>
              <w:rPr>
                <w:b/>
                <w:bCs/>
                <w:color w:val="FFFFFF"/>
                <w:sz w:val="20"/>
                <w:szCs w:val="20"/>
              </w:rPr>
              <w:t xml:space="preserve">#</w:t>
            </w:r>
          </w:p>
        </w:tc>
        <w:tc>
          <w:tcPr>
            <w:shd w:color="00A86B" w:val="solid"/>
            <w:tcMar>
              <w:top w:type="dxa" w:w="80"/>
              <w:left w:type="dxa" w:w="100"/>
              <w:bottom w:type="dxa" w:w="80"/>
              <w:right w:type="dxa" w:w="100"/>
            </w:tcMar>
          </w:tcPr>
          <w:p>
            <w:pPr>
              <w:jc w:val="center"/>
            </w:pPr>
            <w:r>
              <w:rPr>
                <w:b/>
                <w:bCs/>
                <w:color w:val="FFFFFF"/>
                <w:sz w:val="20"/>
                <w:szCs w:val="20"/>
              </w:rPr>
              <w:t xml:space="preserve">Jalur Resmi</w:t>
            </w:r>
          </w:p>
        </w:tc>
        <w:tc>
          <w:tcPr>
            <w:shd w:color="00A86B" w:val="solid"/>
            <w:tcMar>
              <w:top w:type="dxa" w:w="80"/>
              <w:left w:type="dxa" w:w="100"/>
              <w:bottom w:type="dxa" w:w="80"/>
              <w:right w:type="dxa" w:w="100"/>
            </w:tcMar>
          </w:tcPr>
          <w:p>
            <w:pPr>
              <w:jc w:val="center"/>
            </w:pPr>
            <w:r>
              <w:rPr>
                <w:b/>
                <w:bCs/>
                <w:color w:val="FFFFFF"/>
                <w:sz w:val="20"/>
                <w:szCs w:val="20"/>
              </w:rPr>
              <w:t xml:space="preserve">Skala</w:t>
            </w:r>
          </w:p>
        </w:tc>
        <w:tc>
          <w:tcPr>
            <w:shd w:color="00A86B" w:val="solid"/>
            <w:tcMar>
              <w:top w:type="dxa" w:w="80"/>
              <w:left w:type="dxa" w:w="100"/>
              <w:bottom w:type="dxa" w:w="80"/>
              <w:right w:type="dxa" w:w="100"/>
            </w:tcMar>
          </w:tcPr>
          <w:p>
            <w:pPr>
              <w:jc w:val="center"/>
            </w:pPr>
            <w:r>
              <w:rPr>
                <w:b/>
                <w:bCs/>
                <w:color w:val="FFFFFF"/>
                <w:sz w:val="20"/>
                <w:szCs w:val="20"/>
              </w:rPr>
              <w:t xml:space="preserve">Output Nilai</w:t>
            </w:r>
          </w:p>
        </w:tc>
      </w:tr>
      <w:tr>
        <w:tc>
          <w:tcPr>
            <w:shd w:color="F7FBFA" w:val="solid"/>
            <w:tcMar>
              <w:top w:type="dxa" w:w="60"/>
              <w:left w:type="dxa" w:w="100"/>
              <w:bottom w:type="dxa" w:w="60"/>
              <w:right w:type="dxa" w:w="100"/>
            </w:tcMar>
          </w:tcPr>
          <w:p>
            <w:r>
              <w:rPr>
                <w:color w:val="1C1C1C"/>
                <w:sz w:val="20"/>
                <w:szCs w:val="20"/>
              </w:rPr>
              <w:t xml:space="preserve">1</w:t>
            </w:r>
          </w:p>
        </w:tc>
        <w:tc>
          <w:tcPr>
            <w:shd w:color="F7FBFA" w:val="solid"/>
            <w:tcMar>
              <w:top w:type="dxa" w:w="60"/>
              <w:left w:type="dxa" w:w="100"/>
              <w:bottom w:type="dxa" w:w="60"/>
              <w:right w:type="dxa" w:w="100"/>
            </w:tcMar>
          </w:tcPr>
          <w:p>
            <w:r>
              <w:rPr>
                <w:color w:val="1C1C1C"/>
                <w:sz w:val="20"/>
                <w:szCs w:val="20"/>
              </w:rPr>
              <w:t xml:space="preserve">Pengomposan (堆肥)</w:t>
            </w:r>
          </w:p>
        </w:tc>
        <w:tc>
          <w:tcPr>
            <w:shd w:color="F7FBFA" w:val="solid"/>
            <w:tcMar>
              <w:top w:type="dxa" w:w="60"/>
              <w:left w:type="dxa" w:w="100"/>
              <w:bottom w:type="dxa" w:w="60"/>
              <w:right w:type="dxa" w:w="100"/>
            </w:tcMar>
          </w:tcPr>
          <w:p>
            <w:r>
              <w:rPr>
                <w:color w:val="1C1C1C"/>
                <w:sz w:val="20"/>
                <w:szCs w:val="20"/>
              </w:rPr>
              <w:t xml:space="preserve">Besar, pedesaan</w:t>
            </w:r>
          </w:p>
        </w:tc>
        <w:tc>
          <w:tcPr>
            <w:shd w:color="F7FBFA" w:val="solid"/>
            <w:tcMar>
              <w:top w:type="dxa" w:w="60"/>
              <w:left w:type="dxa" w:w="100"/>
              <w:bottom w:type="dxa" w:w="60"/>
              <w:right w:type="dxa" w:w="100"/>
            </w:tcMar>
          </w:tcPr>
          <w:p>
            <w:r>
              <w:rPr>
                <w:color w:val="1C1C1C"/>
                <w:sz w:val="20"/>
                <w:szCs w:val="20"/>
              </w:rPr>
              <w:t xml:space="preserve">Pupuk organik</w:t>
            </w:r>
          </w:p>
        </w:tc>
      </w:tr>
      <w:tr>
        <w:tc>
          <w:tcPr>
            <w:shd w:color="FFFFFF" w:val="solid"/>
            <w:tcMar>
              <w:top w:type="dxa" w:w="60"/>
              <w:left w:type="dxa" w:w="100"/>
              <w:bottom w:type="dxa" w:w="60"/>
              <w:right w:type="dxa" w:w="100"/>
            </w:tcMar>
          </w:tcPr>
          <w:p>
            <w:r>
              <w:rPr>
                <w:color w:val="1C1C1C"/>
                <w:sz w:val="20"/>
                <w:szCs w:val="20"/>
              </w:rPr>
              <w:t xml:space="preserve">2</w:t>
            </w:r>
          </w:p>
        </w:tc>
        <w:tc>
          <w:tcPr>
            <w:shd w:color="FFFFFF" w:val="solid"/>
            <w:tcMar>
              <w:top w:type="dxa" w:w="60"/>
              <w:left w:type="dxa" w:w="100"/>
              <w:bottom w:type="dxa" w:w="60"/>
              <w:right w:type="dxa" w:w="100"/>
            </w:tcMar>
          </w:tcPr>
          <w:p>
            <w:r>
              <w:rPr>
                <w:color w:val="1C1C1C"/>
                <w:sz w:val="20"/>
                <w:szCs w:val="20"/>
              </w:rPr>
              <w:t xml:space="preserve">Bioenergi / Pencernaan Anaerobik</w:t>
            </w:r>
          </w:p>
        </w:tc>
        <w:tc>
          <w:tcPr>
            <w:shd w:color="FFFFFF" w:val="solid"/>
            <w:tcMar>
              <w:top w:type="dxa" w:w="60"/>
              <w:left w:type="dxa" w:w="100"/>
              <w:bottom w:type="dxa" w:w="60"/>
              <w:right w:type="dxa" w:w="100"/>
            </w:tcMar>
          </w:tcPr>
          <w:p>
            <w:r>
              <w:rPr>
                <w:color w:val="1C1C1C"/>
                <w:sz w:val="20"/>
                <w:szCs w:val="20"/>
              </w:rPr>
              <w:t xml:space="preserve">Skala pabrik</w:t>
            </w:r>
          </w:p>
        </w:tc>
        <w:tc>
          <w:tcPr>
            <w:shd w:color="FFFFFF" w:val="solid"/>
            <w:tcMar>
              <w:top w:type="dxa" w:w="60"/>
              <w:left w:type="dxa" w:w="100"/>
              <w:bottom w:type="dxa" w:w="60"/>
              <w:right w:type="dxa" w:w="100"/>
            </w:tcMar>
          </w:tcPr>
          <w:p>
            <w:r>
              <w:rPr>
                <w:color w:val="1C1C1C"/>
                <w:sz w:val="20"/>
                <w:szCs w:val="20"/>
              </w:rPr>
              <w:t xml:space="preserve">Biogas + listrik</w:t>
            </w:r>
          </w:p>
        </w:tc>
      </w:tr>
      <w:tr>
        <w:tc>
          <w:tcPr>
            <w:shd w:color="F7FBFA" w:val="solid"/>
            <w:tcMar>
              <w:top w:type="dxa" w:w="60"/>
              <w:left w:type="dxa" w:w="100"/>
              <w:bottom w:type="dxa" w:w="60"/>
              <w:right w:type="dxa" w:w="100"/>
            </w:tcMar>
          </w:tcPr>
          <w:p>
            <w:r>
              <w:rPr>
                <w:color w:val="1C1C1C"/>
                <w:sz w:val="20"/>
                <w:szCs w:val="20"/>
              </w:rPr>
              <w:t xml:space="preserve">3 ★</w:t>
            </w:r>
          </w:p>
        </w:tc>
        <w:tc>
          <w:tcPr>
            <w:shd w:color="F7FBFA" w:val="solid"/>
            <w:tcMar>
              <w:top w:type="dxa" w:w="60"/>
              <w:left w:type="dxa" w:w="100"/>
              <w:bottom w:type="dxa" w:w="60"/>
              <w:right w:type="dxa" w:w="100"/>
            </w:tcMar>
          </w:tcPr>
          <w:p>
            <w:r>
              <w:rPr>
                <w:color w:val="1C1C1C"/>
                <w:sz w:val="20"/>
                <w:szCs w:val="20"/>
              </w:rPr>
              <w:t xml:space="preserve">Budidaya Lalat Tentara Hitam (黑水虻)</w:t>
            </w:r>
          </w:p>
        </w:tc>
        <w:tc>
          <w:tcPr>
            <w:shd w:color="F7FBFA" w:val="solid"/>
            <w:tcMar>
              <w:top w:type="dxa" w:w="60"/>
              <w:left w:type="dxa" w:w="100"/>
              <w:bottom w:type="dxa" w:w="60"/>
              <w:right w:type="dxa" w:w="100"/>
            </w:tcMar>
          </w:tcPr>
          <w:p>
            <w:r>
              <w:rPr>
                <w:color w:val="1C1C1C"/>
                <w:sz w:val="20"/>
                <w:szCs w:val="20"/>
              </w:rPr>
              <w:t xml:space="preserve">Terdesentralisasi, PERKOTAAN</w:t>
            </w:r>
          </w:p>
        </w:tc>
        <w:tc>
          <w:tcPr>
            <w:shd w:color="F7FBFA" w:val="solid"/>
            <w:tcMar>
              <w:top w:type="dxa" w:w="60"/>
              <w:left w:type="dxa" w:w="100"/>
              <w:bottom w:type="dxa" w:w="60"/>
              <w:right w:type="dxa" w:w="100"/>
            </w:tcMar>
          </w:tcPr>
          <w:p>
            <w:r>
              <w:rPr>
                <w:color w:val="1C1C1C"/>
                <w:sz w:val="20"/>
                <w:szCs w:val="20"/>
              </w:rPr>
              <w:t xml:space="preserve">Protein + Pupuk — NILAI TERTINGGI</w:t>
            </w:r>
          </w:p>
        </w:tc>
      </w:tr>
      <w:tr>
        <w:tc>
          <w:tcPr>
            <w:shd w:color="FFFFFF" w:val="solid"/>
            <w:tcMar>
              <w:top w:type="dxa" w:w="60"/>
              <w:left w:type="dxa" w:w="100"/>
              <w:bottom w:type="dxa" w:w="60"/>
              <w:right w:type="dxa" w:w="100"/>
            </w:tcMar>
          </w:tcPr>
          <w:p>
            <w:r>
              <w:rPr>
                <w:color w:val="1C1C1C"/>
                <w:sz w:val="20"/>
                <w:szCs w:val="20"/>
              </w:rPr>
              <w:t xml:space="preserve">4</w:t>
            </w:r>
          </w:p>
        </w:tc>
        <w:tc>
          <w:tcPr>
            <w:shd w:color="FFFFFF" w:val="solid"/>
            <w:tcMar>
              <w:top w:type="dxa" w:w="60"/>
              <w:left w:type="dxa" w:w="100"/>
              <w:bottom w:type="dxa" w:w="60"/>
              <w:right w:type="dxa" w:w="100"/>
            </w:tcMar>
          </w:tcPr>
          <w:p>
            <w:r>
              <w:rPr>
                <w:color w:val="1C1C1C"/>
                <w:sz w:val="20"/>
                <w:szCs w:val="20"/>
              </w:rPr>
              <w:t xml:space="preserve">Insinerasi</w:t>
            </w:r>
          </w:p>
        </w:tc>
        <w:tc>
          <w:tcPr>
            <w:shd w:color="FFFFFF" w:val="solid"/>
            <w:tcMar>
              <w:top w:type="dxa" w:w="60"/>
              <w:left w:type="dxa" w:w="100"/>
              <w:bottom w:type="dxa" w:w="60"/>
              <w:right w:type="dxa" w:w="100"/>
            </w:tcMar>
          </w:tcPr>
          <w:p>
            <w:r>
              <w:rPr>
                <w:color w:val="1C1C1C"/>
                <w:sz w:val="20"/>
                <w:szCs w:val="20"/>
              </w:rPr>
              <w:t xml:space="preserve">Pilihan terakhir</w:t>
            </w:r>
          </w:p>
        </w:tc>
        <w:tc>
          <w:tcPr>
            <w:shd w:color="FFFFFF" w:val="solid"/>
            <w:tcMar>
              <w:top w:type="dxa" w:w="60"/>
              <w:left w:type="dxa" w:w="100"/>
              <w:bottom w:type="dxa" w:w="60"/>
              <w:right w:type="dxa" w:w="100"/>
            </w:tcMar>
          </w:tcPr>
          <w:p>
            <w:r>
              <w:rPr>
                <w:color w:val="1C1C1C"/>
                <w:sz w:val="20"/>
                <w:szCs w:val="20"/>
              </w:rPr>
              <w:t xml:space="preserve">Energi saja</w:t>
            </w:r>
          </w:p>
        </w:tc>
      </w:tr>
    </w:tbl>
    <w:p>
      <w:pPr>
        <w:pBdr>
          <w:left w:val="thick" w:color="00A86B" w:sz="12"/>
        </w:pBdr>
        <w:shd w:color="F0F7F4" w:val="solid"/>
        <w:spacing w:after="120" w:before="120"/>
        <w:ind w:left="576"/>
      </w:pPr>
      <w:r>
        <w:rPr>
          <w:i/>
          <w:iCs/>
          <w:color w:val="1A3C5E"/>
          <w:sz w:val="22"/>
          <w:szCs w:val="22"/>
        </w:rPr>
        <w:t xml:space="preserve">BSF secara resmi disebutkan oleh Kementerian Lingkungan Hidup Taiwan sebagai alternatif limbah makanan yang disetujui.</w:t>
      </w:r>
    </w:p>
    <w:p>
      <w:r>
        <w:br w:type="page"/>
      </w:r>
    </w:p>
    <w:p>
      <w:pPr>
        <w:pStyle w:val="Heading1"/>
        <w:spacing w:after="200" w:before="400"/>
        <w:rPr>
          <w:b/>
          <w:bCs/>
          <w:color w:val="1A3C5E"/>
        </w:rPr>
      </w:pPr>
      <w:r>
        <w:t xml:space="preserve">Untuk laporan lengkap dalam Bahasa Indonesia, lihat: Deep_Research_Summary_ID.md</w:t>
      </w:r>
    </w:p>
    <w:p>
      <w:pPr>
        <w:spacing w:after="100" w:before="80"/>
      </w:pPr>
      <w:r>
        <w:rPr>
          <w:color w:val="1C1C1C"/>
          <w:sz w:val="22"/>
          <w:szCs w:val="22"/>
        </w:rPr>
        <w:t xml:space="preserve">Dokumen ini merupakan ringkasan DOCX dari Ringkasan Riset Mendalam — Versi Bahasa Indonesia.</w:t>
      </w:r>
    </w:p>
    <w:p>
      <w:pPr>
        <w:spacing w:after="100" w:before="80"/>
      </w:pPr>
      <w:r>
        <w:rPr>
          <w:color w:val="1C1C1C"/>
          <w:sz w:val="22"/>
          <w:szCs w:val="22"/>
        </w:rPr>
        <w:t xml:space="preserve">File referensi lengkap: Deep_Research_Summary_ID.md</w:t>
      </w:r>
    </w:p>
    <w:sectPr>
      <w:headerReference w:type="default" r:id="rId7"/>
      <w:footerReference w:type="default" r:id="rId8"/>
      <w:pgSz w:w="11906" w:h="16838" w:orient="portrait"/>
      <w:pgMar w:top="1727"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6B" w:sz="4"/>
      </w:pBdr>
      <w:jc w:val="center"/>
    </w:pPr>
    <w:r>
      <w:rPr>
        <w:color w:val="6B7280"/>
        <w:sz w:val="18"/>
        <w:szCs w:val="18"/>
      </w:rPr>
      <w:t xml:space="preserve">© 2026 Steven Tanardi — Tim Visi Yunus | Dokumen Rahasia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6B" w:sz="4"/>
      </w:pBdr>
    </w:pPr>
    <w:r>
      <w:rPr>
        <w:i/>
        <w:iCs/>
        <w:color w:val="6B7280"/>
        <w:sz w:val="18"/>
        <w:szCs w:val="18"/>
      </w:rPr>
      <w:t xml:space="preserve">Penghargaan Inovasi Yunus Taiwan ke-6 — Ringkasan Riset (ID)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Ringkasan Riset Mendalam - Penghargaan Inovasi Yunus Taiwan ke-6</dc:title>
  <dc:creator>Steven Tanardi</dc:creator>
  <dc:description>Laporan Riset Mendalam — Versi Bahasa Indonesia — Pemindai Sampah AI &amp; BSF Bio-Loop</dc:description>
  <cp:lastModifiedBy>Un-named</cp:lastModifiedBy>
  <cp:revision>1</cp:revision>
  <dcterms:created xsi:type="dcterms:W3CDTF">2026-04-08T05:01:14.563Z</dcterms:created>
  <dcterms:modified xsi:type="dcterms:W3CDTF">2026-04-08T05:01:14.563Z</dcterms:modified>
</cp:coreProperties>
</file>

<file path=docProps/custom.xml><?xml version="1.0" encoding="utf-8"?>
<Properties xmlns="http://schemas.openxmlformats.org/officeDocument/2006/custom-properties" xmlns:vt="http://schemas.openxmlformats.org/officeDocument/2006/docPropsVTypes"/>
</file>