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center"/>
        <w:rPr>
          <w:rFonts w:ascii="Calibri" w:hAnsi="Calibri" w:cs="Calibri" w:eastAsia="Calibri"/>
          <w:b/>
          <w:color w:val="365F91"/>
          <w:spacing w:val="0"/>
          <w:position w:val="0"/>
          <w:sz w:val="32"/>
          <w:shd w:fill="auto" w:val="clear"/>
        </w:rPr>
      </w:pPr>
      <w:r>
        <w:rPr>
          <w:rFonts w:ascii="Arial Black" w:hAnsi="Arial Black" w:cs="Arial Black" w:eastAsia="Arial Black"/>
          <w:b/>
          <w:color w:val="365F91"/>
          <w:spacing w:val="0"/>
          <w:position w:val="0"/>
          <w:sz w:val="32"/>
          <w:shd w:fill="auto" w:val="clear"/>
        </w:rPr>
        <w:t xml:space="preserve"> From Diaspora Conversation to Measurable Partnership: Why Ghana</w:t>
      </w:r>
      <w:r>
        <w:rPr>
          <w:rFonts w:ascii="Arial Black" w:hAnsi="Arial Black" w:cs="Arial Black" w:eastAsia="Arial Black"/>
          <w:b/>
          <w:color w:val="365F91"/>
          <w:spacing w:val="0"/>
          <w:position w:val="0"/>
          <w:sz w:val="32"/>
          <w:shd w:fill="auto" w:val="clear"/>
        </w:rPr>
        <w:t xml:space="preserve">–</w:t>
      </w:r>
      <w:r>
        <w:rPr>
          <w:rFonts w:ascii="Arial Black" w:hAnsi="Arial Black" w:cs="Arial Black" w:eastAsia="Arial Black"/>
          <w:b/>
          <w:color w:val="365F91"/>
          <w:spacing w:val="0"/>
          <w:position w:val="0"/>
          <w:sz w:val="32"/>
          <w:shd w:fill="auto" w:val="clear"/>
        </w:rPr>
        <w:t xml:space="preserve">Nordic Engagement Needs Trust, Structure, and Follow-Up</w:t>
      </w:r>
    </w:p>
    <w:p>
      <w:pPr>
        <w:spacing w:before="0" w:after="200" w:line="276"/>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 Publication by Conspodium / Diaspora Magazine</w:t>
      </w:r>
    </w:p>
    <w:p>
      <w:pPr>
        <w:spacing w:before="0" w:after="200" w:line="276"/>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Author: Ernest Ngadiuba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The recent Ghanaian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Nordic business briefing offered more than an occasion for formal speeches and networking. It provided a useful lens through which to examine a larger question that now confronts many African diaspora communities in Europe: how can diaspora conversations become practical, measurable partnerships? For Conspodium, this is not simply a question of journalism. It is a question of public purpose, economic imagination, and institutional follow-through.</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The Ghanaian community in Sweden and across the Nordic region occupies a position of considerable promise. It carries cultural identity, professional experience, entrepreneurial ambition, and international networks. Yet the true value of diaspora engagement is not achieved by identity alone. It is achieved when identity becomes organisation, when goodwill becomes investment readiness, and when community visibility becomes a structured platform for trade, tourism, agribusiness, creative enterprise, technology, and sustainable development.</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Ghana’s relationship with Europe already rests on important political, cultural, and economic foundations. The European Commission describes Ghana and the European Union as sharing close political, cultural, and economic relations, with cooperation focused on areas including green growth, private-sector development, trade, digital transition, vocational skills, governance, and diaspora engagement.[1] This provides a strong policy context for diaspora communities to act not as observers of development, but as practical intermediaries between opportunity and implementation.</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For Ghanaian and wider African diaspora communities, the challenge is to move beyond ceremonial engagement. Business briefings, national festivals, investment forums, and embassy-led convenings should not end when the event closes. Their importance lies in whether they create credible routes for follow-up. Investors and entrepreneurs do not only need inspiration; they need reliable information, trusted institutions, clear entry points, transparent rules, and a process for converting conversations into action.</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The central reporting question for Conspodium is therefore direct: what must happen for diaspora conversations to become practical, measurable partnerships?</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The answer begins with trust. Diaspora communities become most powerful when they organise trust. Trust is what allows investors to distinguish a serious opportunity from an informal promise. Trust is what allows institutions in Ghana to work with communities abroad without uncertainty or fragmentation. Trust is what allows a young entrepreneur in Accra, Kumasi, Tamale, Stockholm, Oslo, Copenhagen, Helsinki, or Reykjavík to see partnership not as an abstract slogan, but as a possible business pathway.</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This is where embassies, diaspora organisations, chambers of commerce, development agencies, and media platforms can each play a distinct role. An embassy can convene and guide. A chamber of commerce can structure business contact. A diaspora organisation can mobilise community knowledge. A development institution can provide technical support. A platform such as Conspodium can document the process, ask constructive questions, identify bottlenecks, and keep public attention focused on measurable outcomes rather than symbolic declarations.</w:t>
      </w:r>
    </w:p>
    <w:tbl>
      <w:tblPr/>
      <w:tblGrid>
        <w:gridCol w:w="3216"/>
        <w:gridCol w:w="3216"/>
        <w:gridCol w:w="3216"/>
      </w:tblGrid>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Area of Engagement</w:t>
            </w:r>
          </w:p>
        </w:tc>
        <w:tc>
          <w:tcPr>
            <w:tcW w:w="321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Practical Question for Ghana</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Nordic Partnership</w:t>
            </w:r>
          </w:p>
        </w:tc>
        <w:tc>
          <w:tcPr>
            <w:tcW w:w="321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Why It Matters</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Trade and investment</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How can Ghanaian and Nordic stakeholders identify bankable opportunities and credible local partners?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Serious investors need structured information and dependable follow-up.</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Tourism and culture</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How can cultural identity become a route to tourism promotion and creative-sector collaboration?</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Diaspora heritage can support Ghana’s international visibility and visitor economy.</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Agribusiness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How can Nordic sustainability expertise connect with Ghanaian agricultural value chains?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Food systems, processing, logistics, and standards are central to inclusive growth.</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Creative economy</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How can artists, designers, media workers, and digital creators access cross-border markets?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Culture is not only heritage; it is also enterprise, employment, and export potential.</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Finance and remittances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How can payment barriers and remittance costs be reduced for diaspora investors and families?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High costs and inefficient transfer systems weaken the developmental impact of diaspora capital.</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AfCFTA opportunities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How can the diaspora help Ghanaian and African businesses reach wider continental and international markets?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The AfCFTA seeks to create a single continental market and boost intra-African trade.[2]</w:t>
            </w:r>
          </w:p>
        </w:tc>
      </w:tr>
    </w:tbl>
    <w:p>
      <w:pPr>
        <w:spacing w:before="0" w:after="200" w:line="276"/>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One of the most practical issues affecting diaspora economic engagement is the cost and complexity of moving money across borders. The World Bank’s Remittance Prices Worldwide platform reports that the global average cost of sending remittances was 6.36 percent in its September 2025 reporting cycle.[3] This matters because remittances are not only family support. In many cases, they are also the early capital for small businesses, property development, education, healthcare, and community projects. When transfer costs are high, opaque, or difficult to navigate, diaspora contribution becomes less efficient.</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The issue is broader than remittances alone. Many African entrepreneurs and diaspora investors face difficulties related to correspondent banking, compliance requirements, documentation standards, payment delays, transaction costs, and limited access to trusted cross-border financial channels. These challenges should not be dismissed as technical inconveniences. They are part of the architecture that determines whether diaspora ambition can become productive investment.</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This is why the idea of an African Diaspora Economic Observatory or a Diaspora Development and Investment Watchdog deserves serious, non-partisan discussion. Such a platform would not exist to criticise governments or institutions for its own sake. Its value would lie in evidence-gathering, transparency, practical advocacy, and coordination. It could monitor remittance costs, trade barriers, investment bottlenecks, diaspora investor experiences, payment difficulties, and financial inclusion challenges affecting Africans abroad.</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 constructive observatory could also help embassies and policymakers understand where diaspora engagement is working and where it is being frustrated. It could publish periodic briefs, collect case studies, compare country experiences, and recommend practical reforms. Most importantly, it could help move diaspora policy away from general praise and towards measurable indicators.</w:t>
      </w:r>
    </w:p>
    <w:tbl>
      <w:tblPr/>
      <w:tblGrid>
        <w:gridCol w:w="3216"/>
        <w:gridCol w:w="3216"/>
        <w:gridCol w:w="3216"/>
      </w:tblGrid>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Proposed Function of a Diaspora Economic Observatory</w:t>
            </w:r>
          </w:p>
        </w:tc>
        <w:tc>
          <w:tcPr>
            <w:tcW w:w="321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Possible Output</w:t>
            </w:r>
          </w:p>
        </w:tc>
        <w:tc>
          <w:tcPr>
            <w:tcW w:w="321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Expected Value</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Monitor remittance and transfer costs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Quarterly corridor reports and user experience summaries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Better evidence for reducing the cost of moving money.</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Track investment bottlenecks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Investor journey mapping and policy briefs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Clearer understanding of where diaspora investors face delays or uncertainty.</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Document trade barriers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Sector-specific reports on customs, standards, logistics, and payment constraints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More practical support for exporters and importers.</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Promote trusted information</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Verified resource guides and referral pathways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Reduced misinformation and stronger investor confidence.</w:t>
            </w:r>
          </w:p>
        </w:tc>
      </w:tr>
      <w:tr>
        <w:trPr>
          <w:trHeight w:val="1" w:hRule="atLeast"/>
          <w:jc w:val="center"/>
        </w:trPr>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Convene stakeholders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Dialogues among embassies, chambers, diaspora groups, banks, and development institutions</w:t>
            </w:r>
          </w:p>
        </w:tc>
        <w:tc>
          <w:tcPr>
            <w:tcW w:w="32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ptos" w:hAnsi="Aptos" w:cs="Aptos" w:eastAsia="Aptos"/>
                <w:color w:val="auto"/>
                <w:spacing w:val="0"/>
                <w:position w:val="0"/>
                <w:sz w:val="22"/>
                <w:shd w:fill="auto" w:val="clear"/>
              </w:rPr>
              <w:t xml:space="preserve">Stronger coordination and follow-up after public events.</w:t>
            </w:r>
          </w:p>
        </w:tc>
      </w:tr>
    </w:tbl>
    <w:p>
      <w:pPr>
        <w:spacing w:before="0" w:after="200" w:line="276"/>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The African Continental Free Trade Area adds another layer of urgency. The AfCFTA describes itself as the world’s largest free trade area by number of participating countries, bringing together the 55 African Union countries and eight Regional Economic Communities, with a mandate to create a single continental market and boost intra-African trade.[2] Its Secretariat is hosted in Accra, Ghana, placing Ghana in a symbolically and practically important position within the continent’s trade future.[2]</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For the diaspora, AfCFTA should not be viewed as a distant continental policy. It should be treated as an opening for market intelligence, business matchmaking, export readiness, logistics support, professional services, and investment mobilisation. Ghanaian and African professionals in Europe can help African businesses understand standards, consumer expectations, packaging, branding, compliance, financing, technology, and distribution. In this sense, diaspora engagement can become a form of market access.</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This is precisely why Conspodium’s reporting seeks to be constructive rather than merely descriptive. Diaspora journalism should not only celebrate events; it should ask what comes next. It should not only record speeches; it should examine whether commitments become relationships, whether relationships become projects, and whether projects produce measurable outcomes. Such reporting can strengthen public accountability while still respecting diplomacy, partnership, and national development priorities.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The Ghanaian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Nordic business briefing therefore matters because it points to a wider possibility. It suggests that the Ghanaian community in Sweden and the Nordic region can become a convening force. It can bring together investors, officials, entrepreneurs, cultural actors, and development partners. But for that promise to be fulfilled, the conversation must be structured. The diaspora must be seen not only as a source of remittances or cultural celebration, but as a strategic partner in development, enterprise, knowledge transfer, and international cooperation.</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Europe’s engagement with Ghana is already moving through themes that align with the needs of the future: green growth, digital transition, skills development, private-sector support, sustainable cities, responsible value chains, and improved governance.[1] Nordic countries, with their strong reputation in sustainability, innovation, transparency, design, education, energy transition, and inclusive institutions, can contribute meaningfully to this agenda. Ghana, in turn, offers youthful talent, entrepreneurial energy, regional access, cultural influence, and a strategic location in West Africa.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A more productive Ghana</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Europe relationship should therefore be built on mutual seriousness. It should recognise that partnership is not charity, that investment is not publicity, and that diaspora engagement is not a ceremonial afterthought. Productive engagement requires preparation, evidence, trusted channels, policy attention, and follow-up.</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For Conspodium, the aim of this reporting is to help build that seriousness. The publication can provide a platform for diaspora voices, but also for institutions, investors, policymakers, and entrepreneurs who want to turn shared identity into shared work. It can highlight opportunities while naming obstacles. It can celebrate progress while asking practical questions. It can help ensure that the energy of diaspora gatherings is not lost after the applause, but converted into a continuing record of action.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The Ghanaian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Nordic business briefing should therefore be understood as part of a larger assignment. It is an invitation to organise trust, structure opportunity, and measure progress. If Ghana, its embassies, its diaspora communities, and its European partners can do this consistently, then diaspora engagement will become more than a phrase. It will become an instrument of trade, development, innovation, and lasting partnership.</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References</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[1] European Commission, Ghana - International Partnerships: </w:t>
      </w:r>
      <w:hyperlink xmlns:r="http://schemas.openxmlformats.org/officeDocument/2006/relationships" r:id="docRId0">
        <w:r>
          <w:rPr>
            <w:rFonts w:ascii="Aptos" w:hAnsi="Aptos" w:cs="Aptos" w:eastAsia="Aptos"/>
            <w:color w:val="0000FF"/>
            <w:spacing w:val="0"/>
            <w:position w:val="0"/>
            <w:sz w:val="22"/>
            <w:u w:val="single"/>
            <w:shd w:fill="auto" w:val="clear"/>
          </w:rPr>
          <w:t xml:space="preserve">https://international-partnerships.ec.europa.eu/countries/ghana_en</w:t>
        </w:r>
      </w:hyperlink>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[2] African Continental Free Trade Area, About the AfCFTA: </w:t>
      </w:r>
      <w:hyperlink xmlns:r="http://schemas.openxmlformats.org/officeDocument/2006/relationships" r:id="docRId1">
        <w:r>
          <w:rPr>
            <w:rFonts w:ascii="Aptos" w:hAnsi="Aptos" w:cs="Aptos" w:eastAsia="Aptos"/>
            <w:color w:val="0000FF"/>
            <w:spacing w:val="0"/>
            <w:position w:val="0"/>
            <w:sz w:val="22"/>
            <w:u w:val="single"/>
            <w:shd w:fill="auto" w:val="clear"/>
          </w:rPr>
          <w:t xml:space="preserve">https://au-afcfta.org/about/</w:t>
        </w:r>
      </w:hyperlink>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[3] World Bank, Remittance Prices Worldwide: </w:t>
      </w:r>
      <w:hyperlink xmlns:r="http://schemas.openxmlformats.org/officeDocument/2006/relationships" r:id="docRId2">
        <w:r>
          <w:rPr>
            <w:rFonts w:ascii="Aptos" w:hAnsi="Aptos" w:cs="Aptos" w:eastAsia="Aptos"/>
            <w:color w:val="0000FF"/>
            <w:spacing w:val="0"/>
            <w:position w:val="0"/>
            <w:sz w:val="22"/>
            <w:u w:val="single"/>
            <w:shd w:fill="auto" w:val="clear"/>
          </w:rPr>
          <w:t xml:space="preserve">https://remittanceprices.worldbank.org/</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au-afcfta.org/about/" Id="docRId1" Type="http://schemas.openxmlformats.org/officeDocument/2006/relationships/hyperlink" /><Relationship Target="numbering.xml" Id="docRId3" Type="http://schemas.openxmlformats.org/officeDocument/2006/relationships/numbering" /><Relationship TargetMode="External" Target="https://international-partnerships.ec.europa.eu/countries/ghana_en" Id="docRId0" Type="http://schemas.openxmlformats.org/officeDocument/2006/relationships/hyperlink" /><Relationship TargetMode="External" Target="https://remittanceprices.worldbank.org/" Id="docRId2" Type="http://schemas.openxmlformats.org/officeDocument/2006/relationships/hyperlink" /><Relationship Target="styles.xml" Id="docRId4" Type="http://schemas.openxmlformats.org/officeDocument/2006/relationships/styles" /></Relationships>
</file>