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8136"/>
        <w:gridCol w:w="1800"/>
        <w:gridCol w:w="187"/>
      </w:tblGrid>
      <w:tr>
        <w:trPr>
          <w:trHeight w:val="1" w:hRule="atLeast"/>
          <w:jc w:val="center"/>
        </w:trPr>
        <w:tc>
          <w:tcPr>
            <w:tcW w:w="813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0" w:after="100" w:line="240"/>
              <w:ind w:right="0" w:left="0" w:firstLine="0"/>
              <w:jc w:val="left"/>
              <w:rPr>
                <w:rFonts w:ascii="Georgia" w:hAnsi="Georgia" w:cs="Georgia" w:eastAsia="Georgia"/>
                <w:color w:val="auto"/>
                <w:spacing w:val="0"/>
                <w:position w:val="0"/>
                <w:sz w:val="20"/>
                <w:shd w:fill="auto" w:val="clear"/>
              </w:rPr>
            </w:pPr>
            <w:r>
              <w:rPr>
                <w:rFonts w:ascii="Arial" w:hAnsi="Arial" w:cs="Arial" w:eastAsia="Arial"/>
                <w:b/>
                <w:color w:val="D6A337"/>
                <w:spacing w:val="0"/>
                <w:position w:val="0"/>
                <w:sz w:val="18"/>
                <w:shd w:fill="auto" w:val="clear"/>
              </w:rPr>
              <w:t xml:space="preserve">FEATURE ARTICLE</w:t>
            </w:r>
          </w:p>
          <w:p>
            <w:pPr>
              <w:spacing w:before="40" w:after="12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0B2D46"/>
                <w:spacing w:val="0"/>
                <w:position w:val="0"/>
                <w:sz w:val="48"/>
                <w:shd w:fill="auto" w:val="clear"/>
              </w:rPr>
              <w:t xml:space="preserve">Taxation, Trust, and Transformation: Lessons from Sweden for Nigeria’s Fiscal Future</w:t>
            </w:r>
          </w:p>
          <w:p>
            <w:pPr>
              <w:spacing w:before="0" w:after="200" w:line="240"/>
              <w:ind w:right="0" w:left="0" w:firstLine="0"/>
              <w:jc w:val="left"/>
              <w:rPr>
                <w:spacing w:val="0"/>
                <w:position w:val="0"/>
                <w:shd w:fill="auto" w:val="clear"/>
              </w:rPr>
            </w:pPr>
            <w:r>
              <w:rPr>
                <w:rFonts w:ascii="Georgia" w:hAnsi="Georgia" w:cs="Georgia" w:eastAsia="Georgia"/>
                <w:b/>
                <w:color w:val="218380"/>
                <w:spacing w:val="0"/>
                <w:position w:val="0"/>
                <w:sz w:val="22"/>
                <w:shd w:fill="auto" w:val="clear"/>
              </w:rPr>
              <w:t xml:space="preserve">By Emeka Anazia</w:t>
            </w:r>
          </w:p>
        </w:tc>
        <w:tc>
          <w:tcPr>
            <w:tcW w:w="180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right"/>
              <w:rPr>
                <w:rFonts w:ascii="Calibri" w:hAnsi="Calibri" w:cs="Calibri" w:eastAsia="Calibri"/>
                <w:color w:val="auto"/>
                <w:spacing w:val="0"/>
                <w:position w:val="0"/>
                <w:sz w:val="22"/>
                <w:shd w:fill="auto" w:val="clear"/>
              </w:rPr>
            </w:pPr>
            <w:r>
              <w:object w:dxaOrig="1451" w:dyaOrig="1451">
                <v:rect xmlns:o="urn:schemas-microsoft-com:office:office" xmlns:v="urn:schemas-microsoft-com:vml" id="rectole0000000000" style="width:72.550000pt;height:72.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r>
      <w:tr>
        <w:trPr>
          <w:trHeight w:val="1" w:hRule="atLeast"/>
          <w:jc w:val="center"/>
        </w:trPr>
        <w:tc>
          <w:tcPr>
            <w:tcW w:w="10123" w:type="dxa"/>
            <w:gridSpan w:val="3"/>
            <w:tcBorders>
              <w:top w:val="single" w:color="218380" w:sz="10"/>
              <w:left w:val="single" w:color="218380" w:sz="10"/>
              <w:bottom w:val="single" w:color="218380" w:sz="10"/>
              <w:right w:val="single" w:color="218380" w:sz="10"/>
            </w:tcBorders>
            <w:shd w:color="000000" w:fill="eef6f6" w:val="clear"/>
            <w:tcMar>
              <w:left w:w="108" w:type="dxa"/>
              <w:right w:w="108" w:type="dxa"/>
            </w:tcMar>
            <w:vAlign w:val="center"/>
          </w:tcPr>
          <w:p>
            <w:pPr>
              <w:spacing w:before="120" w:after="120" w:line="264"/>
              <w:ind w:right="0" w:left="0" w:firstLine="0"/>
              <w:jc w:val="both"/>
              <w:rPr>
                <w:spacing w:val="0"/>
                <w:position w:val="0"/>
                <w:shd w:fill="auto" w:val="clear"/>
              </w:rPr>
            </w:pPr>
            <w:r>
              <w:rPr>
                <w:rFonts w:ascii="Georgia" w:hAnsi="Georgia" w:cs="Georgia" w:eastAsia="Georgia"/>
                <w:i/>
                <w:color w:val="0B2D46"/>
                <w:spacing w:val="0"/>
                <w:position w:val="0"/>
                <w:sz w:val="21"/>
                <w:shd w:fill="auto" w:val="clear"/>
              </w:rPr>
              <w:t xml:space="preserve">Nigeria’s 2025 tax reform promises a shift from oil dependency toward fiscal citizenship. This publication layout foregrounds the article’s central argument: taxation can transform the state only where trust, transparency, digital administration, and visible public value are built first.</w:t>
            </w:r>
          </w:p>
        </w:tc>
      </w:tr>
    </w:tbl>
    <w:p>
      <w:pPr>
        <w:spacing w:before="0" w:after="200" w:line="276"/>
        <w:ind w:right="0" w:left="0" w:firstLine="0"/>
        <w:jc w:val="left"/>
        <w:rPr>
          <w:rFonts w:ascii="Georgia" w:hAnsi="Georgia" w:cs="Georgia" w:eastAsia="Georgia"/>
          <w:color w:val="auto"/>
          <w:spacing w:val="0"/>
          <w:position w:val="0"/>
          <w:sz w:val="20"/>
          <w:shd w:fill="auto" w:val="clear"/>
        </w:rPr>
      </w:pP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Nigeria’s 2025 tax law is one of the most ambitious fiscal reforms introduced in years. Its core promise is transformative: to shift the country away from its dependency on oil revenues and towards a model where citizens fund the state and hold it accountable. At its heart is the idea of fiscal citizenship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a recognition that taxation is not simply a means of raising money, but a cornerstone of democratic accountability.</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This aspiration is bold, overdue, and commendable. But it is also fragile. Without strong institutional trust, transparent governance, and a capable administrative system, the new law risks unravelling as a noble lie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a powerful engine built on sand. Unless Nigeria constructs the high-trust, digitally led administrative backbone that makes tax payments justifiable, the law</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s ambition will remain unfulfilled.</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This article examines Nigeria’s new law against the backdrop of Sweden’s success, analyses the underlying factors that cultivate fiscal citizenship, and draws data-backed insights for Nigeria’s journey forward.</w:t>
      </w:r>
    </w:p>
    <w:p>
      <w:pPr>
        <w:spacing w:before="24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0B2D46"/>
          <w:spacing w:val="0"/>
          <w:position w:val="0"/>
          <w:sz w:val="26"/>
          <w:shd w:fill="auto" w:val="clear"/>
        </w:rPr>
        <w:t xml:space="preserve">THE NIGERIAN CONTEXT: ASPIRATION VS. REALITY</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The Nigerian public does not inherently resist taxation. What Nigerians resist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and rightly so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is a tax regime disconnected from lived reality. For decades, citizens have observed weak service delivery, opaque public spending, and inconsistent governance. Nigeria</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s fiscal story has long been marked by low compliance, a heavy reliance on oil revenues, and persistent challenges in translating public funds into tangible development outcomes.</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The gap between aspiration and reality is stark:</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Citizens rarely see the direct benefit of taxes, fuelling a perception that public money is mismanaged.</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Government processes remain insufficiently transparent, obscuring how funds are allocated and spent.</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Service delivery is inconsistent, weakening the moral basis for taxation.</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Trust in public institutions is low, making voluntary compliance unlikely.</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The introduction of new taxes, without addressing these failures, does not strengthen the social contract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it strains it. The new law is commendable, but its success hinges on far more than legal amendments. It requires a fundamental shift in governance, transparency, and public trust.</w:t>
      </w:r>
    </w:p>
    <w:p>
      <w:pPr>
        <w:spacing w:before="24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0B2D46"/>
          <w:spacing w:val="0"/>
          <w:position w:val="0"/>
          <w:sz w:val="26"/>
          <w:shd w:fill="auto" w:val="clear"/>
        </w:rPr>
        <w:t xml:space="preserve">SWEDEN: A PARADIGM OF FISCAL CITIZENSHIP</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Sweden consistently ranks among the countries with the highest tax-to-GDP ratios globally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approximately 41.4% in 2023, above the OECD average, and at points as high as 50% (OECD, 2023). Yet this is met not with widespread resentment but with broad citizen compliance and a strong sense of collective responsibility.</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Swedes do not comply because they fear the law; they comply because they trust the administration. They see clear evidence that taxes produce tangible results. This legitimacy is not a Scandinavian coincidence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it is the product of decades of consistent governance, predictable institutions, and a deliberate cultivation of trust. Four pillars sustain this model:</w:t>
      </w:r>
    </w:p>
    <w:p>
      <w:pPr>
        <w:spacing w:before="16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218380"/>
          <w:spacing w:val="0"/>
          <w:position w:val="0"/>
          <w:sz w:val="22"/>
          <w:shd w:fill="auto" w:val="clear"/>
        </w:rPr>
        <w:t xml:space="preserve">1. Transparent and Efficient Public Services</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The cornerstone of Swedish fiscal citizenship is visible, reliable service delivery. Citizens see their tax money directly translated into:</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Universal Healthcare: Sweden spent approximately 11.28% of its GDP on healthcare in 2023 (OECD, 2023), ensuring access for all, regardless of income.</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High-Quality Education: From pre-school to university, education is largely free and of a high standard. Public expenditure on education stood at around 6.8% of GDP in 2020 (World Bank, 2023).</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Robust Social Safety Nets: Generous unemployment benefits, parental leave of up to 480 days per child, and old-age pensions provide significant economic security and reduce inequality.</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Efficient Infrastructure: Modern public transportation, roads, and digital infrastructure facilitate economic activity and improve quality of life.</w:t>
      </w:r>
    </w:p>
    <w:p>
      <w:pPr>
        <w:spacing w:before="16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218380"/>
          <w:spacing w:val="0"/>
          <w:position w:val="0"/>
          <w:sz w:val="22"/>
          <w:shd w:fill="auto" w:val="clear"/>
        </w:rPr>
        <w:t xml:space="preserve">2. Low Corruption and High Accountability</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Sweden consistently ranks among the least corrupt countries globally (Transparency International, 2023). Citizens are confident that their tax payments are not siphoned off through corruption but are used for their intended public purpose. Key mechanisms include an independent judiciary, open government and public access to official documents, effective anti-corruption agencies, and a strong political culture of integrity.</w:t>
      </w:r>
    </w:p>
    <w:p>
      <w:pPr>
        <w:spacing w:before="16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218380"/>
          <w:spacing w:val="0"/>
          <w:position w:val="0"/>
          <w:sz w:val="22"/>
          <w:shd w:fill="auto" w:val="clear"/>
        </w:rPr>
        <w:t xml:space="preserve">3. Progressive Taxation and Perceived Fairness</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Sweden employs a highly progressive tax system. While rates are high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top marginal income tax can exceed 50%, including municipal taxes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there is broad acceptance because of the perceived fairness and the understanding that it funds essential public services that benefit everyone.</w:t>
      </w:r>
    </w:p>
    <w:p>
      <w:pPr>
        <w:spacing w:before="16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218380"/>
          <w:spacing w:val="0"/>
          <w:position w:val="0"/>
          <w:sz w:val="22"/>
          <w:shd w:fill="auto" w:val="clear"/>
        </w:rPr>
        <w:t xml:space="preserve">4. Strong Social Cohesion and Collective Identity</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A deeply ingrained sense of collective responsibility characterises Swedish society. Citizens understand that contributing through taxes is essential for maintaining the welfare state and ensuring quality of life for all. Critically, this trust is not merely cultural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it is institutional. It is cultivated through reliable public services, strong oversight, and predictable governance.</w:t>
      </w:r>
    </w:p>
    <w:p>
      <w:pPr>
        <w:spacing w:before="24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0B2D46"/>
          <w:spacing w:val="0"/>
          <w:position w:val="0"/>
          <w:sz w:val="26"/>
          <w:shd w:fill="auto" w:val="clear"/>
        </w:rPr>
        <w:t xml:space="preserve">BUILDING NIGERIA’S ADMINISTRATIVE BACKBONE</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For the 2025 law to work, Nigeria must first construct the foundations that sustain high-trust fiscal systems. These are not add-ons to the reform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they are its foundations.</w:t>
      </w:r>
    </w:p>
    <w:p>
      <w:pPr>
        <w:spacing w:before="16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218380"/>
          <w:spacing w:val="0"/>
          <w:position w:val="0"/>
          <w:sz w:val="22"/>
          <w:shd w:fill="auto" w:val="clear"/>
        </w:rPr>
        <w:t xml:space="preserve">1. Digitalisation Must Lead the Reform</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Digital systems minimise discretion, reduce corruption, and create consistent, trackable interactions between citizens and the state. Sweden’s digital-first approach is one of the reasons its tax system is both efficient and trusted. Nigeria must accelerate the automation of tax registration, filing, payments, and audits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reducing the human points of failure that enable leakage and erode confidence.</w:t>
      </w:r>
    </w:p>
    <w:p>
      <w:pPr>
        <w:spacing w:before="16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218380"/>
          <w:spacing w:val="0"/>
          <w:position w:val="0"/>
          <w:sz w:val="22"/>
          <w:shd w:fill="auto" w:val="clear"/>
        </w:rPr>
        <w:t xml:space="preserve">2. Transparency Is Non-Negotiable</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Nothing erodes trust faster than secrecy. Nigeria must publish clear, accessible fiscal reports that citizens can understand. Open budget systems should allow Nigerians to track exactly how revenues are allocated and spent. When people see where their money goes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and when irregularities are openly addressed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compliance follows.</w:t>
      </w:r>
    </w:p>
    <w:p>
      <w:pPr>
        <w:spacing w:before="16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218380"/>
          <w:spacing w:val="0"/>
          <w:position w:val="0"/>
          <w:sz w:val="22"/>
          <w:shd w:fill="auto" w:val="clear"/>
        </w:rPr>
        <w:t xml:space="preserve">3. Public Value Must Be Visible</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To build fiscal citizenship, government must deliver tangible improvements in everyday life: electricity that is reliable, roads that work, hospitals that function, schools that teach, and security that is dependable. Citizens need to see and feel the direct benefits of their taxes. The “show us results” demand is legitimate and must be met. When people experience public value, taxation becomes purposeful rather than punitive.</w:t>
      </w:r>
    </w:p>
    <w:p>
      <w:pPr>
        <w:spacing w:before="16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218380"/>
          <w:spacing w:val="0"/>
          <w:position w:val="0"/>
          <w:sz w:val="22"/>
          <w:shd w:fill="auto" w:val="clear"/>
        </w:rPr>
        <w:t xml:space="preserve">4. Accountability Must Be Institutional, Not Occasional</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Nigeria cannot expect citizens to pay diligently when officials misuse funds without repercussion. A credible tax system requires consequences for mismanagement. Institutionalising accountability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through independent audits, public oversight mechanisms, and judicial follow-through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is essential. Government officials must be held accountable, with transparent procurement, regular performance reviews, and effective channels for citizen redress.</w:t>
      </w:r>
    </w:p>
    <w:p>
      <w:pPr>
        <w:spacing w:before="16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218380"/>
          <w:spacing w:val="0"/>
          <w:position w:val="0"/>
          <w:sz w:val="22"/>
          <w:shd w:fill="auto" w:val="clear"/>
        </w:rPr>
        <w:t xml:space="preserve">5. Progressive Taxation and Equity</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While expanding the tax base is vital, the system must also be perceived as fair. Nigeria should review its tax structure to ensure the burden is equitably distributed, with higher earners contributing proportionally more. A tax system that is seen as extractive rather than redistributive will struggle to command legitimacy.</w:t>
      </w:r>
    </w:p>
    <w:p>
      <w:pPr>
        <w:spacing w:before="24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0B2D46"/>
          <w:spacing w:val="0"/>
          <w:position w:val="0"/>
          <w:sz w:val="26"/>
          <w:shd w:fill="auto" w:val="clear"/>
        </w:rPr>
        <w:t xml:space="preserve">REBUILDING THE SOCIAL CONTRACT</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Fiscal citizenship is not created by decree. It emerges when people recognise that their contributions help build a functional society. The 2025 tax law is an important starting point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but the deeper reform lies in rebuilding the social contract: making government worthy of the taxes it seeks to collect.</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A robust public awareness campaign is also essential. Nigerians need consistent, clear communication about the new law, its rationale, and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crucially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how revenues will be utilised for the common good. Citizens must understand the link between what they pay and what they receive. Without this, the fiscal citizenship aspiration remains abstract.</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Underlying all of this is the need to strengthen democratic institutions, ensure the rule of law, and protect civil liberties. These are not peripheral concerns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they are foundational to building the kind of trust that makes fiscal citizenship possible.</w:t>
      </w:r>
    </w:p>
    <w:p>
      <w:pPr>
        <w:spacing w:before="240" w:after="100" w:line="240"/>
        <w:ind w:right="0" w:left="0" w:firstLine="0"/>
        <w:jc w:val="left"/>
        <w:rPr>
          <w:rFonts w:ascii="Georgia" w:hAnsi="Georgia" w:cs="Georgia" w:eastAsia="Georgia"/>
          <w:color w:val="auto"/>
          <w:spacing w:val="0"/>
          <w:position w:val="0"/>
          <w:sz w:val="20"/>
          <w:shd w:fill="auto" w:val="clear"/>
        </w:rPr>
      </w:pPr>
      <w:r>
        <w:rPr>
          <w:rFonts w:ascii="Georgia" w:hAnsi="Georgia" w:cs="Georgia" w:eastAsia="Georgia"/>
          <w:b/>
          <w:color w:val="0B2D46"/>
          <w:spacing w:val="0"/>
          <w:position w:val="0"/>
          <w:sz w:val="26"/>
          <w:shd w:fill="auto" w:val="clear"/>
        </w:rPr>
        <w:t xml:space="preserve">CONCLUSION: NIGERIA CAN LEARN FROM SWEDEN </w:t>
      </w:r>
      <w:r>
        <w:rPr>
          <w:rFonts w:ascii="Georgia" w:hAnsi="Georgia" w:cs="Georgia" w:eastAsia="Georgia"/>
          <w:b/>
          <w:color w:val="0B2D46"/>
          <w:spacing w:val="0"/>
          <w:position w:val="0"/>
          <w:sz w:val="26"/>
          <w:shd w:fill="auto" w:val="clear"/>
        </w:rPr>
        <w:t xml:space="preserve">—</w:t>
      </w:r>
      <w:r>
        <w:rPr>
          <w:rFonts w:ascii="Georgia" w:hAnsi="Georgia" w:cs="Georgia" w:eastAsia="Georgia"/>
          <w:b/>
          <w:color w:val="0B2D46"/>
          <w:spacing w:val="0"/>
          <w:position w:val="0"/>
          <w:sz w:val="26"/>
          <w:shd w:fill="auto" w:val="clear"/>
        </w:rPr>
        <w:t xml:space="preserve"> BUT MUST CHART ITS OWN PATH</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The lesson from Sweden is not that Nigeria should copy its model, but that Nigeria must build its own version of a trustworthy state </w:t>
      </w:r>
      <w:r>
        <w:rPr>
          <w:rFonts w:ascii="Georgia" w:hAnsi="Georgia" w:cs="Georgia" w:eastAsia="Georgia"/>
          <w:color w:val="232323"/>
          <w:spacing w:val="0"/>
          <w:position w:val="0"/>
          <w:sz w:val="20"/>
          <w:shd w:fill="auto" w:val="clear"/>
        </w:rPr>
        <w:t xml:space="preserve">—</w:t>
      </w:r>
      <w:r>
        <w:rPr>
          <w:rFonts w:ascii="Georgia" w:hAnsi="Georgia" w:cs="Georgia" w:eastAsia="Georgia"/>
          <w:color w:val="232323"/>
          <w:spacing w:val="0"/>
          <w:position w:val="0"/>
          <w:sz w:val="20"/>
          <w:shd w:fill="auto" w:val="clear"/>
        </w:rPr>
        <w:t xml:space="preserve"> one where taxation is meaningful, not extractive; where compliance is voluntary, not coerced; and where public institutions are partners in development, not obstacles to it.</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Nigeria’s journey from a low-trust, low-compliance environment to one where citizens willingly pay taxes and demand results requires a multi-faceted approach. Lessons from Sweden underscore that a transparent, accountable government delivering visible public services is the bedrock of fiscal citizenship. The push for fiscal citizenship cannot succeed without addressing the institutional integrity deficit first.</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If Nigeria invests in transparency, digital governance, and service delivery, the new tax law could become the foundation of a more resilient, equitable, and accountable nation. If it does not, the law will remain a powerful engine built on sand.</w:t>
      </w:r>
    </w:p>
    <w:p>
      <w:pPr>
        <w:spacing w:before="0" w:after="120" w:line="259"/>
        <w:ind w:right="0" w:left="0" w:firstLine="0"/>
        <w:jc w:val="both"/>
        <w:rPr>
          <w:rFonts w:ascii="Georgia" w:hAnsi="Georgia" w:cs="Georgia" w:eastAsia="Georgia"/>
          <w:color w:val="auto"/>
          <w:spacing w:val="0"/>
          <w:position w:val="0"/>
          <w:sz w:val="20"/>
          <w:shd w:fill="auto" w:val="clear"/>
        </w:rPr>
      </w:pPr>
      <w:r>
        <w:rPr>
          <w:rFonts w:ascii="Georgia" w:hAnsi="Georgia" w:cs="Georgia" w:eastAsia="Georgia"/>
          <w:color w:val="232323"/>
          <w:spacing w:val="0"/>
          <w:position w:val="0"/>
          <w:sz w:val="20"/>
          <w:shd w:fill="auto" w:val="clear"/>
        </w:rPr>
        <w:t xml:space="preserve">Nigeria stands at a crossroads. The path to fiscal transformation begins not with taxation, but with trust. And trust must be earned.</w:t>
      </w:r>
    </w:p>
    <w:p>
      <w:pPr>
        <w:spacing w:before="0" w:after="200" w:line="276"/>
        <w:ind w:right="0" w:left="0" w:firstLine="0"/>
        <w:jc w:val="left"/>
        <w:rPr>
          <w:rFonts w:ascii="Georgia" w:hAnsi="Georgia" w:cs="Georgia" w:eastAsia="Georgia"/>
          <w:b/>
          <w:color w:val="0B2D46"/>
          <w:spacing w:val="0"/>
          <w:position w:val="0"/>
          <w:sz w:val="26"/>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